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6791d425.htm"/>
      <w:bookmarkStart w:id="1" w:name="ksd136791d425"/>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August 16,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Fulcrum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1"/>
        <w:gridCol w:w="3266"/>
        <w:gridCol w:w="101"/>
        <w:gridCol w:w="3266"/>
      </w:tblGrid>
      <w:tr>
        <w:trPr/>
        <w:tc>
          <w:tcPr>
            <w:tcW w:w="347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001-38978</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47-4839948</w:t>
            </w:r>
          </w:p>
        </w:tc>
      </w:tr>
      <w:tr>
        <w:trPr/>
        <w:tc>
          <w:tcPr>
            <w:tcW w:w="3471"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26 Landsdowne Street</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left"/>
              <w:rPr>
                <w:sz w:val="4"/>
                <w:szCs w:val="4"/>
              </w:rPr>
            </w:pPr>
            <w:r>
              <w:rPr>
                <w:sz w:val="4"/>
                <w:szCs w:val="4"/>
              </w:rPr>
            </w:r>
          </w:p>
        </w:tc>
      </w:tr>
      <w:tr>
        <w:trPr/>
        <w:tc>
          <w:tcPr>
            <w:tcW w:w="5153" w:type="dxa"/>
            <w:tcBorders/>
            <w:vAlign w:val="bottom"/>
          </w:tcPr>
          <w:p>
            <w:pPr>
              <w:pStyle w:val="TableContents"/>
              <w:bidi w:val="0"/>
              <w:spacing w:before="0" w:after="283"/>
              <w:jc w:val="center"/>
              <w:rPr>
                <w:b/>
              </w:rPr>
            </w:pPr>
            <w:r>
              <w:rPr>
                <w:b/>
              </w:rPr>
              <w:t>Cambridge, Massachusetts</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02139</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Registrant’s telephone number, including area code: (617) 651-8851 </w:t>
      </w:r>
    </w:p>
    <w:p>
      <w:pPr>
        <w:pStyle w:val="TextBody"/>
        <w:bidi w:val="0"/>
        <w:spacing w:before="240" w:after="0"/>
        <w:jc w:val="center"/>
        <w:rPr>
          <w:rFonts w:ascii="Times New Roman" w:hAnsi="Times New Roman"/>
          <w:b/>
          <w:sz w:val="20"/>
        </w:rPr>
      </w:pPr>
      <w:r>
        <w:rPr>
          <w:rFonts w:ascii="Times New Roman" w:hAnsi="Times New Roman"/>
          <w:b/>
          <w:sz w:val="20"/>
        </w:rPr>
        <w:t xml:space="preserve">N/A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1"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101" w:type="dxa"/>
            <w:tcBorders/>
            <w:vAlign w:val="bottom"/>
          </w:tcPr>
          <w:p>
            <w:pPr>
              <w:pStyle w:val="TableContents"/>
              <w:bidi w:val="0"/>
              <w:spacing w:before="0" w:after="283"/>
              <w:jc w:val="left"/>
              <w:rPr/>
            </w:pPr>
            <w:r>
              <w:rPr/>
              <w:t> </w:t>
            </w:r>
          </w:p>
        </w:tc>
        <w:tc>
          <w:tcPr>
            <w:tcW w:w="326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470" w:type="dxa"/>
            <w:tcBorders/>
          </w:tcPr>
          <w:p>
            <w:pPr>
              <w:pStyle w:val="TableContents"/>
              <w:bidi w:val="0"/>
              <w:spacing w:before="0" w:after="283"/>
              <w:jc w:val="center"/>
              <w:rPr/>
            </w:pPr>
            <w:r>
              <w:rPr/>
              <w:t>Common stock, par value $0.001 per share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FULC</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Nasdaq Global Market</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240" w:after="0"/>
        <w:jc w:val="righ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b/>
              </w:rPr>
            </w:pPr>
            <w:r>
              <w:rPr>
                <w:b/>
              </w:rPr>
              <w:t>Item 1.01.</w:t>
            </w:r>
          </w:p>
        </w:tc>
        <w:tc>
          <w:tcPr>
            <w:tcW w:w="908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August 16, 2026, Fulcrum Therapeutics, Inc., a Delaware corporation (“Fulcrum”) entered into an Agreement and Plan of Merger (the “Merger Agreement”) by and among Fulcrum, Fusion Merger Sub I, Inc., a Delaware corporation and a wholly owned subsidiary of Fulcrum, (“Merger Sub I”), Fusion Merger Sub II, LLC, a Delaware limited liability company and a wholly owned subsidiary of Fulcrum, (“Merger Sub II”), and Slate Medicines, Inc., a Delaware corporation (“Slate”), pursuant to which, and subject to the satisfaction or waiver of the conditions set forth in the Merger Agreement, among other things, Merger Sub I will merge with and into Slate, with Slate surviving the merger as the surviving corporation (the “First Merger”), and as part of the same overall transaction, Slate will merge with and into Merger Sub II, with Merger Sub II continuing as a wholly owned subsidiary of Fulcrum and the surviving entity of the merger (the “Second Merger” and together with the First Merger, the “Merger”). The Merger is intended to qualify for federal income tax purposes as a tax-free reorganization.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of the Merger Agreement, at the effective time of the Merger (the “Effective Time”), (a) each then-outstanding share of Slate’s common stock, par value $0.00001 per share (“Slate Common Stock”) will be converted into the right to receive a number of shares of Fulcrum’s common stock, par value $0.001 per share (“Fulcrum Common Stock”), based on a ratio calculated in accordance with the Merger Agreement (the “Exchange Ratio”), (b) each then-outstanding option to purchase Slate Common Stock will be assumed by Fulcrum, subject to adjustment as set forth in the Merger Agreement, and (c) each then-outstanding warrant to purchase Slate Common Stock will be assumed by Fulcrum, subject to adjustment as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Exchange Ratio formula in the Merger Agreement, upon the closing of the Merger (the “Closing”), on a pro forma basis and based upon the number of shares of Fulcrum Common Stock expected to be issued in connection with the Merger and the Concurrent Investment (as defined below), pre-Merger Slate stockholders (other than the Investors (as defined below)) are expected to own approximately 55.9% of the combined company on a fully-diluted basis, the Investors are expected to own approximately 39.1% of the combined company on a fully-diluted basis, and pre-Merger Fulcrum stockholders will own approximately 5.0% of the combined company on a fully-diluted basis (after giving effect to the Concurrent Investment and excluding any shares reserved for future grants under the 2026 Equity Incentive Plan and the 2026 ESPP, each as defined in the Merger Agreement). The percentage of the combined company that each party’s stockholders will own following the Closing is subject to certain adjustments as described in the Merger Agreement, including the amount of Fulcrum’s net cash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The Exchange Ratio assumes (i) a valuation for Fulcrum of $31.3 million, subject to adjustment based on the amount of net cash of Fulcrum at the Closing, and (ii) a valuation for Slate of $350.0 million, exclusive of any proceeds received in connection with the Concurrent Investment; and (iii) a $245.0 million Concurrent Investment. The Exchange Ratio is also based on the relative capitalization of each of Fulcrum and Slate, for which, for the purposes of calculating the Exchange Ratio, the shares of Fulcrum Common Stock underlying Fulcrum stock options outstanding immediately prior to the Effective Time with an exercise price per share of less than or equal to $7.00 (as adjusted as provided in the Merger Agreement) will be deemed outstanding, and all shares of Slate Common Stock underlying outstanding Slate stock options, warrants, and other derivative securities will be deemed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unexercised and outstanding Fulcrum stock options will accelerate in full as of immediately prior to the Effective Time. Each such stock option with an exercise price per share greater than $7.00 (prior to giving effect to the Cash Dividend and Nasdaq Reverse Stock Split (as defined in the Merger Agreement)) that is not exercised as of immediately prior to the Effective Time shall be cancelled at the Effective Time for no consideration. All Fulcrum stock options with an exercise price per share less than or equal to $7.00 (prior to giving effect to the Cash Dividend and Nasdaq Reverse Stock Split (as defined in the Merger Agreement)) will continue to be subject to the same terms and conditions after the Effective Time as were applicable to such stock option as of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the Merger Agreement, the vesting of each outstanding and unvested Fulcrum restricted stock unit award will be accelerated in full, effective as of immediately prior to the Effective Time, contingent on the occurrence of the Closing, and each holder thereof will receive shares of Fulcrum Common Stock in settlement of such awards immediately prior to the Effective Time.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in connection with the Closing, Fulcrum expects to declare a cash dividend to the pre-Merger Fulcrum stockholders of $270 million in the aggregate (the “Cash Dividend”), provided such amount is subject to adjustment as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Fulcrum will seek the approval of its stockholders to, among other things, (a) issue the shares of Fulcrum Common Stock issuable in connection with the Merger pursuant to the rules of The Nasdaq Stock Market LLC (“Nasdaq”), (b) adopt the 2026 Equity Incentive Plan and the 2026 ESPP (as each is defined in the Merger Agreement), and (c) amend its restated certificate of incorporation, as amended, to change Fulcrum’s name to “Slate Medicines, Inc.” and effect a reverse stock split of Fulcrum Common Stock, at a reverse stock split ratio to be mutually agreed to by Fulcrum and Slate (the “Fulcrum Voting Proposals”). </w:t>
      </w:r>
    </w:p>
    <w:p>
      <w:pPr>
        <w:pStyle w:val="TextBody"/>
        <w:bidi w:val="0"/>
        <w:spacing w:before="240" w:after="0"/>
        <w:jc w:val="left"/>
        <w:rPr>
          <w:rFonts w:ascii="Times New Roman" w:hAnsi="Times New Roman"/>
          <w:sz w:val="20"/>
        </w:rPr>
      </w:pPr>
      <w:r>
        <w:rPr>
          <w:rFonts w:ascii="Times New Roman" w:hAnsi="Times New Roman"/>
          <w:sz w:val="20"/>
        </w:rPr>
        <w:t xml:space="preserve">Each of Fulcrum and Slate has agreed to customary representations, warranties and covenants in the Merger Agreement, including, among others, covenants relating to (1) obtaining the requisite approval of their respective stockholders, (2) non-solicitation of alternative acquisition proposals, (3) the conduct of their respective businesses during the period between the date of signing the Merger Agreement and the Closing, (4) Fulcrum using commercially reasonable efforts to maintain the existing listing of the Fulcrum Common Stock on Nasdaq and cause the shares of Fulcrum Common Stock to be issued in connection with the Merger to be approved for listing on Nasdaq prior to the Closing and (5) Fulcrum filing with the U.S. Securities and Exchange Commission (the “SEC”) and causing to become effective a registration statement on Form S-4 to register the shares of Fulcrum Common Stock to be issued in connection with the Merger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Consummation of the Merger is subject to certain closing conditions, including, among other things, (1) approval by Fulcrum stockholders of the Fulcrum Voting Proposals, (2) approval by the requisite Slate stockholders of the adoption and approval of the Merger Agreement and the transactions contemplated thereby, (3) the waiting period under the U.S. Hart Scott Rodino Antitrust Improvements Act of 1976, as amended, having expired or been terminated, (4) Nasdaq’s approval of the listing of the shares of Fulcrum Common Stock to be issued in connection with the Merger, (5) the effectiveness of the Registration Statement, (6) the effectiveness of the Nasdaq Reverse Stock Split, (7) Fulcrum’s net cash at the Closing being no less than $0, and (8) an executed Purchase Agreement for the Concurrent Investment in full force and effect evidencing cash proceeds of approximately $245.0 million to be received by the combined company immediately prior to or following the Closing. Each party’s obligation to consummate the Merger is also subject to other specified customary conditions, including regarding the accuracy of the representations and warranties of the other party, subject to the applicable materiality standard, and the performance in all material respects by the other party of its obligations under the Merger Agreement required to be performed on or prior to the date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contains certain termination rights of each of Fulcrum and Slate. Upon termination of the Merger Agreement under specified circumstances, Fulcrum may be required to pay Slate a termination fee of $10 million, and in certain other circumstances, Slate may be required to pay Fulcrum a termination fee of $15 million.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the board of directors of Fulcrum is expected to consist of five members, all of whom will be designated by Slate.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Support Agreements and 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and in connection with the execution of the Merger Agreement, (i) certain stockholders of Slate (solely in their respective capacities as Slate stockholders) holding approximately 78.65% of the outstanding shares of Slate capital stock have entered into support agreements with Fulcrum and Slate to vote all of their shares of Slate capital stock in favor of the adoption and approval of the Merger Agreement and the transactions contemplated thereby (the “Slate Support Agreements”) and (ii) certain stockholders of Fulcrum holding approximately 1.0% of the outstanding shares of Fulcrum Common Stock have entered into support agreements with Fulcrum and Slate to vote all of their shares of Fulcrum Common Stock in favor of the Fulcrum Stockholder Proposals (the “Fulcrum Support Agreements,” and, together with the Slate Support Agreements, the “Support Agreements”).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Concurrently and in connection with the execution of the Merger Agreement, certain executive officers, directors and stockholders of Slate have entered into lock-up agreements (the “Lock-Up Agreements”) pursuant to which, and subject to specified exceptions, they have agreed not to transfer their shares of Fulcrum Common Stock for the 180-day period following the Closing. </w:t>
      </w:r>
    </w:p>
    <w:p>
      <w:pPr>
        <w:pStyle w:val="TextBody"/>
        <w:bidi w:val="0"/>
        <w:spacing w:before="240" w:after="0"/>
        <w:jc w:val="left"/>
        <w:rPr>
          <w:rFonts w:ascii="Times New Roman" w:hAnsi="Times New Roman"/>
          <w:sz w:val="20"/>
        </w:rPr>
      </w:pPr>
      <w:r>
        <w:rPr>
          <w:rFonts w:ascii="Times New Roman" w:hAnsi="Times New Roman"/>
          <w:sz w:val="20"/>
        </w:rPr>
        <w:t xml:space="preserve">The preceding summaries of the Merger Agreement, the Support Agreements and the Lock-Up Agreements do not purport to be complete and are qualified in their entirety by reference to the Merger Agreement, the form of Fulcrum Support Agreement, the form of Slate Support Agreement, and the form of Lock-Up Agreement, which are filed as Exhibits 2.1, 10.1, 10.2, and 10.3, respectively, to this Current Report on Form 8-K and which are incorporated herein by reference. The Merger Agreement has been attached as an exhibit to this Current Report on Form 8-K to provide investors and securityholders with information regarding its terms. It is not intended to provide any other factual information about Fulcrum or Slate or to modify or supplement any factual disclosures about Fulcrum in its public reports filed with the SEC. The Merger Agreement includes representations, warranties and covenants of Fulcrum, Slate, Merger Sub I and Merger Sub II made solely for the purpose of the Merger Agreement and solely for the benefit of the parties thereto in connection with the negotiated terms of the Merger Agreement. Investors should not rely on the representations, warranties and covenants in the Merger Agreement or any descriptions thereof as characterizations of the actual state of facts or conditions of Fulcrum, Slate or any of their respective affiliates. Moreover, certain of those representations and warranties may not be accurate or complete as of any specified date, may be modified in important part by the underlying disclosure schedules which are not filed publicly, may be subject to a contractual standard of materiality different from those generally applicable to SEC filings or may have been used for purposes of allocating risk among the parties to the Merger Agreement, rather than establishing matters of fact.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Private Placement and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August 16, 2026, Slate entered into a Securities Purchase Agreement (the “Purchase Agreement”) with certain existing Slate stockholders and new investors (the “Investors”).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Purchase Agreement, and subject to the terms and conditions thereof, Slate agreed to sell, and the Investors agreed to purchase, immediately prior to the consummation of the Merger, shares of Slate Common Stock (the “Securities”) for an aggregate purchase price of approximately $245 million (collectively, the “Concurrent Investment”). The consummation of the transactions contemplated by such agreements is conditioned on the satisfaction or waiver of the conditions set forth in the Merger Agreement and in the Purchase Agreement. Shares of Slate Common Stock issued pursuant to this financing transaction will be converted into shares of Fulcrum Common Stock in accordance with the Exchange Ratio and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Concurrent Investment is exempt from registration pursuant to Section 4(a)(2) of the Securities Act of 1933, as amended (the “Securities Act”), and/or Regulation D promulgated thereunder, as a transaction by an issuer not involving a public offering. The Investors have acquired the Securities for investment only and not with a view to or for sale in connection with any distribution thereof, and appropriate legends have been affixed to the Securities issued in this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Purchase Agreement does not purport to be complete and is qualified in its entirety by reference to the form of Purchase Agreement, which is filed as Exhibit 10.4 to this Current Report on Form 8-K and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Purchase Agreement, on August 16, 2026, Slate entered into a Registration Rights Agreement (the “Registration Rights Agreement”) with the Investors. Pursuant to the Registration Rights Agreement, Slate agreed to cause to be prepared and filed by the combined company a resale registration statement with the SEC within 30 business days following the closing of the Concurrent Investment. Slate (and for periods of time after the Closing, the combined company) will use commercially reasonable efforts to cause this registration statement to be declared effective by the SEC within five business days of notification that the SEC will not review the registration statement (or within 60 calendar days if the SEC reviews the registration statement).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Slate also agreed to, among other things, indemnify the Investors, their officers, directors, members, employees and agents, successors and assigns under the registration statement from certain liabilities and pay all fees and expenses (excluding any legal fees of the selling holder(s), and any underwriting discounts and selling commissions) incident to Slate’s obligations under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Registration Rights Agreement does not purport to be complete and is qualified in its entirety by reference to the form of Registration Rights Agreement, which is filed as Exhibit 10.5 to this Current Report on Form 8-K and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b/>
              </w:rPr>
            </w:pPr>
            <w:r>
              <w:rPr>
                <w:b/>
              </w:rPr>
              <w:t>Item 3.02.</w:t>
            </w:r>
          </w:p>
        </w:tc>
        <w:tc>
          <w:tcPr>
            <w:tcW w:w="908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required by this Item, the information included in Item 1.01 of this Current Report on Form 8-K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shares to be issued by Slate in the Concurrent Investment will be issued in private placements exempt from registration under Section 4(a)(2) of the Securities Act, and/or Regulation D promulgated thereunder, because the offer and sale of such securities does not involve a “public offering” as defined in Section 4(a)(2) of the Securities Act, and other applicable requirements were met. Neither this Current Report on Form 8-K nor any of the exhibits attached hereto is an offer to sell or the solicitation of an offer to buy the Securities or any other securities of Slate or Fulcrum.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rPr>
            </w:pPr>
            <w:r>
              <w:rPr>
                <w:b/>
              </w:rPr>
              <w:t>Item 5.01.</w:t>
            </w:r>
          </w:p>
        </w:tc>
        <w:tc>
          <w:tcPr>
            <w:tcW w:w="908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Changes in Control of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required by this Item, the information included in Item 1.01 of this Current Report on Form 8-K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rPr>
            </w:pPr>
            <w:r>
              <w:rPr>
                <w:b/>
              </w:rPr>
              <w:t>Item 5.02.</w:t>
            </w:r>
          </w:p>
        </w:tc>
        <w:tc>
          <w:tcPr>
            <w:tcW w:w="908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required by this Item, the information included in Item 1.01 of this Current Report on Form 8-K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rPr>
            </w:pPr>
            <w:r>
              <w:rPr>
                <w:b/>
              </w:rPr>
              <w:t>Item 7.01.</w:t>
            </w:r>
          </w:p>
        </w:tc>
        <w:tc>
          <w:tcPr>
            <w:tcW w:w="908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17, 2026, Fulcrum and Slate issued a joint press release announcing the execution of the Merger Agreement and the Purchase Agreement. The press release is furnished as Exhibit 99.1 to this Current Report on Form 8-K and incorporated herein by reference, except that the information contained on the websites referenced in the press release is not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Furnished as Exhibit 99.2 hereto and incorporated herein by reference is the investor presentation that will be used by Fulcrum and Slate in connection with the Merger, including during the webcast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including Exhibits 99.1 and 99.2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or the Exchange Act, except as expressly set forth by specific reference in such filing.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and the documents filed as exhibits hereto contain forward-looking statements within the meaning of the U.S. Private Securities Litigation Reform Act of 1995, including statements regarding the proposed transaction involving Fulcrum and Slate, including the conditions to, and timing of, closing of the proposed transaction, the Board of Directors and management of the combined company, the percentage ownership of the combined company (which is subject to adjustment based on the amount of Fulcrum’s net cash as of the closing of the proposed transaction), the potential of Fulcrum stockholders to receive cash distributions (including the amount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thereof), the parties’ ability to consummate the proposed transaction and Slate private placement financing, including the intended use of net proceeds from the Slate private placement financing and the expected timing of closing and completion of the private placement financing, the combined company’s expected cash runway and the sufficiency of the combined company’s cash to fund operations into 2029, the listing of the combined company’s shares on Nasdaq, the expectations surrounding the potential, safety, efficacy, and regulatory and clinical progress of Slate’s product candidates, including SLTE-1009, and anticipated milestones and timing, among others.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risks with respect to: (i) the timely satisfaction of the conditions to the closing of the proposed transaction, including the failure to timely or at all obtain stockholder approval for the proposed transaction or the failure to timely or at all obtain any required regulatory clearances; (ii) uncertainties as to the timing of the consummation of the proposed transaction and the ability of each of Fulcrum and Slate to consummate the proposed transaction; (iii) the ability of Fulcrum and Slate to integrate their businesses successfully and to achieve anticipated synergies; (iv) the possibility that other anticipated benefits of the proposed transaction will not be realized, including without limitation, anticipated revenues, expenses, earnings and other financial results, and growth and expansion of the combined company’s operations, and the anticipated tax treatment of the combination; (v) potential litigation relating to the proposed transaction that could be instituted against Fulcrum, Slate or their respective directors; (vi) possible disruptions from the proposed transaction that could harm Fulcrum’s and/or Slate’s respective businesses; (vii) the ability of Slate to retain, attract and hire key personnel; (viii) potential adverse reactions or changes to relationships with employees, suppliers or other parties resulting from the announcement or completion of the proposed transaction; (ix) potential business uncertainty, including changes to existing business relationships, during the pendency of the proposed transaction that could affect Fulcrum’s or Slate’s financial performance; (x) certain restrictions during the pendency of the proposed transaction that may impact Fulcrum’s or Slate’s ability to pursue certain business opportunities or strategic transactions; (xi) the combined company’s need for additional funding, which may not be available on favorable terms or at all; (xii) potential failure to identify additional product candidates and develop or commercialize marketable products; (xiii) the early stage of the combined company’s development efforts; (xiv) potential unforeseen events during clinical trials could cause delays or other adverse consequences; (xv) risks relating to the regulatory approval process; (xvi) interim, topline and preliminary data may change as more patient data become available, and are subject to audit and verification procedures that could result in material changes in the final data; (xvii) the combined company’s product candidates may cause serious adverse side effects; (xviii) inability to maintain existing or future collaborations, or the failure of these collaborations; (xix) the combined company’s reliance on third parties, including for the manufacture of materials for research programs, preclinical and clinical studies; (xx) failure to obtain U.S. or international marketing approval; (xxi) ongoing regulatory obligations; effects of significant competition; (xxii) unfavorable pricing regulations, third-party reimbursement practices or healthcare reform initiatives; (xxiii) product liability lawsuits; (xxiv) securities class action litigation; (xxv) the impact of general economic conditions on their respective business and operations, including the combined company’s preclinical studies and clinical trials; (xxvi) the possibility of system failures or security breaches; risks relating to intellectual property; (xxvii) significant costs incurred as a result of operating as a public company; (xxviii) the risk that, as a result of adjustments to the exchange ratio, Fulcrum stockholders and Slate stockholders could own less of the combined company than is currently anticipated, including as a result of the determination of Fulcrum’s net cash; (xxix) risks related to the market price of Fulcrum’s common stock relative to the value implied by the exchange ratio; (xxx) the risk that the concurrent private placement financing is not consummated; and (xxxi) such other factors as are set forth in Fulcrum’s periodic public filings with the SEC, including but not limited to those described under the heading “Risk Factors” in Fulcrum’s Quarterly Report on Form 10-Q for the period ended June 30, 2026. Fulcrum and Slate can give no assurance that any or all of the conditions to the proposed transaction will be satisfied. Except as required by applicable law, Fulcrum and Slate undertake no obligation to revise or update any forward-looking statement, or to make any other forward-looking statements, whether as a result of new information, future events or otherwise.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and the information contained herein is not intended to and does not constitute (i) a solicitation of a proxy, consent or approval with respect to any securities or in respect of the proposed merger or (ii) an offer to sell or the solicitation of an offer to subscribe for or buy or an invitation to purchase or subscribe for any securities pursuant to the proposed merger or otherwise, nor shall there be any sale, issuance or transfer of securities in any jurisdiction in contravention of applicable law. No offer of securities shall be made except by means of a prospectus meeting the requirements of the Securities Act of 1933, as amended,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NEITHER THE SEC NOR ANY STATE SECURITIES COMMISSION HAS APPROVED OR DISAPPROVED OF THE SECURITIES OR DETERMINED IF THIS COMMUNICATION IS TRUTHFUL OR COMPLETE.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a substitute for the registration statement or for any other document that Fulcrum may file with the SEC in connection with the proposed merger. In connection with the proposed merger between Fulcrum and Slate, Fulcrum intends to file relevant materials with the SEC, including a registration statement on Form S-4 that will contain a proxy statement/prospectus of Fulcrum. FULCRUM URGES INVESTORS AND STOCKHOLDERS TO READ THE REGISTRATION STATEMENT, PROXY STATEMENT/PROSPECTUS AND ANY OTHER RELEVANT DOCUMENTS THAT MAY BE FILED WITH THE SEC, AS WELL AS ANY AMENDMENTS OR SUPPLEMENTS TO THESE DOCUMENTS, CAREFULLY AND IN THEIR ENTIRETY IF AND WHEN THEY BECOME AVAILABLE BECAUSE THEY WILL CONTAIN IMPORTANT INFORMATION ABOUT FULCRUM, SLATE, THE PROPOSED MERGER AND RELATED MATTERS. Investors and stockholders will be able to obtain free copies of the proxy statement/prospectus and other documents filed by Fulcrum with the SEC (when they become available) through the website maintained by the SEC at www.sec.gov. Stockholders are urged to read the proxy statement/prospectus and the other relevant materials when they become available before making any voting or investment decision with respect to the proposed merger. In addition, investors and stockholders should note that Fulcrum communicates with investors and the public using its website (ir.fulcrumtx.com).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Fulcrum, Slate and their respective directors and executive officers may be deemed to be participants in the solicitation of proxies from stockholders in connection with the proposed merger. Information about Fulcrum’s directors and executive officers, including a description of their interests in Fulcrum, is included in Fulcrum’s definitive proxy statement on Schedule 14A for its 2026 Annual Meeting of Stockholders as filed with the SEC, and in filings by such individuals on Form 4. Additional information regarding these persons and their interests in the transaction will be included in the proxy statement/prospectus relating to the proposed merger when it is filed with the SEC. These documents can be obtained free of charge from the sources indicated above.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b/>
              </w:rPr>
            </w:pPr>
            <w:r>
              <w:rPr>
                <w:b/>
              </w:rPr>
              <w:t>Item 9.01.</w:t>
            </w:r>
          </w:p>
        </w:tc>
        <w:tc>
          <w:tcPr>
            <w:tcW w:w="908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01"/>
        <w:gridCol w:w="505"/>
        <w:gridCol w:w="7999"/>
      </w:tblGrid>
      <w:tr>
        <w:trPr/>
        <w:tc>
          <w:tcPr>
            <w:tcW w:w="1701" w:type="dxa"/>
            <w:tcBorders/>
            <w:vAlign w:val="center"/>
          </w:tcPr>
          <w:p>
            <w:pPr>
              <w:pStyle w:val="TableContents"/>
              <w:bidi w:val="0"/>
              <w:spacing w:before="0" w:after="283"/>
              <w:jc w:val="left"/>
              <w:rPr>
                <w:sz w:val="4"/>
                <w:szCs w:val="4"/>
              </w:rPr>
            </w:pPr>
            <w:r>
              <w:rPr>
                <w:sz w:val="4"/>
                <w:szCs w:val="4"/>
              </w:rPr>
            </w:r>
          </w:p>
        </w:tc>
        <w:tc>
          <w:tcPr>
            <w:tcW w:w="505" w:type="dxa"/>
            <w:tcBorders/>
            <w:vAlign w:val="bottom"/>
          </w:tcPr>
          <w:p>
            <w:pPr>
              <w:pStyle w:val="TableContents"/>
              <w:bidi w:val="0"/>
              <w:spacing w:before="0" w:after="283"/>
              <w:jc w:val="left"/>
              <w:rPr>
                <w:sz w:val="4"/>
                <w:szCs w:val="4"/>
              </w:rPr>
            </w:pPr>
            <w:r>
              <w:rPr>
                <w:sz w:val="4"/>
                <w:szCs w:val="4"/>
              </w:rPr>
            </w:r>
          </w:p>
        </w:tc>
        <w:tc>
          <w:tcPr>
            <w:tcW w:w="7999" w:type="dxa"/>
            <w:tcBorders/>
            <w:vAlign w:val="center"/>
          </w:tcPr>
          <w:p>
            <w:pPr>
              <w:pStyle w:val="TableContents"/>
              <w:bidi w:val="0"/>
              <w:spacing w:before="0" w:after="283"/>
              <w:jc w:val="left"/>
              <w:rPr>
                <w:sz w:val="4"/>
                <w:szCs w:val="4"/>
              </w:rPr>
            </w:pPr>
            <w:r>
              <w:rPr>
                <w:sz w:val="4"/>
                <w:szCs w:val="4"/>
              </w:rPr>
            </w:r>
          </w:p>
        </w:tc>
      </w:tr>
      <w:tr>
        <w:trPr/>
        <w:tc>
          <w:tcPr>
            <w:tcW w:w="1701" w:type="dxa"/>
            <w:tcBorders>
              <w:bottom w:val="single" w:sz="8" w:space="0" w:color="000000"/>
            </w:tcBorders>
            <w:tcMar>
              <w:bottom w:w="28" w:type="dxa"/>
            </w:tcMar>
            <w:vAlign w:val="bottom"/>
          </w:tcPr>
          <w:p>
            <w:pPr>
              <w:pStyle w:val="TableContents"/>
              <w:bidi w:val="0"/>
              <w:spacing w:before="0" w:after="283"/>
              <w:jc w:val="center"/>
              <w:rPr>
                <w:b/>
              </w:rPr>
            </w:pPr>
            <w:r>
              <w:rPr>
                <w:b/>
              </w:rPr>
              <w:t>Exhibit Number</w:t>
            </w:r>
          </w:p>
        </w:tc>
        <w:tc>
          <w:tcPr>
            <w:tcW w:w="505" w:type="dxa"/>
            <w:tcBorders/>
            <w:vAlign w:val="bottom"/>
          </w:tcPr>
          <w:p>
            <w:pPr>
              <w:pStyle w:val="TableContents"/>
              <w:bidi w:val="0"/>
              <w:spacing w:before="0" w:after="283"/>
              <w:jc w:val="left"/>
              <w:rPr/>
            </w:pPr>
            <w:r>
              <w:rPr/>
              <w:t> </w:t>
            </w:r>
          </w:p>
        </w:tc>
        <w:tc>
          <w:tcPr>
            <w:tcW w:w="799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1701" w:type="dxa"/>
            <w:tcBorders/>
            <w:vAlign w:val="center"/>
          </w:tcPr>
          <w:p>
            <w:pPr>
              <w:pStyle w:val="TableContents"/>
              <w:bidi w:val="0"/>
              <w:spacing w:before="0" w:after="283"/>
              <w:jc w:val="left"/>
              <w:rPr>
                <w:sz w:val="4"/>
                <w:szCs w:val="4"/>
              </w:rPr>
            </w:pPr>
            <w:r>
              <w:rPr>
                <w:sz w:val="4"/>
                <w:szCs w:val="4"/>
              </w:rPr>
            </w:r>
          </w:p>
        </w:tc>
        <w:tc>
          <w:tcPr>
            <w:tcW w:w="8504" w:type="dxa"/>
            <w:gridSpan w:val="2"/>
            <w:tcBorders/>
            <w:vAlign w:val="center"/>
          </w:tcPr>
          <w:p>
            <w:pPr>
              <w:pStyle w:val="TableContents"/>
              <w:bidi w:val="0"/>
              <w:spacing w:before="0" w:after="283"/>
              <w:jc w:val="left"/>
              <w:rPr>
                <w:sz w:val="4"/>
                <w:szCs w:val="4"/>
              </w:rPr>
            </w:pPr>
            <w:r>
              <w:rPr>
                <w:sz w:val="4"/>
                <w:szCs w:val="4"/>
              </w:rPr>
            </w:r>
          </w:p>
        </w:tc>
      </w:tr>
      <w:tr>
        <w:trPr/>
        <w:tc>
          <w:tcPr>
            <w:tcW w:w="1701" w:type="dxa"/>
            <w:tcBorders/>
          </w:tcPr>
          <w:p>
            <w:pPr>
              <w:pStyle w:val="TableContents"/>
              <w:bidi w:val="0"/>
              <w:spacing w:before="0" w:after="283"/>
              <w:jc w:val="left"/>
              <w:rPr/>
            </w:pPr>
            <w:r>
              <w:rPr/>
              <w:t>2.1*</w:t>
            </w:r>
          </w:p>
        </w:tc>
        <w:tc>
          <w:tcPr>
            <w:tcW w:w="505" w:type="dxa"/>
            <w:tcBorders/>
            <w:vAlign w:val="bottom"/>
          </w:tcPr>
          <w:p>
            <w:pPr>
              <w:pStyle w:val="TableContents"/>
              <w:bidi w:val="0"/>
              <w:spacing w:before="0" w:after="283"/>
              <w:jc w:val="left"/>
              <w:rPr/>
            </w:pPr>
            <w:r>
              <w:rPr/>
              <w:t> </w:t>
            </w:r>
          </w:p>
        </w:tc>
        <w:tc>
          <w:tcPr>
            <w:tcW w:w="7999" w:type="dxa"/>
            <w:tcBorders/>
          </w:tcPr>
          <w:p>
            <w:pPr>
              <w:pStyle w:val="TableContents"/>
              <w:bidi w:val="0"/>
              <w:spacing w:before="0" w:after="283"/>
              <w:jc w:val="left"/>
              <w:rPr/>
            </w:pPr>
            <w:r>
              <w:rPr/>
              <w:t>Agreement and Plan of Merger, dated as of August 16, 2026, by and among Fulcrum Therapeutics, Inc., Fusion Merger Sub I, Inc., Fusion Merger Sub II, LLC and Slate Medicines, Inc.</w:t>
            </w:r>
          </w:p>
        </w:tc>
      </w:tr>
      <w:tr>
        <w:trPr>
          <w:trHeight w:val="120" w:hRule="atLeast"/>
        </w:trPr>
        <w:tc>
          <w:tcPr>
            <w:tcW w:w="1701" w:type="dxa"/>
            <w:tcBorders/>
            <w:vAlign w:val="center"/>
          </w:tcPr>
          <w:p>
            <w:pPr>
              <w:pStyle w:val="TableContents"/>
              <w:bidi w:val="0"/>
              <w:spacing w:before="0" w:after="283"/>
              <w:jc w:val="left"/>
              <w:rPr>
                <w:sz w:val="4"/>
                <w:szCs w:val="4"/>
              </w:rPr>
            </w:pPr>
            <w:r>
              <w:rPr>
                <w:sz w:val="4"/>
                <w:szCs w:val="4"/>
              </w:rPr>
            </w:r>
          </w:p>
        </w:tc>
        <w:tc>
          <w:tcPr>
            <w:tcW w:w="8504" w:type="dxa"/>
            <w:gridSpan w:val="2"/>
            <w:tcBorders/>
            <w:vAlign w:val="center"/>
          </w:tcPr>
          <w:p>
            <w:pPr>
              <w:pStyle w:val="TableContents"/>
              <w:bidi w:val="0"/>
              <w:spacing w:before="0" w:after="283"/>
              <w:jc w:val="left"/>
              <w:rPr>
                <w:sz w:val="4"/>
                <w:szCs w:val="4"/>
              </w:rPr>
            </w:pPr>
            <w:r>
              <w:rPr>
                <w:sz w:val="4"/>
                <w:szCs w:val="4"/>
              </w:rPr>
            </w:r>
          </w:p>
        </w:tc>
      </w:tr>
      <w:tr>
        <w:trPr/>
        <w:tc>
          <w:tcPr>
            <w:tcW w:w="1701" w:type="dxa"/>
            <w:tcBorders/>
          </w:tcPr>
          <w:p>
            <w:pPr>
              <w:pStyle w:val="TableContents"/>
              <w:bidi w:val="0"/>
              <w:spacing w:before="0" w:after="283"/>
              <w:jc w:val="left"/>
              <w:rPr/>
            </w:pPr>
            <w:r>
              <w:rPr/>
              <w:t>10.1</w:t>
            </w:r>
          </w:p>
        </w:tc>
        <w:tc>
          <w:tcPr>
            <w:tcW w:w="505" w:type="dxa"/>
            <w:tcBorders/>
            <w:vAlign w:val="bottom"/>
          </w:tcPr>
          <w:p>
            <w:pPr>
              <w:pStyle w:val="TableContents"/>
              <w:bidi w:val="0"/>
              <w:spacing w:before="0" w:after="283"/>
              <w:jc w:val="left"/>
              <w:rPr/>
            </w:pPr>
            <w:r>
              <w:rPr/>
              <w:t> </w:t>
            </w:r>
          </w:p>
        </w:tc>
        <w:tc>
          <w:tcPr>
            <w:tcW w:w="7999" w:type="dxa"/>
            <w:tcBorders/>
          </w:tcPr>
          <w:p>
            <w:pPr>
              <w:pStyle w:val="TableContents"/>
              <w:bidi w:val="0"/>
              <w:spacing w:before="0" w:after="283"/>
              <w:jc w:val="left"/>
              <w:rPr/>
            </w:pPr>
            <w:r>
              <w:rPr/>
              <w:t>Form of Fulcrum Support Agreement</w:t>
            </w:r>
          </w:p>
        </w:tc>
      </w:tr>
      <w:tr>
        <w:trPr>
          <w:trHeight w:val="120" w:hRule="atLeast"/>
        </w:trPr>
        <w:tc>
          <w:tcPr>
            <w:tcW w:w="1701" w:type="dxa"/>
            <w:tcBorders/>
            <w:vAlign w:val="center"/>
          </w:tcPr>
          <w:p>
            <w:pPr>
              <w:pStyle w:val="TableContents"/>
              <w:bidi w:val="0"/>
              <w:spacing w:before="0" w:after="283"/>
              <w:jc w:val="left"/>
              <w:rPr>
                <w:sz w:val="4"/>
                <w:szCs w:val="4"/>
              </w:rPr>
            </w:pPr>
            <w:r>
              <w:rPr>
                <w:sz w:val="4"/>
                <w:szCs w:val="4"/>
              </w:rPr>
            </w:r>
          </w:p>
        </w:tc>
        <w:tc>
          <w:tcPr>
            <w:tcW w:w="8504" w:type="dxa"/>
            <w:gridSpan w:val="2"/>
            <w:tcBorders/>
            <w:vAlign w:val="center"/>
          </w:tcPr>
          <w:p>
            <w:pPr>
              <w:pStyle w:val="TableContents"/>
              <w:bidi w:val="0"/>
              <w:spacing w:before="0" w:after="283"/>
              <w:jc w:val="left"/>
              <w:rPr>
                <w:sz w:val="4"/>
                <w:szCs w:val="4"/>
              </w:rPr>
            </w:pPr>
            <w:r>
              <w:rPr>
                <w:sz w:val="4"/>
                <w:szCs w:val="4"/>
              </w:rPr>
            </w:r>
          </w:p>
        </w:tc>
      </w:tr>
      <w:tr>
        <w:trPr/>
        <w:tc>
          <w:tcPr>
            <w:tcW w:w="1701" w:type="dxa"/>
            <w:tcBorders/>
          </w:tcPr>
          <w:p>
            <w:pPr>
              <w:pStyle w:val="TableContents"/>
              <w:bidi w:val="0"/>
              <w:spacing w:before="0" w:after="283"/>
              <w:jc w:val="left"/>
              <w:rPr/>
            </w:pPr>
            <w:r>
              <w:rPr/>
              <w:t>10.2</w:t>
            </w:r>
          </w:p>
        </w:tc>
        <w:tc>
          <w:tcPr>
            <w:tcW w:w="505" w:type="dxa"/>
            <w:tcBorders/>
            <w:vAlign w:val="bottom"/>
          </w:tcPr>
          <w:p>
            <w:pPr>
              <w:pStyle w:val="TableContents"/>
              <w:bidi w:val="0"/>
              <w:spacing w:before="0" w:after="283"/>
              <w:jc w:val="left"/>
              <w:rPr/>
            </w:pPr>
            <w:r>
              <w:rPr/>
              <w:t> </w:t>
            </w:r>
          </w:p>
        </w:tc>
        <w:tc>
          <w:tcPr>
            <w:tcW w:w="7999" w:type="dxa"/>
            <w:tcBorders/>
          </w:tcPr>
          <w:p>
            <w:pPr>
              <w:pStyle w:val="TableContents"/>
              <w:bidi w:val="0"/>
              <w:spacing w:before="0" w:after="283"/>
              <w:jc w:val="left"/>
              <w:rPr/>
            </w:pPr>
            <w:r>
              <w:rPr/>
              <w:t>Form of Slate Support Agreement</w:t>
            </w:r>
          </w:p>
        </w:tc>
      </w:tr>
      <w:tr>
        <w:trPr>
          <w:trHeight w:val="120" w:hRule="atLeast"/>
        </w:trPr>
        <w:tc>
          <w:tcPr>
            <w:tcW w:w="1701" w:type="dxa"/>
            <w:tcBorders/>
            <w:vAlign w:val="center"/>
          </w:tcPr>
          <w:p>
            <w:pPr>
              <w:pStyle w:val="TableContents"/>
              <w:bidi w:val="0"/>
              <w:spacing w:before="0" w:after="283"/>
              <w:jc w:val="left"/>
              <w:rPr>
                <w:sz w:val="4"/>
                <w:szCs w:val="4"/>
              </w:rPr>
            </w:pPr>
            <w:r>
              <w:rPr>
                <w:sz w:val="4"/>
                <w:szCs w:val="4"/>
              </w:rPr>
            </w:r>
          </w:p>
        </w:tc>
        <w:tc>
          <w:tcPr>
            <w:tcW w:w="8504" w:type="dxa"/>
            <w:gridSpan w:val="2"/>
            <w:tcBorders/>
            <w:vAlign w:val="center"/>
          </w:tcPr>
          <w:p>
            <w:pPr>
              <w:pStyle w:val="TableContents"/>
              <w:bidi w:val="0"/>
              <w:spacing w:before="0" w:after="283"/>
              <w:jc w:val="left"/>
              <w:rPr>
                <w:sz w:val="4"/>
                <w:szCs w:val="4"/>
              </w:rPr>
            </w:pPr>
            <w:r>
              <w:rPr>
                <w:sz w:val="4"/>
                <w:szCs w:val="4"/>
              </w:rPr>
            </w:r>
          </w:p>
        </w:tc>
      </w:tr>
      <w:tr>
        <w:trPr/>
        <w:tc>
          <w:tcPr>
            <w:tcW w:w="1701" w:type="dxa"/>
            <w:tcBorders/>
          </w:tcPr>
          <w:p>
            <w:pPr>
              <w:pStyle w:val="TableContents"/>
              <w:bidi w:val="0"/>
              <w:spacing w:before="0" w:after="283"/>
              <w:jc w:val="left"/>
              <w:rPr/>
            </w:pPr>
            <w:r>
              <w:rPr/>
              <w:t>10.3</w:t>
            </w:r>
          </w:p>
        </w:tc>
        <w:tc>
          <w:tcPr>
            <w:tcW w:w="505" w:type="dxa"/>
            <w:tcBorders/>
            <w:vAlign w:val="bottom"/>
          </w:tcPr>
          <w:p>
            <w:pPr>
              <w:pStyle w:val="TableContents"/>
              <w:bidi w:val="0"/>
              <w:spacing w:before="0" w:after="283"/>
              <w:jc w:val="left"/>
              <w:rPr/>
            </w:pPr>
            <w:r>
              <w:rPr/>
              <w:t> </w:t>
            </w:r>
          </w:p>
        </w:tc>
        <w:tc>
          <w:tcPr>
            <w:tcW w:w="7999" w:type="dxa"/>
            <w:tcBorders/>
          </w:tcPr>
          <w:p>
            <w:pPr>
              <w:pStyle w:val="TableContents"/>
              <w:bidi w:val="0"/>
              <w:spacing w:before="0" w:after="283"/>
              <w:jc w:val="left"/>
              <w:rPr/>
            </w:pPr>
            <w:r>
              <w:rPr/>
              <w:t>Form of Lock-Up Agreement</w:t>
            </w:r>
          </w:p>
        </w:tc>
      </w:tr>
      <w:tr>
        <w:trPr>
          <w:trHeight w:val="120" w:hRule="atLeast"/>
        </w:trPr>
        <w:tc>
          <w:tcPr>
            <w:tcW w:w="1701" w:type="dxa"/>
            <w:tcBorders/>
            <w:vAlign w:val="center"/>
          </w:tcPr>
          <w:p>
            <w:pPr>
              <w:pStyle w:val="TableContents"/>
              <w:bidi w:val="0"/>
              <w:spacing w:before="0" w:after="283"/>
              <w:jc w:val="left"/>
              <w:rPr>
                <w:sz w:val="4"/>
                <w:szCs w:val="4"/>
              </w:rPr>
            </w:pPr>
            <w:r>
              <w:rPr>
                <w:sz w:val="4"/>
                <w:szCs w:val="4"/>
              </w:rPr>
            </w:r>
          </w:p>
        </w:tc>
        <w:tc>
          <w:tcPr>
            <w:tcW w:w="8504" w:type="dxa"/>
            <w:gridSpan w:val="2"/>
            <w:tcBorders/>
            <w:vAlign w:val="center"/>
          </w:tcPr>
          <w:p>
            <w:pPr>
              <w:pStyle w:val="TableContents"/>
              <w:bidi w:val="0"/>
              <w:spacing w:before="0" w:after="283"/>
              <w:jc w:val="left"/>
              <w:rPr>
                <w:sz w:val="4"/>
                <w:szCs w:val="4"/>
              </w:rPr>
            </w:pPr>
            <w:r>
              <w:rPr>
                <w:sz w:val="4"/>
                <w:szCs w:val="4"/>
              </w:rPr>
            </w:r>
          </w:p>
        </w:tc>
      </w:tr>
      <w:tr>
        <w:trPr/>
        <w:tc>
          <w:tcPr>
            <w:tcW w:w="1701" w:type="dxa"/>
            <w:tcBorders/>
          </w:tcPr>
          <w:p>
            <w:pPr>
              <w:pStyle w:val="TableContents"/>
              <w:bidi w:val="0"/>
              <w:spacing w:before="0" w:after="283"/>
              <w:jc w:val="left"/>
              <w:rPr/>
            </w:pPr>
            <w:r>
              <w:rPr/>
              <w:t>10.4*</w:t>
            </w:r>
          </w:p>
        </w:tc>
        <w:tc>
          <w:tcPr>
            <w:tcW w:w="505" w:type="dxa"/>
            <w:tcBorders/>
            <w:vAlign w:val="bottom"/>
          </w:tcPr>
          <w:p>
            <w:pPr>
              <w:pStyle w:val="TableContents"/>
              <w:bidi w:val="0"/>
              <w:spacing w:before="0" w:after="283"/>
              <w:jc w:val="left"/>
              <w:rPr/>
            </w:pPr>
            <w:r>
              <w:rPr/>
              <w:t> </w:t>
            </w:r>
          </w:p>
        </w:tc>
        <w:tc>
          <w:tcPr>
            <w:tcW w:w="7999" w:type="dxa"/>
            <w:tcBorders/>
          </w:tcPr>
          <w:p>
            <w:pPr>
              <w:pStyle w:val="TableContents"/>
              <w:bidi w:val="0"/>
              <w:spacing w:before="0" w:after="283"/>
              <w:jc w:val="left"/>
              <w:rPr/>
            </w:pPr>
            <w:r>
              <w:rPr/>
              <w:t xml:space="preserve">Form of Securities Purchase Agreement </w:t>
            </w:r>
          </w:p>
        </w:tc>
      </w:tr>
      <w:tr>
        <w:trPr>
          <w:trHeight w:val="120" w:hRule="atLeast"/>
        </w:trPr>
        <w:tc>
          <w:tcPr>
            <w:tcW w:w="1701" w:type="dxa"/>
            <w:tcBorders/>
            <w:vAlign w:val="center"/>
          </w:tcPr>
          <w:p>
            <w:pPr>
              <w:pStyle w:val="TableContents"/>
              <w:bidi w:val="0"/>
              <w:spacing w:before="0" w:after="283"/>
              <w:jc w:val="left"/>
              <w:rPr>
                <w:sz w:val="4"/>
                <w:szCs w:val="4"/>
              </w:rPr>
            </w:pPr>
            <w:r>
              <w:rPr>
                <w:sz w:val="4"/>
                <w:szCs w:val="4"/>
              </w:rPr>
            </w:r>
          </w:p>
        </w:tc>
        <w:tc>
          <w:tcPr>
            <w:tcW w:w="8504" w:type="dxa"/>
            <w:gridSpan w:val="2"/>
            <w:tcBorders/>
            <w:vAlign w:val="center"/>
          </w:tcPr>
          <w:p>
            <w:pPr>
              <w:pStyle w:val="TableContents"/>
              <w:bidi w:val="0"/>
              <w:spacing w:before="0" w:after="283"/>
              <w:jc w:val="left"/>
              <w:rPr>
                <w:sz w:val="4"/>
                <w:szCs w:val="4"/>
              </w:rPr>
            </w:pPr>
            <w:r>
              <w:rPr>
                <w:sz w:val="4"/>
                <w:szCs w:val="4"/>
              </w:rPr>
            </w:r>
          </w:p>
        </w:tc>
      </w:tr>
      <w:tr>
        <w:trPr/>
        <w:tc>
          <w:tcPr>
            <w:tcW w:w="1701" w:type="dxa"/>
            <w:tcBorders/>
          </w:tcPr>
          <w:p>
            <w:pPr>
              <w:pStyle w:val="TableContents"/>
              <w:bidi w:val="0"/>
              <w:spacing w:before="0" w:after="283"/>
              <w:jc w:val="left"/>
              <w:rPr/>
            </w:pPr>
            <w:r>
              <w:rPr/>
              <w:t>10.5</w:t>
            </w:r>
          </w:p>
        </w:tc>
        <w:tc>
          <w:tcPr>
            <w:tcW w:w="505" w:type="dxa"/>
            <w:tcBorders/>
            <w:vAlign w:val="bottom"/>
          </w:tcPr>
          <w:p>
            <w:pPr>
              <w:pStyle w:val="TableContents"/>
              <w:bidi w:val="0"/>
              <w:spacing w:before="0" w:after="283"/>
              <w:jc w:val="left"/>
              <w:rPr/>
            </w:pPr>
            <w:r>
              <w:rPr/>
              <w:t> </w:t>
            </w:r>
          </w:p>
        </w:tc>
        <w:tc>
          <w:tcPr>
            <w:tcW w:w="7999" w:type="dxa"/>
            <w:tcBorders/>
          </w:tcPr>
          <w:p>
            <w:pPr>
              <w:pStyle w:val="TableContents"/>
              <w:bidi w:val="0"/>
              <w:spacing w:before="0" w:after="283"/>
              <w:jc w:val="left"/>
              <w:rPr/>
            </w:pPr>
            <w:r>
              <w:rPr/>
              <w:t xml:space="preserve">Form of Registration Rights Agreement </w:t>
            </w:r>
          </w:p>
        </w:tc>
      </w:tr>
      <w:tr>
        <w:trPr>
          <w:trHeight w:val="120" w:hRule="atLeast"/>
        </w:trPr>
        <w:tc>
          <w:tcPr>
            <w:tcW w:w="1701" w:type="dxa"/>
            <w:tcBorders/>
            <w:vAlign w:val="center"/>
          </w:tcPr>
          <w:p>
            <w:pPr>
              <w:pStyle w:val="TableContents"/>
              <w:bidi w:val="0"/>
              <w:spacing w:before="0" w:after="283"/>
              <w:jc w:val="left"/>
              <w:rPr>
                <w:sz w:val="4"/>
                <w:szCs w:val="4"/>
              </w:rPr>
            </w:pPr>
            <w:r>
              <w:rPr>
                <w:sz w:val="4"/>
                <w:szCs w:val="4"/>
              </w:rPr>
            </w:r>
          </w:p>
        </w:tc>
        <w:tc>
          <w:tcPr>
            <w:tcW w:w="8504" w:type="dxa"/>
            <w:gridSpan w:val="2"/>
            <w:tcBorders/>
            <w:vAlign w:val="center"/>
          </w:tcPr>
          <w:p>
            <w:pPr>
              <w:pStyle w:val="TableContents"/>
              <w:bidi w:val="0"/>
              <w:spacing w:before="0" w:after="283"/>
              <w:jc w:val="left"/>
              <w:rPr>
                <w:sz w:val="4"/>
                <w:szCs w:val="4"/>
              </w:rPr>
            </w:pPr>
            <w:r>
              <w:rPr>
                <w:sz w:val="4"/>
                <w:szCs w:val="4"/>
              </w:rPr>
            </w:r>
          </w:p>
        </w:tc>
      </w:tr>
      <w:tr>
        <w:trPr/>
        <w:tc>
          <w:tcPr>
            <w:tcW w:w="1701" w:type="dxa"/>
            <w:tcBorders/>
          </w:tcPr>
          <w:p>
            <w:pPr>
              <w:pStyle w:val="TableContents"/>
              <w:bidi w:val="0"/>
              <w:spacing w:before="0" w:after="283"/>
              <w:jc w:val="left"/>
              <w:rPr/>
            </w:pPr>
            <w:r>
              <w:rPr/>
              <w:t>99.1</w:t>
            </w:r>
          </w:p>
        </w:tc>
        <w:tc>
          <w:tcPr>
            <w:tcW w:w="505" w:type="dxa"/>
            <w:tcBorders/>
            <w:vAlign w:val="bottom"/>
          </w:tcPr>
          <w:p>
            <w:pPr>
              <w:pStyle w:val="TableContents"/>
              <w:bidi w:val="0"/>
              <w:spacing w:before="0" w:after="283"/>
              <w:jc w:val="left"/>
              <w:rPr/>
            </w:pPr>
            <w:r>
              <w:rPr/>
              <w:t> </w:t>
            </w:r>
          </w:p>
        </w:tc>
        <w:tc>
          <w:tcPr>
            <w:tcW w:w="7999" w:type="dxa"/>
            <w:tcBorders/>
          </w:tcPr>
          <w:p>
            <w:pPr>
              <w:pStyle w:val="TableContents"/>
              <w:bidi w:val="0"/>
              <w:spacing w:before="0" w:after="283"/>
              <w:jc w:val="left"/>
              <w:rPr/>
            </w:pPr>
            <w:r>
              <w:rPr/>
              <w:t>Joint Press Release, issued on August 17, 2026</w:t>
            </w:r>
          </w:p>
        </w:tc>
      </w:tr>
      <w:tr>
        <w:trPr>
          <w:trHeight w:val="120" w:hRule="atLeast"/>
        </w:trPr>
        <w:tc>
          <w:tcPr>
            <w:tcW w:w="1701" w:type="dxa"/>
            <w:tcBorders/>
            <w:vAlign w:val="center"/>
          </w:tcPr>
          <w:p>
            <w:pPr>
              <w:pStyle w:val="TableContents"/>
              <w:bidi w:val="0"/>
              <w:spacing w:before="0" w:after="283"/>
              <w:jc w:val="left"/>
              <w:rPr>
                <w:sz w:val="4"/>
                <w:szCs w:val="4"/>
              </w:rPr>
            </w:pPr>
            <w:r>
              <w:rPr>
                <w:sz w:val="4"/>
                <w:szCs w:val="4"/>
              </w:rPr>
            </w:r>
          </w:p>
        </w:tc>
        <w:tc>
          <w:tcPr>
            <w:tcW w:w="8504" w:type="dxa"/>
            <w:gridSpan w:val="2"/>
            <w:tcBorders/>
            <w:vAlign w:val="center"/>
          </w:tcPr>
          <w:p>
            <w:pPr>
              <w:pStyle w:val="TableContents"/>
              <w:bidi w:val="0"/>
              <w:spacing w:before="0" w:after="283"/>
              <w:jc w:val="left"/>
              <w:rPr>
                <w:sz w:val="4"/>
                <w:szCs w:val="4"/>
              </w:rPr>
            </w:pPr>
            <w:r>
              <w:rPr>
                <w:sz w:val="4"/>
                <w:szCs w:val="4"/>
              </w:rPr>
            </w:r>
          </w:p>
        </w:tc>
      </w:tr>
      <w:tr>
        <w:trPr/>
        <w:tc>
          <w:tcPr>
            <w:tcW w:w="1701" w:type="dxa"/>
            <w:tcBorders/>
          </w:tcPr>
          <w:p>
            <w:pPr>
              <w:pStyle w:val="TableContents"/>
              <w:bidi w:val="0"/>
              <w:spacing w:before="0" w:after="283"/>
              <w:jc w:val="left"/>
              <w:rPr/>
            </w:pPr>
            <w:r>
              <w:rPr/>
              <w:t>99.2</w:t>
            </w:r>
          </w:p>
        </w:tc>
        <w:tc>
          <w:tcPr>
            <w:tcW w:w="505" w:type="dxa"/>
            <w:tcBorders/>
            <w:vAlign w:val="bottom"/>
          </w:tcPr>
          <w:p>
            <w:pPr>
              <w:pStyle w:val="TableContents"/>
              <w:bidi w:val="0"/>
              <w:spacing w:before="0" w:after="283"/>
              <w:jc w:val="left"/>
              <w:rPr/>
            </w:pPr>
            <w:r>
              <w:rPr/>
              <w:t> </w:t>
            </w:r>
          </w:p>
        </w:tc>
        <w:tc>
          <w:tcPr>
            <w:tcW w:w="7999" w:type="dxa"/>
            <w:tcBorders/>
          </w:tcPr>
          <w:p>
            <w:pPr>
              <w:pStyle w:val="TableContents"/>
              <w:bidi w:val="0"/>
              <w:spacing w:before="0" w:after="283"/>
              <w:jc w:val="left"/>
              <w:rPr/>
            </w:pPr>
            <w:r>
              <w:rPr/>
              <w:t>Investor Presentation, dated August 17, 2026</w:t>
            </w:r>
          </w:p>
        </w:tc>
      </w:tr>
      <w:tr>
        <w:trPr>
          <w:trHeight w:val="120" w:hRule="atLeast"/>
        </w:trPr>
        <w:tc>
          <w:tcPr>
            <w:tcW w:w="1701" w:type="dxa"/>
            <w:tcBorders/>
            <w:vAlign w:val="center"/>
          </w:tcPr>
          <w:p>
            <w:pPr>
              <w:pStyle w:val="TableContents"/>
              <w:bidi w:val="0"/>
              <w:spacing w:before="0" w:after="283"/>
              <w:jc w:val="left"/>
              <w:rPr>
                <w:sz w:val="4"/>
                <w:szCs w:val="4"/>
              </w:rPr>
            </w:pPr>
            <w:r>
              <w:rPr>
                <w:sz w:val="4"/>
                <w:szCs w:val="4"/>
              </w:rPr>
            </w:r>
          </w:p>
        </w:tc>
        <w:tc>
          <w:tcPr>
            <w:tcW w:w="8504" w:type="dxa"/>
            <w:gridSpan w:val="2"/>
            <w:tcBorders/>
            <w:vAlign w:val="center"/>
          </w:tcPr>
          <w:p>
            <w:pPr>
              <w:pStyle w:val="TableContents"/>
              <w:bidi w:val="0"/>
              <w:spacing w:before="0" w:after="283"/>
              <w:jc w:val="left"/>
              <w:rPr>
                <w:sz w:val="4"/>
                <w:szCs w:val="4"/>
              </w:rPr>
            </w:pPr>
            <w:r>
              <w:rPr>
                <w:sz w:val="4"/>
                <w:szCs w:val="4"/>
              </w:rPr>
            </w:r>
          </w:p>
        </w:tc>
      </w:tr>
      <w:tr>
        <w:trPr/>
        <w:tc>
          <w:tcPr>
            <w:tcW w:w="1701" w:type="dxa"/>
            <w:tcBorders/>
          </w:tcPr>
          <w:p>
            <w:pPr>
              <w:pStyle w:val="TableContents"/>
              <w:bidi w:val="0"/>
              <w:spacing w:before="0" w:after="283"/>
              <w:jc w:val="left"/>
              <w:rPr/>
            </w:pPr>
            <w:r>
              <w:rPr/>
              <w:t>104</w:t>
            </w:r>
          </w:p>
        </w:tc>
        <w:tc>
          <w:tcPr>
            <w:tcW w:w="505" w:type="dxa"/>
            <w:tcBorders/>
            <w:vAlign w:val="bottom"/>
          </w:tcPr>
          <w:p>
            <w:pPr>
              <w:pStyle w:val="TableContents"/>
              <w:bidi w:val="0"/>
              <w:spacing w:before="0" w:after="283"/>
              <w:jc w:val="left"/>
              <w:rPr/>
            </w:pPr>
            <w:r>
              <w:rPr/>
              <w:t> </w:t>
            </w:r>
          </w:p>
        </w:tc>
        <w:tc>
          <w:tcPr>
            <w:tcW w:w="7999" w:type="dxa"/>
            <w:tcBorders/>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Exhibits and/or schedules have been omitted pursuant to Item 601(a)(5) of Regulation S-K. The registrant hereby undertakes to furnish supplementally copies of any of the omitted exhibits and schedules upon request by the SEC; provided, however, that the registrant may request confidential treatment pursuant to Rule 24b-2 under the Exchange Act for any exhibits or schedules so furnished.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64"/>
        <w:gridCol w:w="102"/>
        <w:gridCol w:w="405"/>
        <w:gridCol w:w="102"/>
        <w:gridCol w:w="313"/>
        <w:gridCol w:w="102"/>
        <w:gridCol w:w="4617"/>
      </w:tblGrid>
      <w:tr>
        <w:trPr/>
        <w:tc>
          <w:tcPr>
            <w:tcW w:w="456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617" w:type="dxa"/>
            <w:tcBorders/>
            <w:vAlign w:val="center"/>
          </w:tcPr>
          <w:p>
            <w:pPr>
              <w:pStyle w:val="TableContents"/>
              <w:bidi w:val="0"/>
              <w:spacing w:before="0" w:after="283"/>
              <w:jc w:val="left"/>
              <w:rPr>
                <w:sz w:val="4"/>
                <w:szCs w:val="4"/>
              </w:rPr>
            </w:pPr>
            <w:r>
              <w:rPr>
                <w:sz w:val="4"/>
                <w:szCs w:val="4"/>
              </w:rPr>
            </w:r>
          </w:p>
        </w:tc>
      </w:tr>
      <w:tr>
        <w:trPr/>
        <w:tc>
          <w:tcPr>
            <w:tcW w:w="4564"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FULCRUM THERAPEUTICS, INC.</w:t>
            </w:r>
          </w:p>
        </w:tc>
      </w:tr>
      <w:tr>
        <w:trPr>
          <w:trHeight w:val="240" w:hRule="atLeast"/>
        </w:trPr>
        <w:tc>
          <w:tcPr>
            <w:tcW w:w="4564"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15" w:type="dxa"/>
            <w:gridSpan w:val="2"/>
            <w:tcBorders/>
            <w:vAlign w:val="center"/>
          </w:tcPr>
          <w:p>
            <w:pPr>
              <w:pStyle w:val="TableContents"/>
              <w:bidi w:val="0"/>
              <w:spacing w:before="0" w:after="283"/>
              <w:jc w:val="left"/>
              <w:rPr>
                <w:sz w:val="4"/>
                <w:szCs w:val="4"/>
              </w:rPr>
            </w:pPr>
            <w:r>
              <w:rPr>
                <w:sz w:val="4"/>
                <w:szCs w:val="4"/>
              </w:rPr>
            </w:r>
          </w:p>
        </w:tc>
        <w:tc>
          <w:tcPr>
            <w:tcW w:w="4719" w:type="dxa"/>
            <w:gridSpan w:val="2"/>
            <w:tcBorders/>
            <w:vAlign w:val="center"/>
          </w:tcPr>
          <w:p>
            <w:pPr>
              <w:pStyle w:val="TableContents"/>
              <w:bidi w:val="0"/>
              <w:spacing w:before="0" w:after="283"/>
              <w:jc w:val="left"/>
              <w:rPr>
                <w:sz w:val="4"/>
                <w:szCs w:val="4"/>
              </w:rPr>
            </w:pPr>
            <w:r>
              <w:rPr>
                <w:sz w:val="4"/>
                <w:szCs w:val="4"/>
              </w:rPr>
            </w:r>
          </w:p>
        </w:tc>
      </w:tr>
      <w:tr>
        <w:trPr/>
        <w:tc>
          <w:tcPr>
            <w:tcW w:w="4564" w:type="dxa"/>
            <w:tcBorders/>
            <w:vAlign w:val="bottom"/>
          </w:tcPr>
          <w:p>
            <w:pPr>
              <w:pStyle w:val="TableContents"/>
              <w:bidi w:val="0"/>
              <w:spacing w:before="0" w:after="283"/>
              <w:jc w:val="left"/>
              <w:rPr/>
            </w:pPr>
            <w:r>
              <w:rPr/>
              <w:t>Date: August 17, 2026</w:t>
            </w:r>
          </w:p>
        </w:tc>
        <w:tc>
          <w:tcPr>
            <w:tcW w:w="102"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3"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4617"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Alex C. Sapir</w:t>
            </w:r>
          </w:p>
        </w:tc>
      </w:tr>
      <w:tr>
        <w:trPr/>
        <w:tc>
          <w:tcPr>
            <w:tcW w:w="4564"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17" w:type="dxa"/>
            <w:tcBorders/>
          </w:tcPr>
          <w:p>
            <w:pPr>
              <w:pStyle w:val="TableContents"/>
              <w:bidi w:val="0"/>
              <w:spacing w:before="0" w:after="283"/>
              <w:jc w:val="left"/>
              <w:rPr/>
            </w:pPr>
            <w:r>
              <w:rPr/>
              <w:t xml:space="preserve">Name: Alex C. Sapir </w:t>
            </w:r>
          </w:p>
        </w:tc>
      </w:tr>
      <w:tr>
        <w:trPr/>
        <w:tc>
          <w:tcPr>
            <w:tcW w:w="4564"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17" w:type="dxa"/>
            <w:tcBorders/>
          </w:tcPr>
          <w:p>
            <w:pPr>
              <w:pStyle w:val="TableContents"/>
              <w:bidi w:val="0"/>
              <w:spacing w:before="0" w:after="283"/>
              <w:jc w:val="left"/>
              <w:rPr/>
            </w:pPr>
            <w:r>
              <w:rPr/>
              <w:t>Title: President and Chief Executive Officer</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2.1 </w:t>
      </w:r>
    </w:p>
    <w:p>
      <w:pPr>
        <w:pStyle w:val="TextBody"/>
        <w:bidi w:val="0"/>
        <w:spacing w:before="240" w:after="0"/>
        <w:jc w:val="right"/>
        <w:rPr>
          <w:rFonts w:ascii="Times New Roman" w:hAnsi="Times New Roman"/>
          <w:b/>
          <w:sz w:val="20"/>
          <w:u w:val="single"/>
        </w:rPr>
      </w:pPr>
      <w:r>
        <w:rPr>
          <w:rFonts w:ascii="Times New Roman" w:hAnsi="Times New Roman"/>
          <w:b/>
          <w:sz w:val="20"/>
          <w:u w:val="single"/>
        </w:rPr>
        <w:t xml:space="preserve">EXECUTION VERSION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FULCRUM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FUSION MERGER SUB I, INC., </w:t>
      </w:r>
    </w:p>
    <w:p>
      <w:pPr>
        <w:pStyle w:val="TextBody"/>
        <w:bidi w:val="0"/>
        <w:spacing w:before="240" w:after="0"/>
        <w:jc w:val="center"/>
        <w:rPr>
          <w:rFonts w:ascii="Times New Roman" w:hAnsi="Times New Roman"/>
          <w:b/>
          <w:sz w:val="20"/>
        </w:rPr>
      </w:pPr>
      <w:r>
        <w:rPr>
          <w:rFonts w:ascii="Times New Roman" w:hAnsi="Times New Roman"/>
          <w:b/>
          <w:sz w:val="20"/>
        </w:rPr>
        <w:t xml:space="preserve">FUSION MERGER SUB II, LLC,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August 16, 2026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24"/>
        <w:gridCol w:w="84"/>
        <w:gridCol w:w="8179"/>
        <w:gridCol w:w="140"/>
        <w:gridCol w:w="96"/>
        <w:gridCol w:w="420"/>
        <w:gridCol w:w="62"/>
      </w:tblGrid>
      <w:tr>
        <w:trPr/>
        <w:tc>
          <w:tcPr>
            <w:tcW w:w="1224"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8179"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87" w:type="dxa"/>
            <w:gridSpan w:val="3"/>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6"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487" w:type="dxa"/>
            <w:gridSpan w:val="3"/>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948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 &amp; INTERPRETATIONS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rHeight w:val="120" w:hRule="atLeast"/>
        </w:trPr>
        <w:tc>
          <w:tcPr>
            <w:tcW w:w="1224" w:type="dxa"/>
            <w:tcBorders/>
            <w:vAlign w:val="center"/>
          </w:tcPr>
          <w:p>
            <w:pPr>
              <w:pStyle w:val="TableContents"/>
              <w:bidi w:val="0"/>
              <w:spacing w:before="0" w:after="283"/>
              <w:jc w:val="left"/>
              <w:rPr>
                <w:sz w:val="4"/>
                <w:szCs w:val="4"/>
              </w:rPr>
            </w:pPr>
            <w:r>
              <w:rPr>
                <w:sz w:val="4"/>
                <w:szCs w:val="4"/>
              </w:rPr>
            </w:r>
          </w:p>
        </w:tc>
        <w:tc>
          <w:tcPr>
            <w:tcW w:w="8263"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Certain Definitions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Interpretation</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Currency</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rHeight w:val="120" w:hRule="atLeast"/>
        </w:trPr>
        <w:tc>
          <w:tcPr>
            <w:tcW w:w="9487" w:type="dxa"/>
            <w:gridSpan w:val="3"/>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948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THE MERGER</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rHeight w:val="120" w:hRule="atLeast"/>
        </w:trPr>
        <w:tc>
          <w:tcPr>
            <w:tcW w:w="1224" w:type="dxa"/>
            <w:tcBorders/>
            <w:vAlign w:val="center"/>
          </w:tcPr>
          <w:p>
            <w:pPr>
              <w:pStyle w:val="TableContents"/>
              <w:bidi w:val="0"/>
              <w:spacing w:before="0" w:after="283"/>
              <w:jc w:val="left"/>
              <w:rPr>
                <w:sz w:val="4"/>
                <w:szCs w:val="4"/>
              </w:rPr>
            </w:pPr>
            <w:r>
              <w:rPr>
                <w:sz w:val="4"/>
                <w:szCs w:val="4"/>
              </w:rPr>
            </w:r>
          </w:p>
        </w:tc>
        <w:tc>
          <w:tcPr>
            <w:tcW w:w="8263"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Formation of Merger Subs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The Mergers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Closing</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First Effective Time; Second Effective Time</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Effects of the Merger</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2.6</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Parent Governance</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2.7</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First Step Surviving Company and Surviving Entity Governance</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rHeight w:val="120" w:hRule="atLeast"/>
        </w:trPr>
        <w:tc>
          <w:tcPr>
            <w:tcW w:w="9487" w:type="dxa"/>
            <w:gridSpan w:val="3"/>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948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EFFECT ON THE CAPITAL STOCK OF THE CONSTITUENT COMPANIES; EXCHANGE OF CERTIFICATES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rHeight w:val="120" w:hRule="atLeast"/>
        </w:trPr>
        <w:tc>
          <w:tcPr>
            <w:tcW w:w="1224" w:type="dxa"/>
            <w:tcBorders/>
            <w:vAlign w:val="center"/>
          </w:tcPr>
          <w:p>
            <w:pPr>
              <w:pStyle w:val="TableContents"/>
              <w:bidi w:val="0"/>
              <w:spacing w:before="0" w:after="283"/>
              <w:jc w:val="left"/>
              <w:rPr>
                <w:sz w:val="4"/>
                <w:szCs w:val="4"/>
              </w:rPr>
            </w:pPr>
            <w:r>
              <w:rPr>
                <w:sz w:val="4"/>
                <w:szCs w:val="4"/>
              </w:rPr>
            </w:r>
          </w:p>
        </w:tc>
        <w:tc>
          <w:tcPr>
            <w:tcW w:w="8263"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Conversion of Capital Stock</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Treatment of Company Options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Treatment of Company Warrants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Exchange and Payment</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Withholding Rights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3.6</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Dissenters Rights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3.7</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Calculation of Net Cash</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rHeight w:val="120" w:hRule="atLeast"/>
        </w:trPr>
        <w:tc>
          <w:tcPr>
            <w:tcW w:w="9487" w:type="dxa"/>
            <w:gridSpan w:val="3"/>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948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REPRESENTATIONS AND WARRANTIES OF THE COMPANY</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rHeight w:val="120" w:hRule="atLeast"/>
        </w:trPr>
        <w:tc>
          <w:tcPr>
            <w:tcW w:w="1224" w:type="dxa"/>
            <w:tcBorders/>
            <w:vAlign w:val="center"/>
          </w:tcPr>
          <w:p>
            <w:pPr>
              <w:pStyle w:val="TableContents"/>
              <w:bidi w:val="0"/>
              <w:spacing w:before="0" w:after="283"/>
              <w:jc w:val="left"/>
              <w:rPr>
                <w:sz w:val="4"/>
                <w:szCs w:val="4"/>
              </w:rPr>
            </w:pPr>
            <w:r>
              <w:rPr>
                <w:sz w:val="4"/>
                <w:szCs w:val="4"/>
              </w:rPr>
            </w:r>
          </w:p>
        </w:tc>
        <w:tc>
          <w:tcPr>
            <w:tcW w:w="8263"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Organization, Standing and Power</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Capital Stock</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Subsidiaries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Authority</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No Conflict; Consents and Approvals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4.6</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Financial Statements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4.7</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No Undisclosed Liabilities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4.8</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Absence of Certain Changes or Events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4.9</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Litigation</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4.10</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Compliance with Laws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4.11</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Health Care Regulatory Matters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4.12</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Benefit Plans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4.13</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Labor and Employment Matters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338"/>
        <w:gridCol w:w="105"/>
        <w:gridCol w:w="8226"/>
        <w:gridCol w:w="152"/>
        <w:gridCol w:w="60"/>
        <w:gridCol w:w="261"/>
        <w:gridCol w:w="63"/>
      </w:tblGrid>
      <w:tr>
        <w:trPr/>
        <w:tc>
          <w:tcPr>
            <w:tcW w:w="1338"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8226"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4.14</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Environmental Matters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4.15</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Tax Matters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4.16</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Contracts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4.17</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Insurance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4.18</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Properties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4.19</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Intellectual Property; Privacy and Security</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4.20</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State Takeover Statutes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4.21</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No Rights Plan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4.22</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Related Party Transactions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4.23</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Certain Payments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4.24</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Trade Laws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4.25</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CFIUS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4.26</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Outbound Investment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4.27</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Data Security Program</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4.28</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Brokers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4.29</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Subscription Agreement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4.30</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No Other Representations and Warranties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9669" w:type="dxa"/>
            <w:gridSpan w:val="3"/>
            <w:tcBorders/>
            <w:vAlign w:val="center"/>
          </w:tcPr>
          <w:p>
            <w:pPr>
              <w:pStyle w:val="TableContents"/>
              <w:bidi w:val="0"/>
              <w:spacing w:before="0" w:after="283"/>
              <w:jc w:val="left"/>
              <w:rPr>
                <w:sz w:val="4"/>
                <w:szCs w:val="4"/>
              </w:rPr>
            </w:pPr>
            <w:r>
              <w:rPr>
                <w:sz w:val="4"/>
                <w:szCs w:val="4"/>
              </w:rPr>
            </w:r>
          </w:p>
        </w:tc>
        <w:tc>
          <w:tcPr>
            <w:tcW w:w="536" w:type="dxa"/>
            <w:gridSpan w:val="4"/>
            <w:tcBorders/>
            <w:vAlign w:val="center"/>
          </w:tcPr>
          <w:p>
            <w:pPr>
              <w:pStyle w:val="TableContents"/>
              <w:bidi w:val="0"/>
              <w:spacing w:before="0" w:after="283"/>
              <w:jc w:val="left"/>
              <w:rPr>
                <w:sz w:val="4"/>
                <w:szCs w:val="4"/>
              </w:rPr>
            </w:pPr>
            <w:r>
              <w:rPr>
                <w:sz w:val="4"/>
                <w:szCs w:val="4"/>
              </w:rPr>
            </w:r>
          </w:p>
        </w:tc>
      </w:tr>
      <w:tr>
        <w:trPr/>
        <w:tc>
          <w:tcPr>
            <w:tcW w:w="966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REPRESENTATIONS AND WARRANTIES OF PARENT AND MERGER SUB</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1338" w:type="dxa"/>
            <w:tcBorders/>
            <w:vAlign w:val="center"/>
          </w:tcPr>
          <w:p>
            <w:pPr>
              <w:pStyle w:val="TableContents"/>
              <w:bidi w:val="0"/>
              <w:spacing w:before="0" w:after="283"/>
              <w:jc w:val="left"/>
              <w:rPr>
                <w:sz w:val="4"/>
                <w:szCs w:val="4"/>
              </w:rPr>
            </w:pPr>
            <w:r>
              <w:rPr>
                <w:sz w:val="4"/>
                <w:szCs w:val="4"/>
              </w:rPr>
            </w:r>
          </w:p>
        </w:tc>
        <w:tc>
          <w:tcPr>
            <w:tcW w:w="8331" w:type="dxa"/>
            <w:gridSpan w:val="2"/>
            <w:tcBorders/>
            <w:vAlign w:val="center"/>
          </w:tcPr>
          <w:p>
            <w:pPr>
              <w:pStyle w:val="TableContents"/>
              <w:bidi w:val="0"/>
              <w:spacing w:before="0" w:after="283"/>
              <w:jc w:val="left"/>
              <w:rPr>
                <w:sz w:val="4"/>
                <w:szCs w:val="4"/>
              </w:rPr>
            </w:pPr>
            <w:r>
              <w:rPr>
                <w:sz w:val="4"/>
                <w:szCs w:val="4"/>
              </w:rPr>
            </w:r>
          </w:p>
        </w:tc>
        <w:tc>
          <w:tcPr>
            <w:tcW w:w="536" w:type="dxa"/>
            <w:gridSpan w:val="4"/>
            <w:tcBorders/>
            <w:vAlign w:val="center"/>
          </w:tcPr>
          <w:p>
            <w:pPr>
              <w:pStyle w:val="TableContents"/>
              <w:bidi w:val="0"/>
              <w:spacing w:before="0" w:after="283"/>
              <w:jc w:val="left"/>
              <w:rPr>
                <w:sz w:val="4"/>
                <w:szCs w:val="4"/>
              </w:rPr>
            </w:pPr>
            <w:r>
              <w:rPr>
                <w:sz w:val="4"/>
                <w:szCs w:val="4"/>
              </w:rPr>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Organization, Standing and Power</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Capital Stock</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Subsidiaries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Authority</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5.5</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No Conflict; Consents and Approvals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5.6</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SEC Reports; Financial Statements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5.7</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No Undisclosed Liabilities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5.8</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Absence of Certain Changes or Events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5.9</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Litigation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Compliance with Law</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Health Care Regulatory Matters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Benefit Plans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5.13</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Labor and Employment Matters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5.14</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Environmental Matters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5.15</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Tax Matters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5.16</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Contracts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5.17</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Insurance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5.18</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Properties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5.19</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Intellectual Property</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5.20</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Related Party Transactions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5.21</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Certain Payments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5.22</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Trade Laws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5.23</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CFIUS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5.24</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Outbound Investment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5.25</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Data Security Program</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338" w:type="dxa"/>
            <w:tcBorders/>
          </w:tcPr>
          <w:p>
            <w:pPr>
              <w:pStyle w:val="TableContents"/>
              <w:bidi w:val="0"/>
              <w:spacing w:before="0" w:after="0"/>
              <w:jc w:val="left"/>
              <w:rPr>
                <w:rFonts w:ascii="Times New Roman" w:hAnsi="Times New Roman"/>
                <w:sz w:val="20"/>
              </w:rPr>
            </w:pPr>
            <w:r>
              <w:rPr>
                <w:rFonts w:ascii="Times New Roman" w:hAnsi="Times New Roman"/>
                <w:sz w:val="20"/>
              </w:rPr>
              <w:t>Section 5.26</w:t>
            </w:r>
          </w:p>
        </w:tc>
        <w:tc>
          <w:tcPr>
            <w:tcW w:w="105" w:type="dxa"/>
            <w:tcBorders/>
            <w:vAlign w:val="bottom"/>
          </w:tcPr>
          <w:p>
            <w:pPr>
              <w:pStyle w:val="TableContents"/>
              <w:bidi w:val="0"/>
              <w:spacing w:before="0" w:after="283"/>
              <w:jc w:val="left"/>
              <w:rPr/>
            </w:pPr>
            <w:r>
              <w:rPr/>
              <w:t> </w:t>
            </w:r>
          </w:p>
        </w:tc>
        <w:tc>
          <w:tcPr>
            <w:tcW w:w="8226" w:type="dxa"/>
            <w:tcBorders/>
            <w:vAlign w:val="bottom"/>
          </w:tcPr>
          <w:p>
            <w:pPr>
              <w:pStyle w:val="TableContents"/>
              <w:bidi w:val="0"/>
              <w:spacing w:before="0" w:after="283"/>
              <w:jc w:val="left"/>
              <w:rPr/>
            </w:pPr>
            <w:r>
              <w:rPr/>
              <w:t>Brokers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280"/>
        <w:gridCol w:w="96"/>
        <w:gridCol w:w="8299"/>
        <w:gridCol w:w="145"/>
        <w:gridCol w:w="60"/>
        <w:gridCol w:w="261"/>
        <w:gridCol w:w="64"/>
      </w:tblGrid>
      <w:tr>
        <w:trPr/>
        <w:tc>
          <w:tcPr>
            <w:tcW w:w="1280"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8299"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5.27</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Opinion of Financial Advisor</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5.28</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State Takeover Statutes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5.29</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No Other Representations or Warranties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rHeight w:val="120" w:hRule="atLeast"/>
        </w:trPr>
        <w:tc>
          <w:tcPr>
            <w:tcW w:w="9675" w:type="dxa"/>
            <w:gridSpan w:val="3"/>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96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COVENANTS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rHeight w:val="120" w:hRule="atLeast"/>
        </w:trPr>
        <w:tc>
          <w:tcPr>
            <w:tcW w:w="1280" w:type="dxa"/>
            <w:tcBorders/>
            <w:vAlign w:val="center"/>
          </w:tcPr>
          <w:p>
            <w:pPr>
              <w:pStyle w:val="TableContents"/>
              <w:bidi w:val="0"/>
              <w:spacing w:before="0" w:after="283"/>
              <w:jc w:val="left"/>
              <w:rPr>
                <w:sz w:val="4"/>
                <w:szCs w:val="4"/>
              </w:rPr>
            </w:pPr>
            <w:r>
              <w:rPr>
                <w:sz w:val="4"/>
                <w:szCs w:val="4"/>
              </w:rPr>
            </w:r>
          </w:p>
        </w:tc>
        <w:tc>
          <w:tcPr>
            <w:tcW w:w="8395" w:type="dxa"/>
            <w:gridSpan w:val="2"/>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Operation of Parent’s Business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Operation of Company’s Business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Access and Investigation</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73</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No Solicitation</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74</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Notification of Certain Matters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Parent Options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Parent Restricted Stock Unit Awards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6.8</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Parent ESPP</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77</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6.9</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Parent 401(k) Plan</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77</w:t>
            </w:r>
          </w:p>
        </w:tc>
        <w:tc>
          <w:tcPr>
            <w:tcW w:w="64" w:type="dxa"/>
            <w:tcBorders/>
            <w:vAlign w:val="bottom"/>
          </w:tcPr>
          <w:p>
            <w:pPr>
              <w:pStyle w:val="TableContents"/>
              <w:bidi w:val="0"/>
              <w:spacing w:before="0" w:after="283"/>
              <w:jc w:val="left"/>
              <w:rPr/>
            </w:pPr>
            <w:r>
              <w:rPr/>
              <w:t> </w:t>
            </w:r>
          </w:p>
        </w:tc>
      </w:tr>
      <w:tr>
        <w:trPr>
          <w:trHeight w:val="120" w:hRule="atLeast"/>
        </w:trPr>
        <w:tc>
          <w:tcPr>
            <w:tcW w:w="9675" w:type="dxa"/>
            <w:gridSpan w:val="3"/>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96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ADDITIONAL AGREEMENTS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77</w:t>
            </w:r>
          </w:p>
        </w:tc>
        <w:tc>
          <w:tcPr>
            <w:tcW w:w="64" w:type="dxa"/>
            <w:tcBorders/>
            <w:vAlign w:val="bottom"/>
          </w:tcPr>
          <w:p>
            <w:pPr>
              <w:pStyle w:val="TableContents"/>
              <w:bidi w:val="0"/>
              <w:spacing w:before="0" w:after="283"/>
              <w:jc w:val="left"/>
              <w:rPr/>
            </w:pPr>
            <w:r>
              <w:rPr/>
              <w:t> </w:t>
            </w:r>
          </w:p>
        </w:tc>
      </w:tr>
      <w:tr>
        <w:trPr>
          <w:trHeight w:val="120" w:hRule="atLeast"/>
        </w:trPr>
        <w:tc>
          <w:tcPr>
            <w:tcW w:w="1280" w:type="dxa"/>
            <w:tcBorders/>
            <w:vAlign w:val="center"/>
          </w:tcPr>
          <w:p>
            <w:pPr>
              <w:pStyle w:val="TableContents"/>
              <w:bidi w:val="0"/>
              <w:spacing w:before="0" w:after="283"/>
              <w:jc w:val="left"/>
              <w:rPr>
                <w:sz w:val="4"/>
                <w:szCs w:val="4"/>
              </w:rPr>
            </w:pPr>
            <w:r>
              <w:rPr>
                <w:sz w:val="4"/>
                <w:szCs w:val="4"/>
              </w:rPr>
            </w:r>
          </w:p>
        </w:tc>
        <w:tc>
          <w:tcPr>
            <w:tcW w:w="8395" w:type="dxa"/>
            <w:gridSpan w:val="2"/>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Registration Statement; Proxy Statement</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77</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Company Stockholder Approval</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Parent Stockholders’ Meeting</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81</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Efforts; Regulatory Approvals; Transaction Litigation</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Indemnification, Exculpation and Insurance</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85</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Section 16 Matters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87</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7.7</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Disclosure</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87</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7.8</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Listing</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88</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7.9</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Tax Matters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88</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Directors and Officers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Termination of Certain Agreements and Rights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Obligations of Merger Subs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Allocation Certificate</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7.14</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Pre-Closing Cash Dividend</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7.15</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Concurrent Investment</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91</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7.16</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Parent Equity Plans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91</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7.17</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Parent SEC Documents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r>
        <w:trPr>
          <w:trHeight w:val="120" w:hRule="atLeast"/>
        </w:trPr>
        <w:tc>
          <w:tcPr>
            <w:tcW w:w="9675" w:type="dxa"/>
            <w:gridSpan w:val="3"/>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96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CLOSING CONDITIONS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r>
        <w:trPr>
          <w:trHeight w:val="120" w:hRule="atLeast"/>
        </w:trPr>
        <w:tc>
          <w:tcPr>
            <w:tcW w:w="1280" w:type="dxa"/>
            <w:tcBorders/>
            <w:vAlign w:val="center"/>
          </w:tcPr>
          <w:p>
            <w:pPr>
              <w:pStyle w:val="TableContents"/>
              <w:bidi w:val="0"/>
              <w:spacing w:before="0" w:after="283"/>
              <w:jc w:val="left"/>
              <w:rPr>
                <w:sz w:val="4"/>
                <w:szCs w:val="4"/>
              </w:rPr>
            </w:pPr>
            <w:r>
              <w:rPr>
                <w:sz w:val="4"/>
                <w:szCs w:val="4"/>
              </w:rPr>
            </w:r>
          </w:p>
        </w:tc>
        <w:tc>
          <w:tcPr>
            <w:tcW w:w="8395" w:type="dxa"/>
            <w:gridSpan w:val="2"/>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Conditions Precedent of each Party</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Conditions Precedent to Obligation of the Company</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93</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Conditions Precedent of Parent and Merger Sub</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94</w:t>
            </w:r>
          </w:p>
        </w:tc>
        <w:tc>
          <w:tcPr>
            <w:tcW w:w="64" w:type="dxa"/>
            <w:tcBorders/>
            <w:vAlign w:val="bottom"/>
          </w:tcPr>
          <w:p>
            <w:pPr>
              <w:pStyle w:val="TableContents"/>
              <w:bidi w:val="0"/>
              <w:spacing w:before="0" w:after="283"/>
              <w:jc w:val="left"/>
              <w:rPr/>
            </w:pPr>
            <w:r>
              <w:rPr/>
              <w:t> </w:t>
            </w:r>
          </w:p>
        </w:tc>
      </w:tr>
      <w:tr>
        <w:trPr>
          <w:trHeight w:val="120" w:hRule="atLeast"/>
        </w:trPr>
        <w:tc>
          <w:tcPr>
            <w:tcW w:w="9675" w:type="dxa"/>
            <w:gridSpan w:val="3"/>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96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TERMINATION</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95</w:t>
            </w:r>
          </w:p>
        </w:tc>
        <w:tc>
          <w:tcPr>
            <w:tcW w:w="64" w:type="dxa"/>
            <w:tcBorders/>
            <w:vAlign w:val="bottom"/>
          </w:tcPr>
          <w:p>
            <w:pPr>
              <w:pStyle w:val="TableContents"/>
              <w:bidi w:val="0"/>
              <w:spacing w:before="0" w:after="283"/>
              <w:jc w:val="left"/>
              <w:rPr/>
            </w:pPr>
            <w:r>
              <w:rPr/>
              <w:t> </w:t>
            </w:r>
          </w:p>
        </w:tc>
      </w:tr>
      <w:tr>
        <w:trPr>
          <w:trHeight w:val="120" w:hRule="atLeast"/>
        </w:trPr>
        <w:tc>
          <w:tcPr>
            <w:tcW w:w="1280" w:type="dxa"/>
            <w:tcBorders/>
            <w:vAlign w:val="center"/>
          </w:tcPr>
          <w:p>
            <w:pPr>
              <w:pStyle w:val="TableContents"/>
              <w:bidi w:val="0"/>
              <w:spacing w:before="0" w:after="283"/>
              <w:jc w:val="left"/>
              <w:rPr>
                <w:sz w:val="4"/>
                <w:szCs w:val="4"/>
              </w:rPr>
            </w:pPr>
            <w:r>
              <w:rPr>
                <w:sz w:val="4"/>
                <w:szCs w:val="4"/>
              </w:rPr>
            </w:r>
          </w:p>
        </w:tc>
        <w:tc>
          <w:tcPr>
            <w:tcW w:w="8395" w:type="dxa"/>
            <w:gridSpan w:val="2"/>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Termination</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95</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Effect of Termination</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98</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96" w:type="dxa"/>
            <w:tcBorders/>
            <w:vAlign w:val="bottom"/>
          </w:tcPr>
          <w:p>
            <w:pPr>
              <w:pStyle w:val="TableContents"/>
              <w:bidi w:val="0"/>
              <w:spacing w:before="0" w:after="283"/>
              <w:jc w:val="left"/>
              <w:rPr/>
            </w:pPr>
            <w:r>
              <w:rPr/>
              <w:t> </w:t>
            </w:r>
          </w:p>
        </w:tc>
        <w:tc>
          <w:tcPr>
            <w:tcW w:w="8299" w:type="dxa"/>
            <w:tcBorders/>
            <w:vAlign w:val="bottom"/>
          </w:tcPr>
          <w:p>
            <w:pPr>
              <w:pStyle w:val="TableContents"/>
              <w:bidi w:val="0"/>
              <w:spacing w:before="0" w:after="283"/>
              <w:jc w:val="left"/>
              <w:rPr/>
            </w:pPr>
            <w:r>
              <w:rPr/>
              <w:t>Expenses; Termination Fees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98</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377"/>
        <w:gridCol w:w="99"/>
        <w:gridCol w:w="8083"/>
        <w:gridCol w:w="141"/>
        <w:gridCol w:w="60"/>
        <w:gridCol w:w="382"/>
        <w:gridCol w:w="63"/>
      </w:tblGrid>
      <w:tr>
        <w:trPr/>
        <w:tc>
          <w:tcPr>
            <w:tcW w:w="1377"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8083"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5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 GENERAL PROVISIONS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rHeight w:val="120" w:hRule="atLeast"/>
        </w:trPr>
        <w:tc>
          <w:tcPr>
            <w:tcW w:w="1377" w:type="dxa"/>
            <w:tcBorders/>
            <w:vAlign w:val="center"/>
          </w:tcPr>
          <w:p>
            <w:pPr>
              <w:pStyle w:val="TableContents"/>
              <w:bidi w:val="0"/>
              <w:spacing w:before="0" w:after="283"/>
              <w:jc w:val="left"/>
              <w:rPr>
                <w:sz w:val="4"/>
                <w:szCs w:val="4"/>
              </w:rPr>
            </w:pPr>
            <w:r>
              <w:rPr>
                <w:sz w:val="4"/>
                <w:szCs w:val="4"/>
              </w:rPr>
            </w:r>
          </w:p>
        </w:tc>
        <w:tc>
          <w:tcPr>
            <w:tcW w:w="8182" w:type="dxa"/>
            <w:gridSpan w:val="2"/>
            <w:tcBorders/>
            <w:vAlign w:val="center"/>
          </w:tcPr>
          <w:p>
            <w:pPr>
              <w:pStyle w:val="TableContents"/>
              <w:bidi w:val="0"/>
              <w:spacing w:before="0" w:after="283"/>
              <w:jc w:val="left"/>
              <w:rPr>
                <w:sz w:val="4"/>
                <w:szCs w:val="4"/>
              </w:rPr>
            </w:pPr>
            <w:r>
              <w:rPr>
                <w:sz w:val="4"/>
                <w:szCs w:val="4"/>
              </w:rPr>
            </w:r>
          </w:p>
        </w:tc>
        <w:tc>
          <w:tcPr>
            <w:tcW w:w="646" w:type="dxa"/>
            <w:gridSpan w:val="4"/>
            <w:tcBorders/>
            <w:vAlign w:val="center"/>
          </w:tcPr>
          <w:p>
            <w:pPr>
              <w:pStyle w:val="TableContents"/>
              <w:bidi w:val="0"/>
              <w:spacing w:before="0" w:after="283"/>
              <w:jc w:val="left"/>
              <w:rPr>
                <w:sz w:val="4"/>
                <w:szCs w:val="4"/>
              </w:rPr>
            </w:pPr>
            <w:r>
              <w:rPr>
                <w:sz w:val="4"/>
                <w:szCs w:val="4"/>
              </w:rPr>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99" w:type="dxa"/>
            <w:tcBorders/>
            <w:vAlign w:val="bottom"/>
          </w:tcPr>
          <w:p>
            <w:pPr>
              <w:pStyle w:val="TableContents"/>
              <w:bidi w:val="0"/>
              <w:spacing w:before="0" w:after="283"/>
              <w:jc w:val="left"/>
              <w:rPr/>
            </w:pPr>
            <w:r>
              <w:rPr/>
              <w:t> </w:t>
            </w:r>
          </w:p>
        </w:tc>
        <w:tc>
          <w:tcPr>
            <w:tcW w:w="8083" w:type="dxa"/>
            <w:tcBorders/>
            <w:vAlign w:val="bottom"/>
          </w:tcPr>
          <w:p>
            <w:pPr>
              <w:pStyle w:val="TableContents"/>
              <w:bidi w:val="0"/>
              <w:spacing w:before="0" w:after="283"/>
              <w:jc w:val="left"/>
              <w:rPr/>
            </w:pPr>
            <w:r>
              <w:rPr/>
              <w:t>Non-survival of Representations and Warranties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99" w:type="dxa"/>
            <w:tcBorders/>
            <w:vAlign w:val="bottom"/>
          </w:tcPr>
          <w:p>
            <w:pPr>
              <w:pStyle w:val="TableContents"/>
              <w:bidi w:val="0"/>
              <w:spacing w:before="0" w:after="283"/>
              <w:jc w:val="left"/>
              <w:rPr/>
            </w:pPr>
            <w:r>
              <w:rPr/>
              <w:t> </w:t>
            </w:r>
          </w:p>
        </w:tc>
        <w:tc>
          <w:tcPr>
            <w:tcW w:w="8083" w:type="dxa"/>
            <w:tcBorders/>
            <w:vAlign w:val="bottom"/>
          </w:tcPr>
          <w:p>
            <w:pPr>
              <w:pStyle w:val="TableContents"/>
              <w:bidi w:val="0"/>
              <w:spacing w:before="0" w:after="283"/>
              <w:jc w:val="left"/>
              <w:rPr/>
            </w:pPr>
            <w:r>
              <w:rPr/>
              <w:t>Amendment or Supplement</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99" w:type="dxa"/>
            <w:tcBorders/>
            <w:vAlign w:val="bottom"/>
          </w:tcPr>
          <w:p>
            <w:pPr>
              <w:pStyle w:val="TableContents"/>
              <w:bidi w:val="0"/>
              <w:spacing w:before="0" w:after="283"/>
              <w:jc w:val="left"/>
              <w:rPr/>
            </w:pPr>
            <w:r>
              <w:rPr/>
              <w:t> </w:t>
            </w:r>
          </w:p>
        </w:tc>
        <w:tc>
          <w:tcPr>
            <w:tcW w:w="8083" w:type="dxa"/>
            <w:tcBorders/>
            <w:vAlign w:val="bottom"/>
          </w:tcPr>
          <w:p>
            <w:pPr>
              <w:pStyle w:val="TableContents"/>
              <w:bidi w:val="0"/>
              <w:spacing w:before="0" w:after="283"/>
              <w:jc w:val="left"/>
              <w:rPr/>
            </w:pPr>
            <w:r>
              <w:rPr/>
              <w:t>Waiver</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99" w:type="dxa"/>
            <w:tcBorders/>
            <w:vAlign w:val="bottom"/>
          </w:tcPr>
          <w:p>
            <w:pPr>
              <w:pStyle w:val="TableContents"/>
              <w:bidi w:val="0"/>
              <w:spacing w:before="0" w:after="283"/>
              <w:jc w:val="left"/>
              <w:rPr/>
            </w:pPr>
            <w:r>
              <w:rPr/>
              <w:t> </w:t>
            </w:r>
          </w:p>
        </w:tc>
        <w:tc>
          <w:tcPr>
            <w:tcW w:w="8083" w:type="dxa"/>
            <w:tcBorders/>
            <w:vAlign w:val="bottom"/>
          </w:tcPr>
          <w:p>
            <w:pPr>
              <w:pStyle w:val="TableContents"/>
              <w:bidi w:val="0"/>
              <w:spacing w:before="0" w:after="283"/>
              <w:jc w:val="left"/>
              <w:rPr/>
            </w:pPr>
            <w:r>
              <w:rPr/>
              <w:t>Fees and Expenses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99" w:type="dxa"/>
            <w:tcBorders/>
            <w:vAlign w:val="bottom"/>
          </w:tcPr>
          <w:p>
            <w:pPr>
              <w:pStyle w:val="TableContents"/>
              <w:bidi w:val="0"/>
              <w:spacing w:before="0" w:after="283"/>
              <w:jc w:val="left"/>
              <w:rPr/>
            </w:pPr>
            <w:r>
              <w:rPr/>
              <w:t> </w:t>
            </w:r>
          </w:p>
        </w:tc>
        <w:tc>
          <w:tcPr>
            <w:tcW w:w="8083" w:type="dxa"/>
            <w:tcBorders/>
            <w:vAlign w:val="bottom"/>
          </w:tcPr>
          <w:p>
            <w:pPr>
              <w:pStyle w:val="TableContents"/>
              <w:bidi w:val="0"/>
              <w:spacing w:before="0" w:after="283"/>
              <w:jc w:val="left"/>
              <w:rPr/>
            </w:pPr>
            <w:r>
              <w:rPr/>
              <w:t>Notices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101</w:t>
            </w:r>
          </w:p>
        </w:tc>
        <w:tc>
          <w:tcPr>
            <w:tcW w:w="63"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99" w:type="dxa"/>
            <w:tcBorders/>
            <w:vAlign w:val="bottom"/>
          </w:tcPr>
          <w:p>
            <w:pPr>
              <w:pStyle w:val="TableContents"/>
              <w:bidi w:val="0"/>
              <w:spacing w:before="0" w:after="283"/>
              <w:jc w:val="left"/>
              <w:rPr/>
            </w:pPr>
            <w:r>
              <w:rPr/>
              <w:t> </w:t>
            </w:r>
          </w:p>
        </w:tc>
        <w:tc>
          <w:tcPr>
            <w:tcW w:w="8083" w:type="dxa"/>
            <w:tcBorders/>
            <w:vAlign w:val="bottom"/>
          </w:tcPr>
          <w:p>
            <w:pPr>
              <w:pStyle w:val="TableContents"/>
              <w:bidi w:val="0"/>
              <w:spacing w:before="0" w:after="283"/>
              <w:jc w:val="left"/>
              <w:rPr/>
            </w:pPr>
            <w:r>
              <w:rPr/>
              <w:t>Entire Agreement</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102</w:t>
            </w:r>
          </w:p>
        </w:tc>
        <w:tc>
          <w:tcPr>
            <w:tcW w:w="63"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99" w:type="dxa"/>
            <w:tcBorders/>
            <w:vAlign w:val="bottom"/>
          </w:tcPr>
          <w:p>
            <w:pPr>
              <w:pStyle w:val="TableContents"/>
              <w:bidi w:val="0"/>
              <w:spacing w:before="0" w:after="283"/>
              <w:jc w:val="left"/>
              <w:rPr/>
            </w:pPr>
            <w:r>
              <w:rPr/>
              <w:t> </w:t>
            </w:r>
          </w:p>
        </w:tc>
        <w:tc>
          <w:tcPr>
            <w:tcW w:w="8083" w:type="dxa"/>
            <w:tcBorders/>
            <w:vAlign w:val="bottom"/>
          </w:tcPr>
          <w:p>
            <w:pPr>
              <w:pStyle w:val="TableContents"/>
              <w:bidi w:val="0"/>
              <w:spacing w:before="0" w:after="283"/>
              <w:jc w:val="left"/>
              <w:rPr/>
            </w:pPr>
            <w:r>
              <w:rPr/>
              <w:t>No Third Party Beneficiaries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102</w:t>
            </w:r>
          </w:p>
        </w:tc>
        <w:tc>
          <w:tcPr>
            <w:tcW w:w="63"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99" w:type="dxa"/>
            <w:tcBorders/>
            <w:vAlign w:val="bottom"/>
          </w:tcPr>
          <w:p>
            <w:pPr>
              <w:pStyle w:val="TableContents"/>
              <w:bidi w:val="0"/>
              <w:spacing w:before="0" w:after="283"/>
              <w:jc w:val="left"/>
              <w:rPr/>
            </w:pPr>
            <w:r>
              <w:rPr/>
              <w:t> </w:t>
            </w:r>
          </w:p>
        </w:tc>
        <w:tc>
          <w:tcPr>
            <w:tcW w:w="8083" w:type="dxa"/>
            <w:tcBorders/>
            <w:vAlign w:val="bottom"/>
          </w:tcPr>
          <w:p>
            <w:pPr>
              <w:pStyle w:val="TableContents"/>
              <w:bidi w:val="0"/>
              <w:spacing w:before="0" w:after="283"/>
              <w:jc w:val="left"/>
              <w:rPr/>
            </w:pPr>
            <w:r>
              <w:rPr/>
              <w:t>Governing Law</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102</w:t>
            </w:r>
          </w:p>
        </w:tc>
        <w:tc>
          <w:tcPr>
            <w:tcW w:w="63"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99" w:type="dxa"/>
            <w:tcBorders/>
            <w:vAlign w:val="bottom"/>
          </w:tcPr>
          <w:p>
            <w:pPr>
              <w:pStyle w:val="TableContents"/>
              <w:bidi w:val="0"/>
              <w:spacing w:before="0" w:after="283"/>
              <w:jc w:val="left"/>
              <w:rPr/>
            </w:pPr>
            <w:r>
              <w:rPr/>
              <w:t> </w:t>
            </w:r>
          </w:p>
        </w:tc>
        <w:tc>
          <w:tcPr>
            <w:tcW w:w="8083" w:type="dxa"/>
            <w:tcBorders/>
            <w:vAlign w:val="bottom"/>
          </w:tcPr>
          <w:p>
            <w:pPr>
              <w:pStyle w:val="TableContents"/>
              <w:bidi w:val="0"/>
              <w:spacing w:before="0" w:after="283"/>
              <w:jc w:val="left"/>
              <w:rPr/>
            </w:pPr>
            <w:r>
              <w:rPr/>
              <w:t>Submission to Jurisdiction</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102</w:t>
            </w:r>
          </w:p>
        </w:tc>
        <w:tc>
          <w:tcPr>
            <w:tcW w:w="63"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10.10</w:t>
            </w:r>
          </w:p>
        </w:tc>
        <w:tc>
          <w:tcPr>
            <w:tcW w:w="99" w:type="dxa"/>
            <w:tcBorders/>
            <w:vAlign w:val="bottom"/>
          </w:tcPr>
          <w:p>
            <w:pPr>
              <w:pStyle w:val="TableContents"/>
              <w:bidi w:val="0"/>
              <w:spacing w:before="0" w:after="283"/>
              <w:jc w:val="left"/>
              <w:rPr/>
            </w:pPr>
            <w:r>
              <w:rPr/>
              <w:t> </w:t>
            </w:r>
          </w:p>
        </w:tc>
        <w:tc>
          <w:tcPr>
            <w:tcW w:w="8083" w:type="dxa"/>
            <w:tcBorders/>
            <w:vAlign w:val="bottom"/>
          </w:tcPr>
          <w:p>
            <w:pPr>
              <w:pStyle w:val="TableContents"/>
              <w:bidi w:val="0"/>
              <w:spacing w:before="0" w:after="283"/>
              <w:jc w:val="left"/>
              <w:rPr/>
            </w:pPr>
            <w:r>
              <w:rPr/>
              <w:t>Assignment; Successors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103</w:t>
            </w:r>
          </w:p>
        </w:tc>
        <w:tc>
          <w:tcPr>
            <w:tcW w:w="63"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10.11</w:t>
            </w:r>
          </w:p>
        </w:tc>
        <w:tc>
          <w:tcPr>
            <w:tcW w:w="99" w:type="dxa"/>
            <w:tcBorders/>
            <w:vAlign w:val="bottom"/>
          </w:tcPr>
          <w:p>
            <w:pPr>
              <w:pStyle w:val="TableContents"/>
              <w:bidi w:val="0"/>
              <w:spacing w:before="0" w:after="283"/>
              <w:jc w:val="left"/>
              <w:rPr/>
            </w:pPr>
            <w:r>
              <w:rPr/>
              <w:t> </w:t>
            </w:r>
          </w:p>
        </w:tc>
        <w:tc>
          <w:tcPr>
            <w:tcW w:w="8083" w:type="dxa"/>
            <w:tcBorders/>
            <w:vAlign w:val="bottom"/>
          </w:tcPr>
          <w:p>
            <w:pPr>
              <w:pStyle w:val="TableContents"/>
              <w:bidi w:val="0"/>
              <w:spacing w:before="0" w:after="283"/>
              <w:jc w:val="left"/>
              <w:rPr/>
            </w:pPr>
            <w:r>
              <w:rPr/>
              <w:t>Specific Performance</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103</w:t>
            </w:r>
          </w:p>
        </w:tc>
        <w:tc>
          <w:tcPr>
            <w:tcW w:w="63"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10.12</w:t>
            </w:r>
          </w:p>
        </w:tc>
        <w:tc>
          <w:tcPr>
            <w:tcW w:w="99" w:type="dxa"/>
            <w:tcBorders/>
            <w:vAlign w:val="bottom"/>
          </w:tcPr>
          <w:p>
            <w:pPr>
              <w:pStyle w:val="TableContents"/>
              <w:bidi w:val="0"/>
              <w:spacing w:before="0" w:after="283"/>
              <w:jc w:val="left"/>
              <w:rPr/>
            </w:pPr>
            <w:r>
              <w:rPr/>
              <w:t> </w:t>
            </w:r>
          </w:p>
        </w:tc>
        <w:tc>
          <w:tcPr>
            <w:tcW w:w="8083" w:type="dxa"/>
            <w:tcBorders/>
            <w:vAlign w:val="bottom"/>
          </w:tcPr>
          <w:p>
            <w:pPr>
              <w:pStyle w:val="TableContents"/>
              <w:bidi w:val="0"/>
              <w:spacing w:before="0" w:after="283"/>
              <w:jc w:val="left"/>
              <w:rPr/>
            </w:pPr>
            <w:r>
              <w:rPr/>
              <w:t>Severability</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103</w:t>
            </w:r>
          </w:p>
        </w:tc>
        <w:tc>
          <w:tcPr>
            <w:tcW w:w="63"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10.13</w:t>
            </w:r>
          </w:p>
        </w:tc>
        <w:tc>
          <w:tcPr>
            <w:tcW w:w="99" w:type="dxa"/>
            <w:tcBorders/>
            <w:vAlign w:val="bottom"/>
          </w:tcPr>
          <w:p>
            <w:pPr>
              <w:pStyle w:val="TableContents"/>
              <w:bidi w:val="0"/>
              <w:spacing w:before="0" w:after="283"/>
              <w:jc w:val="left"/>
              <w:rPr/>
            </w:pPr>
            <w:r>
              <w:rPr/>
              <w:t> </w:t>
            </w:r>
          </w:p>
        </w:tc>
        <w:tc>
          <w:tcPr>
            <w:tcW w:w="8083" w:type="dxa"/>
            <w:tcBorders/>
            <w:vAlign w:val="bottom"/>
          </w:tcPr>
          <w:p>
            <w:pPr>
              <w:pStyle w:val="TableContents"/>
              <w:bidi w:val="0"/>
              <w:spacing w:before="0" w:after="283"/>
              <w:jc w:val="left"/>
              <w:rPr/>
            </w:pPr>
            <w:r>
              <w:rPr/>
              <w:t>Waiver of Jury Trial</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103</w:t>
            </w:r>
          </w:p>
        </w:tc>
        <w:tc>
          <w:tcPr>
            <w:tcW w:w="63"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10.14</w:t>
            </w:r>
          </w:p>
        </w:tc>
        <w:tc>
          <w:tcPr>
            <w:tcW w:w="99" w:type="dxa"/>
            <w:tcBorders/>
            <w:vAlign w:val="bottom"/>
          </w:tcPr>
          <w:p>
            <w:pPr>
              <w:pStyle w:val="TableContents"/>
              <w:bidi w:val="0"/>
              <w:spacing w:before="0" w:after="283"/>
              <w:jc w:val="left"/>
              <w:rPr/>
            </w:pPr>
            <w:r>
              <w:rPr/>
              <w:t> </w:t>
            </w:r>
          </w:p>
        </w:tc>
        <w:tc>
          <w:tcPr>
            <w:tcW w:w="8083" w:type="dxa"/>
            <w:tcBorders/>
            <w:vAlign w:val="bottom"/>
          </w:tcPr>
          <w:p>
            <w:pPr>
              <w:pStyle w:val="TableContents"/>
              <w:bidi w:val="0"/>
              <w:spacing w:before="0" w:after="283"/>
              <w:jc w:val="left"/>
              <w:rPr/>
            </w:pPr>
            <w:r>
              <w:rPr/>
              <w:t>Counterparts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103</w:t>
            </w:r>
          </w:p>
        </w:tc>
        <w:tc>
          <w:tcPr>
            <w:tcW w:w="63"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10.15</w:t>
            </w:r>
          </w:p>
        </w:tc>
        <w:tc>
          <w:tcPr>
            <w:tcW w:w="99" w:type="dxa"/>
            <w:tcBorders/>
            <w:vAlign w:val="bottom"/>
          </w:tcPr>
          <w:p>
            <w:pPr>
              <w:pStyle w:val="TableContents"/>
              <w:bidi w:val="0"/>
              <w:spacing w:before="0" w:after="283"/>
              <w:jc w:val="left"/>
              <w:rPr/>
            </w:pPr>
            <w:r>
              <w:rPr/>
              <w:t> </w:t>
            </w:r>
          </w:p>
        </w:tc>
        <w:tc>
          <w:tcPr>
            <w:tcW w:w="8083" w:type="dxa"/>
            <w:tcBorders/>
            <w:vAlign w:val="bottom"/>
          </w:tcPr>
          <w:p>
            <w:pPr>
              <w:pStyle w:val="TableContents"/>
              <w:bidi w:val="0"/>
              <w:spacing w:before="0" w:after="283"/>
              <w:jc w:val="left"/>
              <w:rPr/>
            </w:pPr>
            <w:r>
              <w:rPr/>
              <w:t>Facsimile or .pdf Signature</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104</w:t>
            </w:r>
          </w:p>
        </w:tc>
        <w:tc>
          <w:tcPr>
            <w:tcW w:w="63"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10.16</w:t>
            </w:r>
          </w:p>
        </w:tc>
        <w:tc>
          <w:tcPr>
            <w:tcW w:w="99" w:type="dxa"/>
            <w:tcBorders/>
            <w:vAlign w:val="bottom"/>
          </w:tcPr>
          <w:p>
            <w:pPr>
              <w:pStyle w:val="TableContents"/>
              <w:bidi w:val="0"/>
              <w:spacing w:before="0" w:after="283"/>
              <w:jc w:val="left"/>
              <w:rPr/>
            </w:pPr>
            <w:r>
              <w:rPr/>
              <w:t> </w:t>
            </w:r>
          </w:p>
        </w:tc>
        <w:tc>
          <w:tcPr>
            <w:tcW w:w="8083" w:type="dxa"/>
            <w:tcBorders/>
            <w:vAlign w:val="bottom"/>
          </w:tcPr>
          <w:p>
            <w:pPr>
              <w:pStyle w:val="TableContents"/>
              <w:bidi w:val="0"/>
              <w:spacing w:before="0" w:after="283"/>
              <w:jc w:val="left"/>
              <w:rPr/>
            </w:pPr>
            <w:r>
              <w:rPr/>
              <w:t>No Presumption Against Drafting Party</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76"/>
        <w:gridCol w:w="121"/>
        <w:gridCol w:w="9008"/>
      </w:tblGrid>
      <w:tr>
        <w:trPr/>
        <w:tc>
          <w:tcPr>
            <w:tcW w:w="107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9008" w:type="dxa"/>
            <w:tcBorders/>
            <w:vAlign w:val="center"/>
          </w:tcPr>
          <w:p>
            <w:pPr>
              <w:pStyle w:val="TableContents"/>
              <w:bidi w:val="0"/>
              <w:spacing w:before="0" w:after="283"/>
              <w:jc w:val="left"/>
              <w:rPr>
                <w:sz w:val="4"/>
                <w:szCs w:val="4"/>
              </w:rPr>
            </w:pPr>
            <w:r>
              <w:rPr>
                <w:sz w:val="4"/>
                <w:szCs w:val="4"/>
              </w:rPr>
            </w:r>
          </w:p>
        </w:tc>
      </w:tr>
      <w:tr>
        <w:trPr/>
        <w:tc>
          <w:tcPr>
            <w:tcW w:w="1076" w:type="dxa"/>
            <w:tcBorders/>
          </w:tcPr>
          <w:p>
            <w:pPr>
              <w:pStyle w:val="TableContents"/>
              <w:bidi w:val="0"/>
              <w:spacing w:before="0" w:after="283"/>
              <w:jc w:val="left"/>
              <w:rPr/>
            </w:pPr>
            <w:r>
              <w:rPr/>
              <w:t>Exhibit A</w:t>
            </w:r>
          </w:p>
        </w:tc>
        <w:tc>
          <w:tcPr>
            <w:tcW w:w="121" w:type="dxa"/>
            <w:tcBorders/>
            <w:vAlign w:val="bottom"/>
          </w:tcPr>
          <w:p>
            <w:pPr>
              <w:pStyle w:val="TableContents"/>
              <w:bidi w:val="0"/>
              <w:spacing w:before="0" w:after="283"/>
              <w:jc w:val="left"/>
              <w:rPr/>
            </w:pPr>
            <w:r>
              <w:rPr/>
              <w:t>  </w:t>
            </w:r>
          </w:p>
        </w:tc>
        <w:tc>
          <w:tcPr>
            <w:tcW w:w="9008" w:type="dxa"/>
            <w:tcBorders/>
          </w:tcPr>
          <w:p>
            <w:pPr>
              <w:pStyle w:val="TableContents"/>
              <w:bidi w:val="0"/>
              <w:spacing w:before="0" w:after="283"/>
              <w:jc w:val="left"/>
              <w:rPr/>
            </w:pPr>
            <w:r>
              <w:rPr/>
              <w:t>Form of Parent Support Agreement</w:t>
            </w:r>
          </w:p>
        </w:tc>
      </w:tr>
      <w:tr>
        <w:trPr/>
        <w:tc>
          <w:tcPr>
            <w:tcW w:w="1076" w:type="dxa"/>
            <w:tcBorders/>
          </w:tcPr>
          <w:p>
            <w:pPr>
              <w:pStyle w:val="TableContents"/>
              <w:bidi w:val="0"/>
              <w:spacing w:before="0" w:after="283"/>
              <w:jc w:val="left"/>
              <w:rPr/>
            </w:pPr>
            <w:r>
              <w:rPr/>
              <w:t>Exhibit B</w:t>
            </w:r>
          </w:p>
        </w:tc>
        <w:tc>
          <w:tcPr>
            <w:tcW w:w="121" w:type="dxa"/>
            <w:tcBorders/>
            <w:vAlign w:val="bottom"/>
          </w:tcPr>
          <w:p>
            <w:pPr>
              <w:pStyle w:val="TableContents"/>
              <w:bidi w:val="0"/>
              <w:spacing w:before="0" w:after="283"/>
              <w:jc w:val="left"/>
              <w:rPr/>
            </w:pPr>
            <w:r>
              <w:rPr/>
              <w:t>  </w:t>
            </w:r>
          </w:p>
        </w:tc>
        <w:tc>
          <w:tcPr>
            <w:tcW w:w="9008" w:type="dxa"/>
            <w:tcBorders/>
          </w:tcPr>
          <w:p>
            <w:pPr>
              <w:pStyle w:val="TableContents"/>
              <w:bidi w:val="0"/>
              <w:spacing w:before="0" w:after="283"/>
              <w:jc w:val="left"/>
              <w:rPr/>
            </w:pPr>
            <w:r>
              <w:rPr/>
              <w:t>Form of Company Support Agreement</w:t>
            </w:r>
          </w:p>
        </w:tc>
      </w:tr>
      <w:tr>
        <w:trPr/>
        <w:tc>
          <w:tcPr>
            <w:tcW w:w="1076" w:type="dxa"/>
            <w:tcBorders/>
          </w:tcPr>
          <w:p>
            <w:pPr>
              <w:pStyle w:val="TableContents"/>
              <w:bidi w:val="0"/>
              <w:spacing w:before="0" w:after="283"/>
              <w:jc w:val="left"/>
              <w:rPr/>
            </w:pPr>
            <w:r>
              <w:rPr/>
              <w:t>Exhibit C</w:t>
            </w:r>
          </w:p>
        </w:tc>
        <w:tc>
          <w:tcPr>
            <w:tcW w:w="121" w:type="dxa"/>
            <w:tcBorders/>
            <w:vAlign w:val="bottom"/>
          </w:tcPr>
          <w:p>
            <w:pPr>
              <w:pStyle w:val="TableContents"/>
              <w:bidi w:val="0"/>
              <w:spacing w:before="0" w:after="283"/>
              <w:jc w:val="left"/>
              <w:rPr/>
            </w:pPr>
            <w:r>
              <w:rPr/>
              <w:t>  </w:t>
            </w:r>
          </w:p>
        </w:tc>
        <w:tc>
          <w:tcPr>
            <w:tcW w:w="9008" w:type="dxa"/>
            <w:tcBorders/>
          </w:tcPr>
          <w:p>
            <w:pPr>
              <w:pStyle w:val="TableContents"/>
              <w:bidi w:val="0"/>
              <w:spacing w:before="0" w:after="283"/>
              <w:jc w:val="left"/>
              <w:rPr/>
            </w:pPr>
            <w:r>
              <w:rPr/>
              <w:t>Form of Lock-Up Agreement</w:t>
            </w:r>
          </w:p>
        </w:tc>
      </w:tr>
      <w:tr>
        <w:trPr/>
        <w:tc>
          <w:tcPr>
            <w:tcW w:w="1076" w:type="dxa"/>
            <w:tcBorders/>
          </w:tcPr>
          <w:p>
            <w:pPr>
              <w:pStyle w:val="TableContents"/>
              <w:bidi w:val="0"/>
              <w:spacing w:before="0" w:after="283"/>
              <w:jc w:val="left"/>
              <w:rPr/>
            </w:pPr>
            <w:r>
              <w:rPr/>
              <w:t>Exhibit D</w:t>
            </w:r>
          </w:p>
        </w:tc>
        <w:tc>
          <w:tcPr>
            <w:tcW w:w="121" w:type="dxa"/>
            <w:tcBorders/>
            <w:vAlign w:val="bottom"/>
          </w:tcPr>
          <w:p>
            <w:pPr>
              <w:pStyle w:val="TableContents"/>
              <w:bidi w:val="0"/>
              <w:spacing w:before="0" w:after="283"/>
              <w:jc w:val="left"/>
              <w:rPr/>
            </w:pPr>
            <w:r>
              <w:rPr/>
              <w:t>  </w:t>
            </w:r>
          </w:p>
        </w:tc>
        <w:tc>
          <w:tcPr>
            <w:tcW w:w="9008" w:type="dxa"/>
            <w:tcBorders/>
          </w:tcPr>
          <w:p>
            <w:pPr>
              <w:pStyle w:val="TableContents"/>
              <w:bidi w:val="0"/>
              <w:spacing w:before="0" w:after="283"/>
              <w:jc w:val="left"/>
              <w:rPr/>
            </w:pPr>
            <w:r>
              <w:rPr/>
              <w:t>Form of Subscription Agreement</w:t>
            </w:r>
          </w:p>
        </w:tc>
      </w:tr>
      <w:tr>
        <w:trPr/>
        <w:tc>
          <w:tcPr>
            <w:tcW w:w="1076" w:type="dxa"/>
            <w:tcBorders/>
          </w:tcPr>
          <w:p>
            <w:pPr>
              <w:pStyle w:val="TableContents"/>
              <w:bidi w:val="0"/>
              <w:spacing w:before="0" w:after="283"/>
              <w:jc w:val="left"/>
              <w:rPr/>
            </w:pPr>
            <w:r>
              <w:rPr/>
              <w:t>Exhibit E-1</w:t>
            </w:r>
          </w:p>
        </w:tc>
        <w:tc>
          <w:tcPr>
            <w:tcW w:w="121" w:type="dxa"/>
            <w:tcBorders/>
            <w:vAlign w:val="bottom"/>
          </w:tcPr>
          <w:p>
            <w:pPr>
              <w:pStyle w:val="TableContents"/>
              <w:bidi w:val="0"/>
              <w:spacing w:before="0" w:after="283"/>
              <w:jc w:val="left"/>
              <w:rPr/>
            </w:pPr>
            <w:r>
              <w:rPr/>
              <w:t>  </w:t>
            </w:r>
          </w:p>
        </w:tc>
        <w:tc>
          <w:tcPr>
            <w:tcW w:w="9008" w:type="dxa"/>
            <w:tcBorders/>
          </w:tcPr>
          <w:p>
            <w:pPr>
              <w:pStyle w:val="TableContents"/>
              <w:bidi w:val="0"/>
              <w:spacing w:before="0" w:after="283"/>
              <w:jc w:val="left"/>
              <w:rPr/>
            </w:pPr>
            <w:r>
              <w:rPr/>
              <w:t>Form of First Certificate of Merger</w:t>
            </w:r>
          </w:p>
        </w:tc>
      </w:tr>
      <w:tr>
        <w:trPr/>
        <w:tc>
          <w:tcPr>
            <w:tcW w:w="1076" w:type="dxa"/>
            <w:tcBorders/>
          </w:tcPr>
          <w:p>
            <w:pPr>
              <w:pStyle w:val="TableContents"/>
              <w:bidi w:val="0"/>
              <w:spacing w:before="0" w:after="283"/>
              <w:jc w:val="left"/>
              <w:rPr/>
            </w:pPr>
            <w:r>
              <w:rPr/>
              <w:t>Exhibit E-2</w:t>
            </w:r>
          </w:p>
        </w:tc>
        <w:tc>
          <w:tcPr>
            <w:tcW w:w="121" w:type="dxa"/>
            <w:tcBorders/>
            <w:vAlign w:val="bottom"/>
          </w:tcPr>
          <w:p>
            <w:pPr>
              <w:pStyle w:val="TableContents"/>
              <w:bidi w:val="0"/>
              <w:spacing w:before="0" w:after="283"/>
              <w:jc w:val="left"/>
              <w:rPr/>
            </w:pPr>
            <w:r>
              <w:rPr/>
              <w:t>  </w:t>
            </w:r>
          </w:p>
        </w:tc>
        <w:tc>
          <w:tcPr>
            <w:tcW w:w="9008" w:type="dxa"/>
            <w:tcBorders/>
          </w:tcPr>
          <w:p>
            <w:pPr>
              <w:pStyle w:val="TableContents"/>
              <w:bidi w:val="0"/>
              <w:spacing w:before="0" w:after="283"/>
              <w:jc w:val="left"/>
              <w:rPr/>
            </w:pPr>
            <w:r>
              <w:rPr/>
              <w:t>Form of Second Certificate of Merger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INDEX OF DEFINED TERMS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368"/>
        <w:gridCol w:w="204"/>
        <w:gridCol w:w="1633"/>
      </w:tblGrid>
      <w:tr>
        <w:trPr/>
        <w:tc>
          <w:tcPr>
            <w:tcW w:w="8368"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c>
          <w:tcPr>
            <w:tcW w:w="8368"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Definition</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Location</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2026 Equity Incentive Plan</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1.1(a)</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2026 ESPP</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1.1(b)</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2026 Plans</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1.1(c)</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Acceptable Confidentiality Agreement</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1.1(d)</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Accounting Firm</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3.6(e)</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Acquisition Inquiry</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1.1(e)</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Acquisition Proposal</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1.1(f)</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Acquisition Transaction</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1.1(g)</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Action</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4.9</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Affiliate</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1.1(i)</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Agreement</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Preamble</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Allocation Certificate</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7.13</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Anticipated Meeting Date</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3.6(a)</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Assumed Option</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3.2</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Business Day</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1.1(j)</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Cash Determination Time</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3.6(a)</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Certificate of Merger</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2.4</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Closing</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2.3</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COBRA</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4.12(d)(v)</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Code</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Preamble</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Audited Financial Statements</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7.1(g)</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Balance Sheet</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4.6(b)</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Board</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Board Adverse Recommendation Change</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7.2(c)</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Board Recommendation</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7.2(c)</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Bylaws</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4.1(b)</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Capital Stock</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1.1(k)</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Charter</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4.1(b)</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Disclosure Letter</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IV</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Equity Plan</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1.1(l)</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Financial Statements</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4.6(a)</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Fundamental Representations</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1.1(m)</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Interim Financial Statements</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4.6(a)</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Intervening Event</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1.1(n)</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Notice Period</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7.2(d)</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Options</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1.1(o)</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Outstanding Shares</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3.1(a)(i)(A)</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Owned IP</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1.1(p)</w:t>
            </w:r>
          </w:p>
        </w:tc>
      </w:tr>
      <w:tr>
        <w:trPr/>
        <w:tc>
          <w:tcPr>
            <w:tcW w:w="8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Plan</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1.1(q)</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369"/>
        <w:gridCol w:w="203"/>
        <w:gridCol w:w="1633"/>
      </w:tblGrid>
      <w:tr>
        <w:trPr/>
        <w:tc>
          <w:tcPr>
            <w:tcW w:w="8369"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Preferred Stock</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1.1(r)</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Preferred Stock Conversion</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3.1(b))</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Products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4.11(c)</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Stock Awards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4.2(b)</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Stockholder Approval</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Support Agreements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Termination Fee</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9.3(b)</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Triggering Event</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1.1(s)</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Valuation</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3.1(a)(i)(B)</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Value Per Share</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3.1(a)(i)(C)</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Concurrent Investment</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Concurrent Investment Amount</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Concurrent Investment Investor</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Concurrent Investment Investors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Confidentiality Agreement</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1.1(t)</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Contract</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4.5(a)</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control</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1.1(u)</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Controlled Group</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4.12(c)</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Current Offering Period</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6.8</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Data Processors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4.19(h)</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Delaware Secretary of State</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2.4</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Delivery Date</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3.6(a)</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DGCL</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Dispute Notice</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3.6(b)</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Dissenting Shares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3.5</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Dividend Record Date</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7.14 (a)</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DLLCA</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Effective Time</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2.4</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Employee Plan</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1.1(v)</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Date</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9.1(b)</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Environmental Law</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4.14(b)</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ERISA</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1.1(w)</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Exchange Act</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4.5(b)</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Exchange Agent</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3.3(a)</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Exchange Fund</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3.3(a)</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Exchange Ratio</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FCPA</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4.23</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FDA</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4.11(c)</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FDA Ethics Policy</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4.11(i)</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Final Parent Net Cash</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3.6(c)</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S-4</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7.1(a)</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GAAP</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4.6(a)</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Governmental Entity</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4.5(b)</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Hazardous Substance</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4.14(c)</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Health Care Laws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4.11(a)</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HSR Act</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1.1(x)</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795"/>
        <w:gridCol w:w="220"/>
        <w:gridCol w:w="2190"/>
      </w:tblGrid>
      <w:tr>
        <w:trPr/>
        <w:tc>
          <w:tcPr>
            <w:tcW w:w="7795"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Intellectual Property</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1.1(y)</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Intended Tax Treatment</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Investor Agreements</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7.11(a)</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IRS</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4.12(b)</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IT Systems</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4.19(g)</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knowledge</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1.1(z)</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Law</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4.5(a)</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Liens</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4.5(a)</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Lock-Up Agreement</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Material Adverse Effect</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4.1(a)</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Material Contracts</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4.16(a)</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Measurement Date</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5.2(a)</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Consideration</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Sub</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Preamble, Preamble</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Multiemployer Plan</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1.1(aa)</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Nasdaq</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1.1(bb)</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Nasdaq Fees</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1.1(cc)</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Nasdaq Issuance Proposal</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Nasdaq Listing Application</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7.8</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Nasdaq Reverse Stock Split</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1.1(dd)</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Cash</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1.1(ee)</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Ordinary Course Agreement</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4.15(g)</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Outbound Investment Security Program</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4.26, Section 5.24</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Preamble</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401(k) Plan</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6.9</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Board</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Board Adverse Recommendation Change</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7.3(b)</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Board Recommendation</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7.3(b)</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Common Stock</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Common Stock Issuance</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5.4(a)</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Disclosure Letter</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V</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Equity Plans</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1.1(ff)</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ESPP</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1.1(gg)</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Fundamental Representations</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1.1(hh)</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Intervening Event</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7.3(c)</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IT Systems</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5.19(d)</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Material Adverse Effect</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5.1(a)</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Material Contracts</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5.16(a)</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Net Cash Calculation</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3.6(a)</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Net Cash Schedule</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3.6(a)</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Notice Period</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7.3(c)</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Options</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1.1(ii)</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Outstanding Shares</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3.1(a)(i)(D)</w:t>
            </w:r>
          </w:p>
        </w:tc>
      </w:tr>
      <w:tr>
        <w:trPr/>
        <w:tc>
          <w:tcPr>
            <w:tcW w:w="77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Owned IP</w:t>
            </w:r>
          </w:p>
        </w:tc>
        <w:tc>
          <w:tcPr>
            <w:tcW w:w="220" w:type="dxa"/>
            <w:tcBorders/>
            <w:vAlign w:val="bottom"/>
          </w:tcPr>
          <w:p>
            <w:pPr>
              <w:pStyle w:val="TableContents"/>
              <w:bidi w:val="0"/>
              <w:spacing w:before="0" w:after="283"/>
              <w:jc w:val="left"/>
              <w:rPr/>
            </w:pPr>
            <w:r>
              <w:rPr/>
              <w:t>  </w:t>
            </w:r>
          </w:p>
        </w:tc>
        <w:tc>
          <w:tcPr>
            <w:tcW w:w="2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1.1(jj)</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369"/>
        <w:gridCol w:w="203"/>
        <w:gridCol w:w="1633"/>
      </w:tblGrid>
      <w:tr>
        <w:trPr/>
        <w:tc>
          <w:tcPr>
            <w:tcW w:w="8369"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Plan</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1.1(kk)</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Preferred Stock</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5.2(a)</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Products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5.11(c)</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Registered IP</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5.19(a)</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Restricted Stock Unit Awards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1.1(ll)</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SEC Documents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5.6(a)</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Stockholder Approval</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5.4(a)</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Stockholder Meeting</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7.3(a)</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Stockholder Proposals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7.3(a)</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Support Agreements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Termination Fee</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9.3(d)</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Triggering Event</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1.1(mm)</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Valuation</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3.1(a)(i)(E)</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Value Per Share</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3.1(a)(i)(F)</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PBGC</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4.12(d)(iv)</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Permits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4.10</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Permitted Alternative Agreement</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9.1(j)</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Permitted Liens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4.18(a)</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Person</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1.1(nn)</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Personal Information</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4.19(h)</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Pre-Closing Cash Dividend</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Pre-Closing Cash Dividend Amount</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7.14</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Pre-Closing Period</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6.1(a)</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Privacy Laws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4.19(h)</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Proxy Statement</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7.1(a)</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Registration Statement</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7.1(a)</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Representative</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1.1(oo)</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Response Date</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3.6(b)</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Reverse Stock Split Proposal</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Safety Notices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4.11(g)</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Sanctioned Country</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1.1(pp)</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Sanctioned Person</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1.1(qq)</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Sarbanes-Oxley Act</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5.6(a)</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1.1(rr)</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Securities Act</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4.5(b)</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Stockholder Notice</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7.2(b)</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Subscription Agreement</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Subsequent Transaction</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1.1(ss)</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Subsidiary</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1.1(tt)</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Superior Offer</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1.1(uu)</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Takeover Laws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4.20</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Target Net Cash</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3.1(a)(i)(E)</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Tax Action</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4.15(d)</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Tax Certificates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7.9(c)</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Tax Return</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1.1(vv)</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1.1(ww)</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369"/>
        <w:gridCol w:w="203"/>
        <w:gridCol w:w="1633"/>
      </w:tblGrid>
      <w:tr>
        <w:trPr/>
        <w:tc>
          <w:tcPr>
            <w:tcW w:w="8369"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Trade Secrets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1.1(y)</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Transaction Expenses</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1.1(xx)</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Transaction Litigation</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7.4(c)</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WARN Act</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4.13(d)</w:t>
            </w:r>
          </w:p>
        </w:tc>
      </w:tr>
      <w:tr>
        <w:trPr/>
        <w:tc>
          <w:tcPr>
            <w:tcW w:w="83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Withholding Agent</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3.4</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ix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2.1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(this “</w:t>
      </w:r>
      <w:r>
        <w:rPr>
          <w:rFonts w:ascii="Times New Roman" w:hAnsi="Times New Roman"/>
          <w:sz w:val="20"/>
          <w:u w:val="single"/>
        </w:rPr>
        <w:t>Agreement</w:t>
      </w:r>
      <w:r>
        <w:rPr>
          <w:rFonts w:ascii="Times New Roman" w:hAnsi="Times New Roman"/>
          <w:sz w:val="20"/>
        </w:rPr>
        <w:t>”), dated as of August 16, 2026, by and among Fulcrum Therapeutics, Inc., a Delaware corporation (“</w:t>
      </w:r>
      <w:r>
        <w:rPr>
          <w:rFonts w:ascii="Times New Roman" w:hAnsi="Times New Roman"/>
          <w:sz w:val="20"/>
          <w:u w:val="single"/>
        </w:rPr>
        <w:t>Parent</w:t>
      </w:r>
      <w:r>
        <w:rPr>
          <w:rFonts w:ascii="Times New Roman" w:hAnsi="Times New Roman"/>
          <w:sz w:val="20"/>
        </w:rPr>
        <w:t>”), Fusion Merger Sub I, Inc., a Delaware corporation and wholly owned subsidiary of Parent (“</w:t>
      </w:r>
      <w:r>
        <w:rPr>
          <w:rFonts w:ascii="Times New Roman" w:hAnsi="Times New Roman"/>
          <w:sz w:val="20"/>
          <w:u w:val="single"/>
        </w:rPr>
        <w:t>First Merger Sub</w:t>
      </w:r>
      <w:r>
        <w:rPr>
          <w:rFonts w:ascii="Times New Roman" w:hAnsi="Times New Roman"/>
          <w:sz w:val="20"/>
        </w:rPr>
        <w:t>”), Fusion Merger Sub II, LLC, a Delaware limited liability company and wholly owned subsidiary of Parent (“</w:t>
      </w:r>
      <w:r>
        <w:rPr>
          <w:rFonts w:ascii="Times New Roman" w:hAnsi="Times New Roman"/>
          <w:sz w:val="20"/>
          <w:u w:val="single"/>
        </w:rPr>
        <w:t>Second Merger Sub</w:t>
      </w:r>
      <w:r>
        <w:rPr>
          <w:rFonts w:ascii="Times New Roman" w:hAnsi="Times New Roman"/>
          <w:sz w:val="20"/>
        </w:rPr>
        <w:t>” and together with First Merger Sub, “</w:t>
      </w:r>
      <w:r>
        <w:rPr>
          <w:rFonts w:ascii="Times New Roman" w:hAnsi="Times New Roman"/>
          <w:sz w:val="20"/>
          <w:u w:val="single"/>
        </w:rPr>
        <w:t>Merger Subs</w:t>
      </w:r>
      <w:r>
        <w:rPr>
          <w:rFonts w:ascii="Times New Roman" w:hAnsi="Times New Roman"/>
          <w:sz w:val="20"/>
        </w:rPr>
        <w:t>”) and Slate Medicines, Inc., a Delaware corporation (the “</w:t>
      </w:r>
      <w:r>
        <w:rPr>
          <w:rFonts w:ascii="Times New Roman" w:hAnsi="Times New Roman"/>
          <w:sz w:val="20"/>
          <w:u w:val="single"/>
        </w:rPr>
        <w:t>Company</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Parent and the Company intend to effect a merger of First Merger Sub with and into the Company (the “</w:t>
      </w:r>
      <w:r>
        <w:rPr>
          <w:rFonts w:ascii="Times New Roman" w:hAnsi="Times New Roman"/>
          <w:sz w:val="20"/>
          <w:u w:val="single"/>
        </w:rPr>
        <w:t>First Merger</w:t>
      </w:r>
      <w:r>
        <w:rPr>
          <w:rFonts w:ascii="Times New Roman" w:hAnsi="Times New Roman"/>
          <w:sz w:val="20"/>
        </w:rPr>
        <w:t>”) in accordance with this Agreement and the General Corporation Law of the State of Delaware (the “</w:t>
      </w:r>
      <w:r>
        <w:rPr>
          <w:rFonts w:ascii="Times New Roman" w:hAnsi="Times New Roman"/>
          <w:sz w:val="20"/>
          <w:u w:val="single"/>
        </w:rPr>
        <w:t>DGCL</w:t>
      </w:r>
      <w:r>
        <w:rPr>
          <w:rFonts w:ascii="Times New Roman" w:hAnsi="Times New Roman"/>
          <w:sz w:val="20"/>
        </w:rPr>
        <w:t xml:space="preserve">”). Upon consummation of the First Merger, First Merger Sub will cease to exist and the Company will become a direct,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WHEREAS, immediately following the First Merger and as part of the same overall transaction as the First Merger, the Company will merge with and into Second Merger Sub (the “</w:t>
      </w:r>
      <w:r>
        <w:rPr>
          <w:rFonts w:ascii="Times New Roman" w:hAnsi="Times New Roman"/>
          <w:sz w:val="20"/>
          <w:u w:val="single"/>
        </w:rPr>
        <w:t>Second Merger</w:t>
      </w:r>
      <w:r>
        <w:rPr>
          <w:rFonts w:ascii="Times New Roman" w:hAnsi="Times New Roman"/>
          <w:sz w:val="20"/>
        </w:rPr>
        <w:t>” and, together with the First Merger, the “</w:t>
      </w:r>
      <w:r>
        <w:rPr>
          <w:rFonts w:ascii="Times New Roman" w:hAnsi="Times New Roman"/>
          <w:sz w:val="20"/>
          <w:u w:val="single"/>
        </w:rPr>
        <w:t>Merger</w:t>
      </w:r>
      <w:r>
        <w:rPr>
          <w:rFonts w:ascii="Times New Roman" w:hAnsi="Times New Roman"/>
          <w:sz w:val="20"/>
        </w:rPr>
        <w:t>”) in accordance with this Agreement, the DGCL and the Delaware Limited Liability Company Act (the “</w:t>
      </w:r>
      <w:r>
        <w:rPr>
          <w:rFonts w:ascii="Times New Roman" w:hAnsi="Times New Roman"/>
          <w:sz w:val="20"/>
          <w:u w:val="single"/>
        </w:rPr>
        <w:t>DLLCA</w:t>
      </w:r>
      <w:r>
        <w:rPr>
          <w:rFonts w:ascii="Times New Roman" w:hAnsi="Times New Roman"/>
          <w:sz w:val="20"/>
        </w:rPr>
        <w:t xml:space="preserve">”), with Second Merger Sub being the surviving entity of the Second Merger; </w:t>
      </w:r>
    </w:p>
    <w:p>
      <w:pPr>
        <w:pStyle w:val="TextBody"/>
        <w:bidi w:val="0"/>
        <w:spacing w:before="240" w:after="0"/>
        <w:jc w:val="left"/>
        <w:rPr>
          <w:rFonts w:ascii="Times New Roman" w:hAnsi="Times New Roman"/>
          <w:sz w:val="20"/>
        </w:rPr>
      </w:pPr>
      <w:r>
        <w:rPr>
          <w:rFonts w:ascii="Times New Roman" w:hAnsi="Times New Roman"/>
          <w:sz w:val="20"/>
        </w:rPr>
        <w:t>WHEREAS, the parties hereto intend that, consistent with Rev. Rul. 2001-46, 2001-2 C.B. 321, the First Merger and the Second Merger, taken together, constitute a single integrated transaction that qualifies as a “reorganization” within the meaning of Section 368(a) of the Internal Revenue Code of 1986, as amended (the “</w:t>
      </w:r>
      <w:r>
        <w:rPr>
          <w:rFonts w:ascii="Times New Roman" w:hAnsi="Times New Roman"/>
          <w:sz w:val="20"/>
          <w:u w:val="single"/>
        </w:rPr>
        <w:t>Code</w:t>
      </w:r>
      <w:r>
        <w:rPr>
          <w:rFonts w:ascii="Times New Roman" w:hAnsi="Times New Roman"/>
          <w:sz w:val="20"/>
        </w:rPr>
        <w:t>”) and the Treasury Regulations promulgated thereunder to which Parent and the Company are parties under Section 368(b) of the Code, and that this Agreement be, and hereby is, adopted as a “plan of reorganization” for the purposes of Section 368 of the Code and Treasury Regulations Sections 1.368-2(g) and 1.368-3(a) (the “</w:t>
      </w:r>
      <w:r>
        <w:rPr>
          <w:rFonts w:ascii="Times New Roman" w:hAnsi="Times New Roman"/>
          <w:sz w:val="20"/>
          <w:u w:val="single"/>
        </w:rPr>
        <w:t>Intended Tax Treatment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the Company (the “</w:t>
      </w:r>
      <w:r>
        <w:rPr>
          <w:rFonts w:ascii="Times New Roman" w:hAnsi="Times New Roman"/>
          <w:sz w:val="20"/>
          <w:u w:val="single"/>
        </w:rPr>
        <w:t>Company Board</w:t>
      </w:r>
      <w:r>
        <w:rPr>
          <w:rFonts w:ascii="Times New Roman" w:hAnsi="Times New Roman"/>
          <w:sz w:val="20"/>
        </w:rPr>
        <w:t xml:space="preserve">”) has (i) determined that the transactions contemplated hereby are fair to, advisable and in the best interests of the Company and its stockholders, (ii) approved and declared advisable this Agreement and the transactions contemplated hereby and (iii) determined to recommend, upon the terms and subject to the conditions set forth in this Agreement, that the stockholders of the Company vote to adopt this Agreement and thereby approve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WHEREAS, the Company Board has unanimously approved this Agreement and the Merger, with the Company continuing as the First Step Surviving Company (as defined below), after the First Effective Time (as defined below), pursuant to which each share of Company Capital Stock shall be converted into the right to receive a number of shares of common stock, par value $0.001 per share, of Parent (the “</w:t>
      </w:r>
      <w:r>
        <w:rPr>
          <w:rFonts w:ascii="Times New Roman" w:hAnsi="Times New Roman"/>
          <w:sz w:val="20"/>
          <w:u w:val="single"/>
        </w:rPr>
        <w:t>Parent Common Stock</w:t>
      </w:r>
      <w:r>
        <w:rPr>
          <w:rFonts w:ascii="Times New Roman" w:hAnsi="Times New Roman"/>
          <w:sz w:val="20"/>
        </w:rPr>
        <w:t xml:space="preserve">”) equal to the Exchange Ratio, upon the terms and subject to the conditions set forth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each of First Merger Sub and Second Merger Sub is a newly organized Delaware entity that is directly and wholly owned by Parent, and has been formed for the sole purpose of effecting the Merger;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Parent (the “</w:t>
      </w:r>
      <w:r>
        <w:rPr>
          <w:rFonts w:ascii="Times New Roman" w:hAnsi="Times New Roman"/>
          <w:sz w:val="20"/>
          <w:u w:val="single"/>
        </w:rPr>
        <w:t>Parent Board</w:t>
      </w:r>
      <w:r>
        <w:rPr>
          <w:rFonts w:ascii="Times New Roman" w:hAnsi="Times New Roman"/>
          <w:sz w:val="20"/>
        </w:rPr>
        <w:t>”) has (i) determined that the transactions contemplated hereby are fair to, advisable and in the best interests of Parent and its stockholders, (ii) approved and declared advisable this Agreement and the transactions contemplated hereby, including the issuance of shares of Parent Common Stock to the stockholders of the Company pursuant to this Agreement and the Parent Support Agreements, (iii) determined that the Reverse Stock Split Proposal (as defined below) is advisable and in the best interests of Parent and its stockholders, (iv) determined to recommend, upon the terms and subject to the conditions set forth in this Agreement, that the stockholders of Parent vote to authorize the issuance of the Parent Common Stock in accordance with Nasdaq Listing Rule 5635 (the “</w:t>
      </w:r>
      <w:r>
        <w:rPr>
          <w:rFonts w:ascii="Times New Roman" w:hAnsi="Times New Roman"/>
          <w:sz w:val="20"/>
          <w:u w:val="single"/>
        </w:rPr>
        <w:t>Nasdaq Issuance Proposal</w:t>
      </w:r>
      <w:r>
        <w:rPr>
          <w:rFonts w:ascii="Times New Roman" w:hAnsi="Times New Roman"/>
          <w:sz w:val="20"/>
        </w:rPr>
        <w:t>”) and (v) determined to recommend, upon the terms and subject to the conditions set forth in this Agreement, as promptly as practicable after the forms thereof are mutually agreed to by Parent and the Company, upon the terms and subject to the conditions set forth in this Agreement, that the stockholders of Parent vote to approve one or more amendments to Parent’s certificate of incorporation to effect the Nasdaq Reverse Stock Split (the “</w:t>
      </w:r>
      <w:r>
        <w:rPr>
          <w:rFonts w:ascii="Times New Roman" w:hAnsi="Times New Roman"/>
          <w:sz w:val="20"/>
          <w:u w:val="single"/>
        </w:rPr>
        <w:t>Reverse Stock Split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or managing member, as applicable, of each of First Merger Sub and Second Merger Sub has (i) determined that the transactions contemplated hereby are fair to, advisable and in the best interests of such Merger Sub and its sole stockholder or member, (ii) approved and declared advisable this Agreement and the transactions contemplated hereby and (iii) determined to recommend, upon the terms and subject to the conditions set forth in this Agreement, that the stockholder or member of such Merger Sub votes to adopt this Agreement and thereby approve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WHEREAS, Parent, Merger Subs and the Company each desire to make certain representations, warranties, covenants and agreements in connection with the Merger and also to prescribe certain conditions to the Merger as specified herein; </w:t>
      </w:r>
    </w:p>
    <w:p>
      <w:pPr>
        <w:pStyle w:val="TextBody"/>
        <w:bidi w:val="0"/>
        <w:spacing w:before="240" w:after="0"/>
        <w:jc w:val="left"/>
        <w:rPr>
          <w:rFonts w:ascii="Times New Roman" w:hAnsi="Times New Roman"/>
          <w:sz w:val="20"/>
        </w:rPr>
      </w:pPr>
      <w:r>
        <w:rPr>
          <w:rFonts w:ascii="Times New Roman" w:hAnsi="Times New Roman"/>
          <w:sz w:val="20"/>
        </w:rPr>
        <w:t xml:space="preserve">WHEREAS, concurrently with the execution and delivery of this Agreement and as a condition and inducement to the Company’s willingness to enter into this Agreement, the officers, directors and stockholders of Parent listed on Section A of the Parent Disclosure Letter have entered into Parent Support Agreements, dated as of the date of this Agreement, in the form attached hereto as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sz w:val="20"/>
          <w:u w:val="single"/>
        </w:rPr>
        <w:t>Parent Support Agreements</w:t>
      </w:r>
      <w:r>
        <w:rPr>
          <w:rFonts w:ascii="Times New Roman" w:hAnsi="Times New Roman"/>
          <w:sz w:val="20"/>
        </w:rPr>
        <w:t xml:space="preserve">”), pursuant to which such officers, directors and stockholders have, subject to the terms and conditions set forth therein, agreed to vote all of their shares of Parent Common Stock in favor of the approval of this Agreement and thereby approve the transactions contemplated hereby, including, but not limited to the Nasdaq Issuance Proposal and the Reverse Stock Split Proposal; </w:t>
      </w:r>
    </w:p>
    <w:p>
      <w:pPr>
        <w:pStyle w:val="TextBody"/>
        <w:bidi w:val="0"/>
        <w:spacing w:before="240" w:after="0"/>
        <w:jc w:val="left"/>
        <w:rPr>
          <w:rFonts w:ascii="Times New Roman" w:hAnsi="Times New Roman"/>
          <w:sz w:val="20"/>
        </w:rPr>
      </w:pPr>
      <w:r>
        <w:rPr>
          <w:rFonts w:ascii="Times New Roman" w:hAnsi="Times New Roman"/>
          <w:sz w:val="20"/>
        </w:rPr>
        <w:t xml:space="preserve">WHEREAS, concurrently with the execution and delivery of this Agreement and as a condition and inducement of Parent’s willingness to enter into this Agreement, the officers, directors and stockholders of the Company listed on </w:t>
      </w:r>
      <w:r>
        <w:rPr>
          <w:rFonts w:ascii="Times New Roman" w:hAnsi="Times New Roman"/>
          <w:sz w:val="20"/>
          <w:u w:val="single"/>
        </w:rPr>
        <w:t>Section A</w:t>
      </w:r>
      <w:r>
        <w:rPr>
          <w:rFonts w:ascii="Times New Roman" w:hAnsi="Times New Roman"/>
          <w:sz w:val="20"/>
        </w:rPr>
        <w:t xml:space="preserve"> of the Company Disclosure Letter have entered into Company Support Agreements, dated as of the date of this Agreement, in the form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sz w:val="20"/>
          <w:u w:val="single"/>
        </w:rPr>
        <w:t>Company Support Agreements</w:t>
      </w:r>
      <w:r>
        <w:rPr>
          <w:rFonts w:ascii="Times New Roman" w:hAnsi="Times New Roman"/>
          <w:sz w:val="20"/>
        </w:rPr>
        <w:t xml:space="preserve">”), pursuant to which such officers, directors and stockholders have, subject to the terms and conditions set forth therein, agreed to vote all of their shares of Company Common Stock in favor of the adoption of this Agreement and thereby approve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concurrently with the execution and delivery of this Agreement and as a condition and inducement to Parent’s willingness to enter into this Agreement, certain stockholders of the Company listed on </w:t>
      </w:r>
      <w:r>
        <w:rPr>
          <w:rFonts w:ascii="Times New Roman" w:hAnsi="Times New Roman"/>
          <w:sz w:val="20"/>
          <w:u w:val="single"/>
        </w:rPr>
        <w:t>Section B</w:t>
      </w:r>
      <w:r>
        <w:rPr>
          <w:rFonts w:ascii="Times New Roman" w:hAnsi="Times New Roman"/>
          <w:sz w:val="20"/>
        </w:rPr>
        <w:t xml:space="preserve"> of the Company Disclosure Letter are executing lock-up agreements in the form attached hereto as </w:t>
      </w:r>
      <w:r>
        <w:rPr>
          <w:rFonts w:ascii="Times New Roman" w:hAnsi="Times New Roman"/>
          <w:sz w:val="20"/>
          <w:u w:val="single"/>
        </w:rPr>
        <w:t>Exhibit C</w:t>
      </w:r>
      <w:r>
        <w:rPr>
          <w:rFonts w:ascii="Times New Roman" w:hAnsi="Times New Roman"/>
          <w:sz w:val="20"/>
        </w:rPr>
        <w:t xml:space="preserve"> (the “</w:t>
      </w:r>
      <w:r>
        <w:rPr>
          <w:rFonts w:ascii="Times New Roman" w:hAnsi="Times New Roman"/>
          <w:sz w:val="20"/>
          <w:u w:val="single"/>
        </w:rPr>
        <w:t>Lock-Up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it is expected that within two (2) Business Days after the Registration Statement is declared effective under the Securities Act, the stockholders of the Company will execute an action by written consent by (a) the holders of a majority of the outstanding shares of Company Common Stock and Company Preferred Stock, voting together as a single class on an as-converted to Company Common Stock basis, and (b) the holders of at least 55% of the outstanding shares of Company Preferred Stock, voting together as a single class on an as-converted to Company Common Stock basis (the “</w:t>
      </w:r>
      <w:r>
        <w:rPr>
          <w:rFonts w:ascii="Times New Roman" w:hAnsi="Times New Roman"/>
          <w:sz w:val="20"/>
          <w:u w:val="single"/>
        </w:rPr>
        <w:t>Requisite Preferred Holders</w:t>
      </w:r>
      <w:r>
        <w:rPr>
          <w:rFonts w:ascii="Times New Roman" w:hAnsi="Times New Roman"/>
          <w:sz w:val="20"/>
        </w:rPr>
        <w:t>”), in form and substance reasonably acceptable to Parent, approving and adopting this Agreement (the “</w:t>
      </w:r>
      <w:r>
        <w:rPr>
          <w:rFonts w:ascii="Times New Roman" w:hAnsi="Times New Roman"/>
          <w:sz w:val="20"/>
          <w:u w:val="single"/>
        </w:rPr>
        <w:t>Company Stockholder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stockholders of Parent as of the Dividend Record Date (which for clarity shall exclude holders of Parent Common Stock issued as part of the Merger Consideration) shall be entitled to receive from Parent a cash dividend in an aggregate amount to be determined in accordance with Section 7.14 of this Agreement (the “</w:t>
      </w:r>
      <w:r>
        <w:rPr>
          <w:rFonts w:ascii="Times New Roman" w:hAnsi="Times New Roman"/>
          <w:sz w:val="20"/>
          <w:u w:val="single"/>
        </w:rPr>
        <w:t>Pre-Closing Cash Dividend</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of this Agreement, certain investors (each a “</w:t>
      </w:r>
      <w:r>
        <w:rPr>
          <w:rFonts w:ascii="Times New Roman" w:hAnsi="Times New Roman"/>
          <w:sz w:val="20"/>
          <w:u w:val="single"/>
        </w:rPr>
        <w:t>Concurrent Investment Investor</w:t>
      </w:r>
      <w:r>
        <w:rPr>
          <w:rFonts w:ascii="Times New Roman" w:hAnsi="Times New Roman"/>
          <w:sz w:val="20"/>
        </w:rPr>
        <w:t>” and collectively the “</w:t>
      </w:r>
      <w:r>
        <w:rPr>
          <w:rFonts w:ascii="Times New Roman" w:hAnsi="Times New Roman"/>
          <w:sz w:val="20"/>
          <w:u w:val="single"/>
        </w:rPr>
        <w:t>Concurrent Investment Investors</w:t>
      </w:r>
      <w:r>
        <w:rPr>
          <w:rFonts w:ascii="Times New Roman" w:hAnsi="Times New Roman"/>
          <w:sz w:val="20"/>
        </w:rPr>
        <w:t>”) have entered into subscription agreements representing an aggregate commitment of not less than $245,000,000 (or as approximately close thereto due to rounding) (the “</w:t>
      </w:r>
      <w:r>
        <w:rPr>
          <w:rFonts w:ascii="Times New Roman" w:hAnsi="Times New Roman"/>
          <w:sz w:val="20"/>
          <w:u w:val="single"/>
        </w:rPr>
        <w:t>Concurrent Investment Amount</w:t>
      </w:r>
      <w:r>
        <w:rPr>
          <w:rFonts w:ascii="Times New Roman" w:hAnsi="Times New Roman"/>
          <w:sz w:val="20"/>
        </w:rPr>
        <w:t xml:space="preserve">”) in the form attached hereto as </w:t>
      </w:r>
      <w:r>
        <w:rPr>
          <w:rFonts w:ascii="Times New Roman" w:hAnsi="Times New Roman"/>
          <w:sz w:val="20"/>
          <w:u w:val="single"/>
        </w:rPr>
        <w:t>Exhibit D</w:t>
      </w:r>
      <w:r>
        <w:rPr>
          <w:rFonts w:ascii="Times New Roman" w:hAnsi="Times New Roman"/>
          <w:sz w:val="20"/>
        </w:rPr>
        <w:t xml:space="preserve"> (collectively, the “</w:t>
      </w:r>
      <w:r>
        <w:rPr>
          <w:rFonts w:ascii="Times New Roman" w:hAnsi="Times New Roman"/>
          <w:sz w:val="20"/>
          <w:u w:val="single"/>
        </w:rPr>
        <w:t>Subscription Agreement</w:t>
      </w:r>
      <w:r>
        <w:rPr>
          <w:rFonts w:ascii="Times New Roman" w:hAnsi="Times New Roman"/>
          <w:sz w:val="20"/>
        </w:rPr>
        <w:t>”), pursuant to which such Persons will have agreed, subject to the terms and conditions set forth therein, to subscribe and purchase a number of shares of the Company Common Stock (the “</w:t>
      </w:r>
      <w:r>
        <w:rPr>
          <w:rFonts w:ascii="Times New Roman" w:hAnsi="Times New Roman"/>
          <w:sz w:val="20"/>
          <w:u w:val="single"/>
        </w:rPr>
        <w:t>Concurrent Investment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of the representations, warranties, covenants and agreements contained herein, and intending to be legally bound hereby, Parent, Merger Subs and the Company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&amp; INTERPRETATIONS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Certain Definitions</w:t>
      </w:r>
      <w:r>
        <w:rPr>
          <w:rFonts w:ascii="Times New Roman" w:hAnsi="Times New Roman"/>
          <w:sz w:val="20"/>
        </w:rPr>
        <w:t xml:space="preserve">. For purposes of this Agreement: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2026 Equity Incentive Plan</w:t>
      </w:r>
      <w:r>
        <w:rPr>
          <w:rFonts w:ascii="Times New Roman" w:hAnsi="Times New Roman"/>
          <w:sz w:val="20"/>
        </w:rPr>
        <w:t xml:space="preserve">” shall mean an equity incentive plan of Parent in form and substance as designated by the Company (such agreement not to be unreasonably withheld, conditioned or delayed), reserving for issuance a number of shares of Parent Common Stock not exceeding fifteen percent (15%) of the Parent Common Stock issued and expected to be outstanding immediately after the First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w:t>
      </w:r>
      <w:r>
        <w:rPr>
          <w:rFonts w:ascii="Times New Roman" w:hAnsi="Times New Roman"/>
          <w:sz w:val="20"/>
          <w:u w:val="single"/>
        </w:rPr>
        <w:t>2026 ESPP</w:t>
      </w:r>
      <w:r>
        <w:rPr>
          <w:rFonts w:ascii="Times New Roman" w:hAnsi="Times New Roman"/>
          <w:sz w:val="20"/>
        </w:rPr>
        <w:t xml:space="preserve">” shall mean an “employee stock purchase plan” of Parent in form and substance as designated by the Company and agreed by Parent (such agreement not to be unreasonably withheld, conditioned or delayed), reserving for issuance a number of shares of Parent Common Stock not exceeding five percent (5%) of the Parent Common Stock issued and expected to be outstanding immediately after the First Effective Time.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2026 Plans</w:t>
      </w:r>
      <w:r>
        <w:rPr>
          <w:rFonts w:ascii="Times New Roman" w:hAnsi="Times New Roman"/>
          <w:sz w:val="20"/>
        </w:rPr>
        <w:t xml:space="preserve">” shall mean both the 2026 Equity Incentive Plan and 2026 ESPP.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sz w:val="20"/>
          <w:u w:val="single"/>
        </w:rPr>
        <w:t>Acceptable Confidentiality Agreement</w:t>
      </w:r>
      <w:r>
        <w:rPr>
          <w:rFonts w:ascii="Times New Roman" w:hAnsi="Times New Roman"/>
          <w:sz w:val="20"/>
        </w:rPr>
        <w:t xml:space="preserve">” means a confidentiality agreement containing terms not materially less restrictive in the aggregate to the counterparty thereto than the terms of the Confidentiality Agreement, except such confidentiality agreement need not contain any standstill, non-solicitation or no hire provisions. Notwithstanding the foregoing, a Person who has previously entered into a confidentiality agreement with Parent relating to a potential Acquisition Proposal on terms that are not materially less restrictive than the Confidentiality Agreement with respect to the scope of coverage and restrictions on disclosure and use shall not be required to enter into a new or revised confidentiality agreement, and such existing confidentiality agreement shall be deemed to be an Acceptable Confidentiality Agreement.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sz w:val="20"/>
          <w:u w:val="single"/>
        </w:rPr>
        <w:t>Acquisition Inquiry</w:t>
      </w:r>
      <w:r>
        <w:rPr>
          <w:rFonts w:ascii="Times New Roman" w:hAnsi="Times New Roman"/>
          <w:sz w:val="20"/>
        </w:rPr>
        <w:t xml:space="preserve">” means, with respect to a party, an inquiry, indication of interest or request for information (other than an inquiry, indication of interest or request for information made or submitted by the Company, on the one hand, or Parent, on the other hand, to the other party) that could reasonably be expected to lead to an Acquisition Proposal, other than the Concurrent Investment.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sz w:val="20"/>
          <w:u w:val="single"/>
        </w:rPr>
        <w:t>Acquisition Proposal</w:t>
      </w:r>
      <w:r>
        <w:rPr>
          <w:rFonts w:ascii="Times New Roman" w:hAnsi="Times New Roman"/>
          <w:sz w:val="20"/>
        </w:rPr>
        <w:t xml:space="preserve">” means, with respect to either party hereto, any proposal or offer (whether written or oral) from any Person (other than the other party or any of its Representatives) providing for an Acquisition Transaction (other than in connection with the Concurrent Investment or the exercise of existing equity interests).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sz w:val="20"/>
          <w:u w:val="single"/>
        </w:rPr>
        <w:t>Acquisition Transaction</w:t>
      </w:r>
      <w:r>
        <w:rPr>
          <w:rFonts w:ascii="Times New Roman" w:hAnsi="Times New Roman"/>
          <w:sz w:val="20"/>
        </w:rPr>
        <w:t xml:space="preserve">” means any transaction or series of related transactions (other than the Concurrent Investment) involving: </w:t>
      </w:r>
    </w:p>
    <w:p>
      <w:pPr>
        <w:pStyle w:val="TextBody"/>
        <w:bidi w:val="0"/>
        <w:spacing w:before="120" w:after="0"/>
        <w:jc w:val="left"/>
        <w:rPr>
          <w:rFonts w:ascii="Times New Roman" w:hAnsi="Times New Roman"/>
          <w:sz w:val="20"/>
        </w:rPr>
      </w:pPr>
      <w:r>
        <w:rPr>
          <w:rFonts w:ascii="Times New Roman" w:hAnsi="Times New Roman"/>
          <w:sz w:val="20"/>
        </w:rPr>
        <w:t xml:space="preserve">(i) any merger, consolidation, amalgamation, share exchange, business combination, issuance of securities, acquisition of securities, reorganization, recapitalization, tender offer, exchange offer or other similar transaction: (i) in which a party is a constituent entity, (ii)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(iii) in which a party or any of its Subsidiaries issues securities representing more than 20% of the outstanding securities of any class of voting securities of such party or any of its Subsidiaries;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any sale, lease, exchange, transfer, license, acquisition or disposition of any business or businesses or assets that constitute or account for 20% or more of the consolidated book value of the fair market value of the assets of a party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(h) “</w:t>
      </w:r>
      <w:r>
        <w:rPr>
          <w:rFonts w:ascii="Times New Roman" w:hAnsi="Times New Roman"/>
          <w:sz w:val="20"/>
          <w:u w:val="single"/>
        </w:rPr>
        <w:t>Affiliate</w:t>
      </w:r>
      <w:r>
        <w:rPr>
          <w:rFonts w:ascii="Times New Roman" w:hAnsi="Times New Roman"/>
          <w:sz w:val="20"/>
        </w:rPr>
        <w:t xml:space="preserve">” of any Person means any other Person that directly or indirectly, through one or more intermediaries, controls, is controlled by, or is under common control with, such first Person.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Business Day</w:t>
      </w:r>
      <w:r>
        <w:rPr>
          <w:rFonts w:ascii="Times New Roman" w:hAnsi="Times New Roman"/>
          <w:sz w:val="20"/>
        </w:rPr>
        <w:t xml:space="preserve">” means any day other than a Saturday, a Sunday or a day on which banks in Boston, Massachusetts or New York, New York are authorized or required by applicable Law to be closed. </w:t>
      </w:r>
    </w:p>
    <w:p>
      <w:pPr>
        <w:pStyle w:val="TextBody"/>
        <w:bidi w:val="0"/>
        <w:spacing w:before="120" w:after="0"/>
        <w:jc w:val="left"/>
        <w:rPr>
          <w:rFonts w:ascii="Times New Roman" w:hAnsi="Times New Roman"/>
          <w:sz w:val="20"/>
        </w:rPr>
      </w:pPr>
      <w:r>
        <w:rPr>
          <w:rFonts w:ascii="Times New Roman" w:hAnsi="Times New Roman"/>
          <w:sz w:val="20"/>
        </w:rPr>
        <w:t>(j) “</w:t>
      </w:r>
      <w:r>
        <w:rPr>
          <w:rFonts w:ascii="Times New Roman" w:hAnsi="Times New Roman"/>
          <w:sz w:val="20"/>
          <w:u w:val="single"/>
        </w:rPr>
        <w:t>Company Capital Stock</w:t>
      </w:r>
      <w:r>
        <w:rPr>
          <w:rFonts w:ascii="Times New Roman" w:hAnsi="Times New Roman"/>
          <w:sz w:val="20"/>
        </w:rPr>
        <w:t xml:space="preserve">” means, collectively, the Company Common Stock and Company Preferred Stock. </w:t>
      </w:r>
    </w:p>
    <w:p>
      <w:pPr>
        <w:pStyle w:val="TextBody"/>
        <w:bidi w:val="0"/>
        <w:spacing w:before="120" w:after="0"/>
        <w:jc w:val="left"/>
        <w:rPr>
          <w:rFonts w:ascii="Times New Roman" w:hAnsi="Times New Roman"/>
          <w:sz w:val="20"/>
        </w:rPr>
      </w:pPr>
      <w:r>
        <w:rPr>
          <w:rFonts w:ascii="Times New Roman" w:hAnsi="Times New Roman"/>
          <w:sz w:val="20"/>
        </w:rPr>
        <w:t>(k) “</w:t>
      </w:r>
      <w:r>
        <w:rPr>
          <w:rFonts w:ascii="Times New Roman" w:hAnsi="Times New Roman"/>
          <w:sz w:val="20"/>
          <w:u w:val="single"/>
        </w:rPr>
        <w:t>Company Common Stock</w:t>
      </w:r>
      <w:r>
        <w:rPr>
          <w:rFonts w:ascii="Times New Roman" w:hAnsi="Times New Roman"/>
          <w:sz w:val="20"/>
        </w:rPr>
        <w:t xml:space="preserve">” means the common stock, par value $0.00001 per share, of the Company. </w:t>
      </w:r>
    </w:p>
    <w:p>
      <w:pPr>
        <w:pStyle w:val="TextBody"/>
        <w:bidi w:val="0"/>
        <w:spacing w:before="120" w:after="0"/>
        <w:jc w:val="left"/>
        <w:rPr>
          <w:rFonts w:ascii="Times New Roman" w:hAnsi="Times New Roman"/>
          <w:sz w:val="20"/>
        </w:rPr>
      </w:pPr>
      <w:r>
        <w:rPr>
          <w:rFonts w:ascii="Times New Roman" w:hAnsi="Times New Roman"/>
          <w:sz w:val="20"/>
        </w:rPr>
        <w:t>(l) “</w:t>
      </w:r>
      <w:r>
        <w:rPr>
          <w:rFonts w:ascii="Times New Roman" w:hAnsi="Times New Roman"/>
          <w:sz w:val="20"/>
          <w:u w:val="single"/>
        </w:rPr>
        <w:t>Company Equity Plan</w:t>
      </w:r>
      <w:r>
        <w:rPr>
          <w:rFonts w:ascii="Times New Roman" w:hAnsi="Times New Roman"/>
          <w:sz w:val="20"/>
        </w:rPr>
        <w:t xml:space="preserve">” means the Company’s 2024 Equity Incentive Plan, as amended from time to time. </w:t>
      </w:r>
    </w:p>
    <w:p>
      <w:pPr>
        <w:pStyle w:val="TextBody"/>
        <w:bidi w:val="0"/>
        <w:spacing w:before="120" w:after="0"/>
        <w:jc w:val="left"/>
        <w:rPr>
          <w:rFonts w:ascii="Times New Roman" w:hAnsi="Times New Roman"/>
          <w:sz w:val="20"/>
        </w:rPr>
      </w:pPr>
      <w:r>
        <w:rPr>
          <w:rFonts w:ascii="Times New Roman" w:hAnsi="Times New Roman"/>
          <w:sz w:val="20"/>
        </w:rPr>
        <w:t>(m) “</w:t>
      </w:r>
      <w:r>
        <w:rPr>
          <w:rFonts w:ascii="Times New Roman" w:hAnsi="Times New Roman"/>
          <w:sz w:val="20"/>
          <w:u w:val="single"/>
        </w:rPr>
        <w:t>Company Fundamental Representations</w:t>
      </w:r>
      <w:r>
        <w:rPr>
          <w:rFonts w:ascii="Times New Roman" w:hAnsi="Times New Roman"/>
          <w:sz w:val="20"/>
        </w:rPr>
        <w:t xml:space="preserve">” means each of the representations and warranties of the Company set forth in </w:t>
      </w:r>
      <w:r>
        <w:rPr>
          <w:rFonts w:ascii="Times New Roman" w:hAnsi="Times New Roman"/>
          <w:sz w:val="20"/>
          <w:u w:val="single"/>
        </w:rPr>
        <w:t>Section 4.1</w:t>
      </w:r>
      <w:r>
        <w:rPr>
          <w:rFonts w:ascii="Times New Roman" w:hAnsi="Times New Roman"/>
          <w:sz w:val="20"/>
        </w:rPr>
        <w:t xml:space="preserve">, </w:t>
      </w:r>
      <w:r>
        <w:rPr>
          <w:rFonts w:ascii="Times New Roman" w:hAnsi="Times New Roman"/>
          <w:sz w:val="20"/>
          <w:u w:val="single"/>
        </w:rPr>
        <w:t>Section 4.2(a)</w:t>
      </w:r>
      <w:r>
        <w:rPr>
          <w:rFonts w:ascii="Times New Roman" w:hAnsi="Times New Roman"/>
          <w:sz w:val="20"/>
        </w:rPr>
        <w:t xml:space="preserve">, </w:t>
      </w:r>
      <w:r>
        <w:rPr>
          <w:rFonts w:ascii="Times New Roman" w:hAnsi="Times New Roman"/>
          <w:sz w:val="20"/>
          <w:u w:val="single"/>
        </w:rPr>
        <w:t>Section 4.4</w:t>
      </w:r>
      <w:r>
        <w:rPr>
          <w:rFonts w:ascii="Times New Roman" w:hAnsi="Times New Roman"/>
          <w:sz w:val="20"/>
        </w:rPr>
        <w:t xml:space="preserve"> and </w:t>
      </w:r>
      <w:r>
        <w:rPr>
          <w:rFonts w:ascii="Times New Roman" w:hAnsi="Times New Roman"/>
          <w:sz w:val="20"/>
          <w:u w:val="single"/>
        </w:rPr>
        <w:t>Section 4.27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(n) “</w:t>
      </w:r>
      <w:r>
        <w:rPr>
          <w:rFonts w:ascii="Times New Roman" w:hAnsi="Times New Roman"/>
          <w:sz w:val="20"/>
          <w:u w:val="single"/>
        </w:rPr>
        <w:t>Company Intervening Event</w:t>
      </w:r>
      <w:r>
        <w:rPr>
          <w:rFonts w:ascii="Times New Roman" w:hAnsi="Times New Roman"/>
          <w:sz w:val="20"/>
        </w:rPr>
        <w:t xml:space="preserve">” means a material development or change in circumstances (other than any such event, development or change to the extent related to (A) any Acquisition Proposal, Acquisition Inquiry, Acquisition Transaction or the consequences thereof or (B) the fact, in and of itself, that the Company meets or exceeds internal budgets, plans or forecasts of its revenues, earnings or other financial performance or results of operations) that affects the business, assets or operations of the Company occurring or arising after the date of this Agreement. </w:t>
      </w:r>
    </w:p>
    <w:p>
      <w:pPr>
        <w:pStyle w:val="TextBody"/>
        <w:bidi w:val="0"/>
        <w:spacing w:before="120" w:after="0"/>
        <w:jc w:val="left"/>
        <w:rPr>
          <w:rFonts w:ascii="Times New Roman" w:hAnsi="Times New Roman"/>
          <w:sz w:val="20"/>
        </w:rPr>
      </w:pPr>
      <w:r>
        <w:rPr>
          <w:rFonts w:ascii="Times New Roman" w:hAnsi="Times New Roman"/>
          <w:sz w:val="20"/>
        </w:rPr>
        <w:t>(o) “</w:t>
      </w:r>
      <w:r>
        <w:rPr>
          <w:rFonts w:ascii="Times New Roman" w:hAnsi="Times New Roman"/>
          <w:sz w:val="20"/>
          <w:u w:val="single"/>
        </w:rPr>
        <w:t>Company Options</w:t>
      </w:r>
      <w:r>
        <w:rPr>
          <w:rFonts w:ascii="Times New Roman" w:hAnsi="Times New Roman"/>
          <w:sz w:val="20"/>
        </w:rPr>
        <w:t xml:space="preserve">” means options to purchase shares of Company Common Stock granted by the Company under the Company Equity Plan. </w:t>
      </w:r>
    </w:p>
    <w:p>
      <w:pPr>
        <w:pStyle w:val="TextBody"/>
        <w:bidi w:val="0"/>
        <w:spacing w:before="120" w:after="0"/>
        <w:jc w:val="left"/>
        <w:rPr>
          <w:rFonts w:ascii="Times New Roman" w:hAnsi="Times New Roman"/>
          <w:sz w:val="20"/>
        </w:rPr>
      </w:pPr>
      <w:r>
        <w:rPr>
          <w:rFonts w:ascii="Times New Roman" w:hAnsi="Times New Roman"/>
          <w:sz w:val="20"/>
        </w:rPr>
        <w:t>(p) “</w:t>
      </w:r>
      <w:r>
        <w:rPr>
          <w:rFonts w:ascii="Times New Roman" w:hAnsi="Times New Roman"/>
          <w:sz w:val="20"/>
          <w:u w:val="single"/>
        </w:rPr>
        <w:t>Company Warrants</w:t>
      </w:r>
      <w:r>
        <w:rPr>
          <w:rFonts w:ascii="Times New Roman" w:hAnsi="Times New Roman"/>
          <w:sz w:val="20"/>
        </w:rPr>
        <w:t xml:space="preserve">” means warrants to purchase shares of Company Common Stock that are outstanding and unexercised as of immediately prior to the First Effective Time. </w:t>
      </w:r>
    </w:p>
    <w:p>
      <w:pPr>
        <w:pStyle w:val="TextBody"/>
        <w:bidi w:val="0"/>
        <w:spacing w:before="120" w:after="0"/>
        <w:jc w:val="left"/>
        <w:rPr>
          <w:rFonts w:ascii="Times New Roman" w:hAnsi="Times New Roman"/>
          <w:sz w:val="20"/>
        </w:rPr>
      </w:pPr>
      <w:r>
        <w:rPr>
          <w:rFonts w:ascii="Times New Roman" w:hAnsi="Times New Roman"/>
          <w:sz w:val="20"/>
        </w:rPr>
        <w:t>(q) “</w:t>
      </w:r>
      <w:r>
        <w:rPr>
          <w:rFonts w:ascii="Times New Roman" w:hAnsi="Times New Roman"/>
          <w:sz w:val="20"/>
          <w:u w:val="single"/>
        </w:rPr>
        <w:t>Company Owned IP</w:t>
      </w:r>
      <w:r>
        <w:rPr>
          <w:rFonts w:ascii="Times New Roman" w:hAnsi="Times New Roman"/>
          <w:sz w:val="20"/>
        </w:rPr>
        <w:t xml:space="preserve">” means all Intellectual Property owned by the Company or any of its Subsidiaries in whole or in part. </w:t>
      </w:r>
    </w:p>
    <w:p>
      <w:pPr>
        <w:pStyle w:val="TextBody"/>
        <w:bidi w:val="0"/>
        <w:spacing w:before="120" w:after="0"/>
        <w:jc w:val="left"/>
        <w:rPr>
          <w:rFonts w:ascii="Times New Roman" w:hAnsi="Times New Roman"/>
          <w:sz w:val="20"/>
        </w:rPr>
      </w:pPr>
      <w:r>
        <w:rPr>
          <w:rFonts w:ascii="Times New Roman" w:hAnsi="Times New Roman"/>
          <w:sz w:val="20"/>
        </w:rPr>
        <w:t>(r) “</w:t>
      </w:r>
      <w:r>
        <w:rPr>
          <w:rFonts w:ascii="Times New Roman" w:hAnsi="Times New Roman"/>
          <w:sz w:val="20"/>
          <w:u w:val="single"/>
        </w:rPr>
        <w:t>Company Plan</w:t>
      </w:r>
      <w:r>
        <w:rPr>
          <w:rFonts w:ascii="Times New Roman" w:hAnsi="Times New Roman"/>
          <w:sz w:val="20"/>
        </w:rPr>
        <w:t xml:space="preserve">” means each Employee Plan that is sponsored, maintained, or contributed (or required to be contributed) to by the Company or any of its Subsidiaries for the benefit of one or more current or former employees, officers, directors or other service providers of the Company or any of its Subsidiaries and with respect to which the Company or any of its Subsidiaries has any liability, contingent or otherwise, other than any plan, program, arrangement, agreement or policy mandated by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 “</w:t>
      </w:r>
      <w:r>
        <w:rPr>
          <w:rFonts w:ascii="Times New Roman" w:hAnsi="Times New Roman"/>
          <w:sz w:val="20"/>
          <w:u w:val="single"/>
        </w:rPr>
        <w:t>Company Preferred Stock</w:t>
      </w:r>
      <w:r>
        <w:rPr>
          <w:rFonts w:ascii="Times New Roman" w:hAnsi="Times New Roman"/>
          <w:sz w:val="20"/>
        </w:rPr>
        <w:t xml:space="preserve">” means, collectively, the Company Series Seed Preferred Stock, the Company Series A-1 Preferred Stock and the Company Series A-2 Preferred Stock. </w:t>
      </w:r>
    </w:p>
    <w:p>
      <w:pPr>
        <w:pStyle w:val="TextBody"/>
        <w:bidi w:val="0"/>
        <w:spacing w:before="120" w:after="0"/>
        <w:jc w:val="left"/>
        <w:rPr>
          <w:rFonts w:ascii="Times New Roman" w:hAnsi="Times New Roman"/>
          <w:sz w:val="20"/>
        </w:rPr>
      </w:pPr>
      <w:r>
        <w:rPr>
          <w:rFonts w:ascii="Times New Roman" w:hAnsi="Times New Roman"/>
          <w:sz w:val="20"/>
        </w:rPr>
        <w:t>(t) “</w:t>
      </w:r>
      <w:r>
        <w:rPr>
          <w:rFonts w:ascii="Times New Roman" w:hAnsi="Times New Roman"/>
          <w:sz w:val="20"/>
          <w:u w:val="single"/>
        </w:rPr>
        <w:t>Company Series Seed Preferred Stock</w:t>
      </w:r>
      <w:r>
        <w:rPr>
          <w:rFonts w:ascii="Times New Roman" w:hAnsi="Times New Roman"/>
          <w:sz w:val="20"/>
        </w:rPr>
        <w:t xml:space="preserve">” means the Series Seed Preferred Stock, par value $0.00001 per share, of the Company. </w:t>
      </w:r>
    </w:p>
    <w:p>
      <w:pPr>
        <w:pStyle w:val="TextBody"/>
        <w:bidi w:val="0"/>
        <w:spacing w:before="120" w:after="0"/>
        <w:jc w:val="left"/>
        <w:rPr>
          <w:rFonts w:ascii="Times New Roman" w:hAnsi="Times New Roman"/>
          <w:sz w:val="20"/>
        </w:rPr>
      </w:pPr>
      <w:r>
        <w:rPr>
          <w:rFonts w:ascii="Times New Roman" w:hAnsi="Times New Roman"/>
          <w:sz w:val="20"/>
        </w:rPr>
        <w:t>(u) “</w:t>
      </w:r>
      <w:r>
        <w:rPr>
          <w:rFonts w:ascii="Times New Roman" w:hAnsi="Times New Roman"/>
          <w:sz w:val="20"/>
          <w:u w:val="single"/>
        </w:rPr>
        <w:t>Company Series A-1 Preferred Stock</w:t>
      </w:r>
      <w:r>
        <w:rPr>
          <w:rFonts w:ascii="Times New Roman" w:hAnsi="Times New Roman"/>
          <w:sz w:val="20"/>
        </w:rPr>
        <w:t xml:space="preserve">” means the Series A-1 Preferred Stock, par value $0.00001 per share, of the Company. </w:t>
      </w:r>
    </w:p>
    <w:p>
      <w:pPr>
        <w:pStyle w:val="TextBody"/>
        <w:bidi w:val="0"/>
        <w:spacing w:before="120" w:after="0"/>
        <w:jc w:val="left"/>
        <w:rPr>
          <w:rFonts w:ascii="Times New Roman" w:hAnsi="Times New Roman"/>
          <w:sz w:val="20"/>
        </w:rPr>
      </w:pPr>
      <w:r>
        <w:rPr>
          <w:rFonts w:ascii="Times New Roman" w:hAnsi="Times New Roman"/>
          <w:sz w:val="20"/>
        </w:rPr>
        <w:t>(v) “</w:t>
      </w:r>
      <w:r>
        <w:rPr>
          <w:rFonts w:ascii="Times New Roman" w:hAnsi="Times New Roman"/>
          <w:sz w:val="20"/>
          <w:u w:val="single"/>
        </w:rPr>
        <w:t>Company Series A-2 Preferred Stock</w:t>
      </w:r>
      <w:r>
        <w:rPr>
          <w:rFonts w:ascii="Times New Roman" w:hAnsi="Times New Roman"/>
          <w:sz w:val="20"/>
        </w:rPr>
        <w:t xml:space="preserve">” means the Series A-2 Preferred Stock, par value $0.00001 per share, of the Company. </w:t>
      </w:r>
    </w:p>
    <w:p>
      <w:pPr>
        <w:pStyle w:val="TextBody"/>
        <w:bidi w:val="0"/>
        <w:spacing w:before="120" w:after="0"/>
        <w:jc w:val="left"/>
        <w:rPr>
          <w:rFonts w:ascii="Times New Roman" w:hAnsi="Times New Roman"/>
          <w:sz w:val="20"/>
        </w:rPr>
      </w:pPr>
      <w:r>
        <w:rPr>
          <w:rFonts w:ascii="Times New Roman" w:hAnsi="Times New Roman"/>
          <w:sz w:val="20"/>
        </w:rPr>
        <w:t>(w) “</w:t>
      </w:r>
      <w:r>
        <w:rPr>
          <w:rFonts w:ascii="Times New Roman" w:hAnsi="Times New Roman"/>
          <w:sz w:val="20"/>
          <w:u w:val="single"/>
        </w:rPr>
        <w:t>Company Triggering Event</w:t>
      </w:r>
      <w:r>
        <w:rPr>
          <w:rFonts w:ascii="Times New Roman" w:hAnsi="Times New Roman"/>
          <w:sz w:val="20"/>
        </w:rPr>
        <w:t xml:space="preserve">” shall be deemed to have occurred if at any time prior to the adoption of this Agreement by the Company Stockholder Approval: (a) the Company Board shall have approved, endorsed or recommended any Acquisition Proposal or (b) the Company shall have entered into any letter of intent or similar document or any Contract relating to any Acquisition Proposal (other than an Acceptable Confidentiality Agreement) permitted pursuant to </w:t>
      </w:r>
      <w:r>
        <w:rPr>
          <w:rFonts w:ascii="Times New Roman" w:hAnsi="Times New Roman"/>
          <w:sz w:val="20"/>
          <w:u w:val="single"/>
        </w:rPr>
        <w:t>Section 6.4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(x) “</w:t>
      </w:r>
      <w:r>
        <w:rPr>
          <w:rFonts w:ascii="Times New Roman" w:hAnsi="Times New Roman"/>
          <w:sz w:val="20"/>
          <w:u w:val="single"/>
        </w:rPr>
        <w:t>Confidentiality Agreement</w:t>
      </w:r>
      <w:r>
        <w:rPr>
          <w:rFonts w:ascii="Times New Roman" w:hAnsi="Times New Roman"/>
          <w:sz w:val="20"/>
        </w:rPr>
        <w:t xml:space="preserve">” means that certain non-disclosure agreement, dated as of June 23, 2026, between the Company and Parent. </w:t>
      </w:r>
    </w:p>
    <w:p>
      <w:pPr>
        <w:pStyle w:val="TextBody"/>
        <w:bidi w:val="0"/>
        <w:spacing w:before="120" w:after="0"/>
        <w:jc w:val="left"/>
        <w:rPr>
          <w:rFonts w:ascii="Times New Roman" w:hAnsi="Times New Roman"/>
          <w:sz w:val="20"/>
        </w:rPr>
      </w:pPr>
      <w:r>
        <w:rPr>
          <w:rFonts w:ascii="Times New Roman" w:hAnsi="Times New Roman"/>
          <w:sz w:val="20"/>
        </w:rPr>
        <w:t>(y) “</w:t>
      </w:r>
      <w:r>
        <w:rPr>
          <w:rFonts w:ascii="Times New Roman" w:hAnsi="Times New Roman"/>
          <w:sz w:val="20"/>
          <w:u w:val="single"/>
        </w:rPr>
        <w:t>control</w:t>
      </w:r>
      <w:r>
        <w:rPr>
          <w:rFonts w:ascii="Times New Roman" w:hAnsi="Times New Roman"/>
          <w:sz w:val="20"/>
        </w:rPr>
        <w:t>” (including the terms “</w:t>
      </w:r>
      <w:r>
        <w:rPr>
          <w:rFonts w:ascii="Times New Roman" w:hAnsi="Times New Roman"/>
          <w:sz w:val="20"/>
          <w:u w:val="single"/>
        </w:rPr>
        <w:t>controlled</w:t>
      </w:r>
      <w:r>
        <w:rPr>
          <w:rFonts w:ascii="Times New Roman" w:hAnsi="Times New Roman"/>
          <w:sz w:val="20"/>
        </w:rPr>
        <w:t>,” “</w:t>
      </w:r>
      <w:r>
        <w:rPr>
          <w:rFonts w:ascii="Times New Roman" w:hAnsi="Times New Roman"/>
          <w:sz w:val="20"/>
          <w:u w:val="single"/>
        </w:rPr>
        <w:t>controlled by</w:t>
      </w:r>
      <w:r>
        <w:rPr>
          <w:rFonts w:ascii="Times New Roman" w:hAnsi="Times New Roman"/>
          <w:sz w:val="20"/>
        </w:rPr>
        <w:t>” and “</w:t>
      </w:r>
      <w:r>
        <w:rPr>
          <w:rFonts w:ascii="Times New Roman" w:hAnsi="Times New Roman"/>
          <w:sz w:val="20"/>
          <w:u w:val="single"/>
        </w:rPr>
        <w:t>under common control with</w:t>
      </w:r>
      <w:r>
        <w:rPr>
          <w:rFonts w:ascii="Times New Roman" w:hAnsi="Times New Roman"/>
          <w:sz w:val="20"/>
        </w:rPr>
        <w:t xml:space="preserve">”) means the possession, directly or indirectly, of the power to direct or cause the direction of the management and policies of a Person, whether through the ownership of voting securities, by contract or otherwise. </w:t>
      </w:r>
    </w:p>
    <w:p>
      <w:pPr>
        <w:pStyle w:val="TextBody"/>
        <w:bidi w:val="0"/>
        <w:spacing w:before="120" w:after="0"/>
        <w:jc w:val="left"/>
        <w:rPr>
          <w:rFonts w:ascii="Times New Roman" w:hAnsi="Times New Roman"/>
          <w:sz w:val="20"/>
        </w:rPr>
      </w:pPr>
      <w:r>
        <w:rPr>
          <w:rFonts w:ascii="Times New Roman" w:hAnsi="Times New Roman"/>
          <w:sz w:val="20"/>
        </w:rPr>
        <w:t>(z) “</w:t>
      </w:r>
      <w:r>
        <w:rPr>
          <w:rFonts w:ascii="Times New Roman" w:hAnsi="Times New Roman"/>
          <w:sz w:val="20"/>
          <w:u w:val="single"/>
        </w:rPr>
        <w:t>Disclosure-Only Litigation</w:t>
      </w:r>
      <w:r>
        <w:rPr>
          <w:rFonts w:ascii="Times New Roman" w:hAnsi="Times New Roman"/>
          <w:sz w:val="20"/>
        </w:rPr>
        <w:t xml:space="preserve">” means any Transaction Litigation (a) that asserts solely alleged disclosure deficiencies or inadequacies in the Registration Statement, the Proxy Statement or any other disclosure document filed or to be filed by Parent or the Company in connection with the transactions contemplated by this Agreement (including any claim for breach of fiduciary duty to the extent, and only to the extent, that such claim is based solely on such alleged disclosure deficiencies or inadequacies), and (b) that does not allege, in whole or in part, any breach of the fiduciary duty of care, loyalty or good faith (other than a disclosure-based claim of the type described in clause (a)), any breach of contract, any claim relating to the fairness of the Exchange Ratio or the process leading to the negotiation of this Agreement, or any other substantive claim not of the type described in clause (a). </w:t>
      </w:r>
    </w:p>
    <w:p>
      <w:pPr>
        <w:pStyle w:val="TextBody"/>
        <w:bidi w:val="0"/>
        <w:spacing w:before="120" w:after="0"/>
        <w:jc w:val="left"/>
        <w:rPr>
          <w:rFonts w:ascii="Times New Roman" w:hAnsi="Times New Roman"/>
          <w:sz w:val="20"/>
        </w:rPr>
      </w:pPr>
      <w:r>
        <w:rPr>
          <w:rFonts w:ascii="Times New Roman" w:hAnsi="Times New Roman"/>
          <w:sz w:val="20"/>
        </w:rPr>
        <w:t>(aa) “</w:t>
      </w:r>
      <w:r>
        <w:rPr>
          <w:rFonts w:ascii="Times New Roman" w:hAnsi="Times New Roman"/>
          <w:sz w:val="20"/>
          <w:u w:val="single"/>
        </w:rPr>
        <w:t>Employee Plan</w:t>
      </w:r>
      <w:r>
        <w:rPr>
          <w:rFonts w:ascii="Times New Roman" w:hAnsi="Times New Roman"/>
          <w:sz w:val="20"/>
        </w:rPr>
        <w:t xml:space="preserve">” means each “employee benefit plan” (within the meaning of section 3(3) of ERISA, whether or not subject to ERISA), Multiemployer Plans, and all stock purchase, stock option, stock appreciation right, phantom stock or other equity-based plan, severance, employment, change-in-control, fringe benefit, bonus, incentive, deferred compensation, compensation, supplemental retirement, health, life, or disability insurance, dependent care, vacation and all other employee benefit and compensation plans, agreements, programs, policies or other arrangements, whether or not subject to ERISA (including any funding mechanism therefor now in effect or required in the future as a result of the transactions contemplated by this Agreement or otherwise), whether formal or informal, written or oral.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(bb) “</w:t>
      </w:r>
      <w:r>
        <w:rPr>
          <w:rFonts w:ascii="Times New Roman" w:hAnsi="Times New Roman"/>
          <w:sz w:val="20"/>
          <w:u w:val="single"/>
        </w:rPr>
        <w:t>ERISA</w:t>
      </w:r>
      <w:r>
        <w:rPr>
          <w:rFonts w:ascii="Times New Roman" w:hAnsi="Times New Roman"/>
          <w:sz w:val="20"/>
        </w:rPr>
        <w:t xml:space="preserve">” means the U.S. Employee Retirement Income Security Act of 1974, as amended. </w:t>
      </w:r>
    </w:p>
    <w:p>
      <w:pPr>
        <w:pStyle w:val="TextBody"/>
        <w:bidi w:val="0"/>
        <w:spacing w:before="120" w:after="0"/>
        <w:jc w:val="left"/>
        <w:rPr>
          <w:rFonts w:ascii="Times New Roman" w:hAnsi="Times New Roman"/>
          <w:sz w:val="20"/>
        </w:rPr>
      </w:pPr>
      <w:r>
        <w:rPr>
          <w:rFonts w:ascii="Times New Roman" w:hAnsi="Times New Roman"/>
          <w:sz w:val="20"/>
        </w:rPr>
        <w:t>(cc) “</w:t>
      </w:r>
      <w:r>
        <w:rPr>
          <w:rFonts w:ascii="Times New Roman" w:hAnsi="Times New Roman"/>
          <w:sz w:val="20"/>
          <w:u w:val="single"/>
        </w:rPr>
        <w:t>HSR Act</w:t>
      </w:r>
      <w:r>
        <w:rPr>
          <w:rFonts w:ascii="Times New Roman" w:hAnsi="Times New Roman"/>
          <w:sz w:val="20"/>
        </w:rPr>
        <w:t xml:space="preserve">” means the U.S. Hart Scott-Rodino Antitrust Improvements Act of 1976, as amended. </w:t>
      </w:r>
    </w:p>
    <w:p>
      <w:pPr>
        <w:pStyle w:val="TextBody"/>
        <w:bidi w:val="0"/>
        <w:spacing w:before="120" w:after="0"/>
        <w:jc w:val="left"/>
        <w:rPr>
          <w:rFonts w:ascii="Times New Roman" w:hAnsi="Times New Roman"/>
          <w:sz w:val="20"/>
        </w:rPr>
      </w:pPr>
      <w:r>
        <w:rPr>
          <w:rFonts w:ascii="Times New Roman" w:hAnsi="Times New Roman"/>
          <w:sz w:val="20"/>
        </w:rPr>
        <w:t>(dd) “</w:t>
      </w:r>
      <w:r>
        <w:rPr>
          <w:rFonts w:ascii="Times New Roman" w:hAnsi="Times New Roman"/>
          <w:sz w:val="20"/>
          <w:u w:val="single"/>
        </w:rPr>
        <w:t>Intellectual Property</w:t>
      </w:r>
      <w:r>
        <w:rPr>
          <w:rFonts w:ascii="Times New Roman" w:hAnsi="Times New Roman"/>
          <w:sz w:val="20"/>
        </w:rPr>
        <w:t>” means all intellectual property rights of any kind, including all of the following: (i) trademarks or service marks (whether registered or unregistered), trade names, domain names, social media user names, social media addresses, logos, slogans, and trade dress, including applications to register any of the foregoing, together with the goodwill symbolized by any of the foregoing; (ii) patents, utility models and any similar or equivalent statutory rights with respect to the protection of inventions, and all applications for any of the foregoing, together with all re-issuances, continuations, continuations-in-part, divisionals, revisions, extensions and reexaminations thereof; (iii) copyrights (registered and unregistered) and applications for registration; (iv) trade secrets and customer lists, in each case to the extent any of the foregoing derives economic value (actual or potential) from not being generally known to other Persons who can obtain economic value from its disclosure or use, and other confidential information (“</w:t>
      </w:r>
      <w:r>
        <w:rPr>
          <w:rFonts w:ascii="Times New Roman" w:hAnsi="Times New Roman"/>
          <w:sz w:val="20"/>
          <w:u w:val="single"/>
        </w:rPr>
        <w:t>Trade Secrets</w:t>
      </w:r>
      <w:r>
        <w:rPr>
          <w:rFonts w:ascii="Times New Roman" w:hAnsi="Times New Roman"/>
          <w:sz w:val="20"/>
        </w:rPr>
        <w:t xml:space="preserve">”); and (v) any other proprietary or intellectual property rights of any kind or nature. </w:t>
      </w:r>
    </w:p>
    <w:p>
      <w:pPr>
        <w:pStyle w:val="TextBody"/>
        <w:bidi w:val="0"/>
        <w:spacing w:before="120" w:after="0"/>
        <w:jc w:val="left"/>
        <w:rPr>
          <w:rFonts w:ascii="Times New Roman" w:hAnsi="Times New Roman"/>
          <w:sz w:val="20"/>
        </w:rPr>
      </w:pPr>
      <w:r>
        <w:rPr>
          <w:rFonts w:ascii="Times New Roman" w:hAnsi="Times New Roman"/>
          <w:sz w:val="20"/>
        </w:rPr>
        <w:t>(ee) “</w:t>
      </w:r>
      <w:r>
        <w:rPr>
          <w:rFonts w:ascii="Times New Roman" w:hAnsi="Times New Roman"/>
          <w:sz w:val="20"/>
          <w:u w:val="single"/>
        </w:rPr>
        <w:t>knowledge</w:t>
      </w:r>
      <w:r>
        <w:rPr>
          <w:rFonts w:ascii="Times New Roman" w:hAnsi="Times New Roman"/>
          <w:sz w:val="20"/>
        </w:rPr>
        <w:t xml:space="preserve">” of any party means (i) the actual knowledge of any executive officer of such party or other officer having primary responsibility for the relevant matter or any employee consultant or interim officer serving similar roles (ii) any fact or matter which any such Person would be expected to discover or otherwise become aware of in the course of conducting a reasonably comprehensive inquiry, consistent with such Person’s title and responsibilities, concerning the existence of the relevant matter. </w:t>
      </w:r>
    </w:p>
    <w:p>
      <w:pPr>
        <w:pStyle w:val="TextBody"/>
        <w:bidi w:val="0"/>
        <w:spacing w:before="120" w:after="0"/>
        <w:jc w:val="left"/>
        <w:rPr>
          <w:rFonts w:ascii="Times New Roman" w:hAnsi="Times New Roman"/>
          <w:sz w:val="20"/>
        </w:rPr>
      </w:pPr>
      <w:r>
        <w:rPr>
          <w:rFonts w:ascii="Times New Roman" w:hAnsi="Times New Roman"/>
          <w:sz w:val="20"/>
        </w:rPr>
        <w:t>(ff) “</w:t>
      </w:r>
      <w:r>
        <w:rPr>
          <w:rFonts w:ascii="Times New Roman" w:hAnsi="Times New Roman"/>
          <w:sz w:val="20"/>
          <w:u w:val="single"/>
        </w:rPr>
        <w:t>Multiemployer Plan</w:t>
      </w:r>
      <w:r>
        <w:rPr>
          <w:rFonts w:ascii="Times New Roman" w:hAnsi="Times New Roman"/>
          <w:sz w:val="20"/>
        </w:rPr>
        <w:t xml:space="preserve">” shall have the meaning set forth in Section 3(37) of ERISA. </w:t>
      </w:r>
    </w:p>
    <w:p>
      <w:pPr>
        <w:pStyle w:val="TextBody"/>
        <w:bidi w:val="0"/>
        <w:spacing w:before="120" w:after="0"/>
        <w:jc w:val="left"/>
        <w:rPr>
          <w:rFonts w:ascii="Times New Roman" w:hAnsi="Times New Roman"/>
          <w:sz w:val="20"/>
        </w:rPr>
      </w:pPr>
      <w:r>
        <w:rPr>
          <w:rFonts w:ascii="Times New Roman" w:hAnsi="Times New Roman"/>
          <w:sz w:val="20"/>
        </w:rPr>
        <w:t>(gg) “</w:t>
      </w:r>
      <w:r>
        <w:rPr>
          <w:rFonts w:ascii="Times New Roman" w:hAnsi="Times New Roman"/>
          <w:sz w:val="20"/>
          <w:u w:val="single"/>
        </w:rPr>
        <w:t>Nasdaq</w:t>
      </w:r>
      <w:r>
        <w:rPr>
          <w:rFonts w:ascii="Times New Roman" w:hAnsi="Times New Roman"/>
          <w:sz w:val="20"/>
        </w:rPr>
        <w:t xml:space="preserve">” means The Nasdaq Stock Market. </w:t>
      </w:r>
    </w:p>
    <w:p>
      <w:pPr>
        <w:pStyle w:val="TextBody"/>
        <w:bidi w:val="0"/>
        <w:spacing w:before="120" w:after="0"/>
        <w:jc w:val="left"/>
        <w:rPr>
          <w:rFonts w:ascii="Times New Roman" w:hAnsi="Times New Roman"/>
          <w:sz w:val="20"/>
        </w:rPr>
      </w:pPr>
      <w:r>
        <w:rPr>
          <w:rFonts w:ascii="Times New Roman" w:hAnsi="Times New Roman"/>
          <w:sz w:val="20"/>
        </w:rPr>
        <w:t>(hh) “</w:t>
      </w:r>
      <w:r>
        <w:rPr>
          <w:rFonts w:ascii="Times New Roman" w:hAnsi="Times New Roman"/>
          <w:sz w:val="20"/>
          <w:u w:val="single"/>
        </w:rPr>
        <w:t>Nasdaq Fees</w:t>
      </w:r>
      <w:r>
        <w:rPr>
          <w:rFonts w:ascii="Times New Roman" w:hAnsi="Times New Roman"/>
          <w:sz w:val="20"/>
        </w:rPr>
        <w:t xml:space="preserve">” means all application fees payable to Nasdaq and associated with any action contemplated by </w:t>
      </w:r>
      <w:r>
        <w:rPr>
          <w:rFonts w:ascii="Times New Roman" w:hAnsi="Times New Roman"/>
          <w:sz w:val="20"/>
          <w:u w:val="single"/>
        </w:rPr>
        <w:t>Section 7.8</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Nasdaq Reverse Stock Split</w:t>
      </w:r>
      <w:r>
        <w:rPr>
          <w:rFonts w:ascii="Times New Roman" w:hAnsi="Times New Roman"/>
          <w:sz w:val="20"/>
        </w:rPr>
        <w:t xml:space="preserve">” means a reverse stock split of all outstanding shares of Parent Common Stock at a reverse stock split ratio as mutually agreed to by Parent and the Company that is effectuated by Parent for the purpose of maintaining compliance with Nasdaq listing standards. </w:t>
      </w:r>
    </w:p>
    <w:p>
      <w:pPr>
        <w:pStyle w:val="TextBody"/>
        <w:bidi w:val="0"/>
        <w:spacing w:before="120" w:after="0"/>
        <w:jc w:val="left"/>
        <w:rPr>
          <w:rFonts w:ascii="Times New Roman" w:hAnsi="Times New Roman"/>
          <w:sz w:val="20"/>
        </w:rPr>
      </w:pPr>
      <w:r>
        <w:rPr>
          <w:rFonts w:ascii="Times New Roman" w:hAnsi="Times New Roman"/>
          <w:sz w:val="20"/>
        </w:rPr>
        <w:t>(jj) “</w:t>
      </w:r>
      <w:r>
        <w:rPr>
          <w:rFonts w:ascii="Times New Roman" w:hAnsi="Times New Roman"/>
          <w:sz w:val="20"/>
          <w:u w:val="single"/>
        </w:rPr>
        <w:t>Net Cash</w:t>
      </w:r>
      <w:r>
        <w:rPr>
          <w:rFonts w:ascii="Times New Roman" w:hAnsi="Times New Roman"/>
          <w:sz w:val="20"/>
        </w:rPr>
        <w:t xml:space="preserve">” means (i) Parent’s unrestricted cash, cash equivalents and short-term investments, </w:t>
      </w:r>
      <w:r>
        <w:rPr>
          <w:rFonts w:ascii="Times New Roman" w:hAnsi="Times New Roman"/>
          <w:sz w:val="20"/>
          <w:u w:val="single"/>
        </w:rPr>
        <w:t>plus</w:t>
      </w:r>
      <w:r>
        <w:rPr>
          <w:rFonts w:ascii="Times New Roman" w:hAnsi="Times New Roman"/>
          <w:sz w:val="20"/>
        </w:rPr>
        <w:t xml:space="preserve"> (ii), and restricted cash to the extent capable of use by the combined company after the Closing, provided that in no event shall such amounts to be added to “Net Cash” exceed $1,100,000 plus any prepaid expenses and deposits that the parties mutually agree to include minus (iii) the sum of Parent’s short-term and long-term liabilities, including all accounts payable, indebtedness, lease termination costs, all actual and reasonably projected costs and any related prepayment penalties and premiums, and any unpaid Transaction Expenses (including any costs, fees or other liabilities, including Taxes, related to the premiums, commissions and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fees paid or payable in connection with obtaining Parent’s D&amp;O tail policy as set forth in </w:t>
      </w:r>
      <w:r>
        <w:rPr>
          <w:rFonts w:ascii="Times New Roman" w:hAnsi="Times New Roman"/>
          <w:sz w:val="20"/>
          <w:u w:val="single"/>
        </w:rPr>
        <w:t>Section 7.5(c)</w:t>
      </w:r>
      <w:r>
        <w:rPr>
          <w:rFonts w:ascii="Times New Roman" w:hAnsi="Times New Roman"/>
          <w:sz w:val="20"/>
        </w:rPr>
        <w:t xml:space="preserve">), </w:t>
      </w:r>
      <w:r>
        <w:rPr>
          <w:rFonts w:ascii="Times New Roman" w:hAnsi="Times New Roman"/>
          <w:sz w:val="20"/>
          <w:u w:val="single"/>
        </w:rPr>
        <w:t>minus</w:t>
      </w:r>
      <w:r>
        <w:rPr>
          <w:rFonts w:ascii="Times New Roman" w:hAnsi="Times New Roman"/>
          <w:sz w:val="20"/>
        </w:rPr>
        <w:t xml:space="preserve"> (iv) the sum of all notice payments, fines or other payments to be made by Parent in order to terminate, assign or fully perform any Parent Material Contract (other than any Contract set forth on </w:t>
      </w:r>
      <w:r>
        <w:rPr>
          <w:rFonts w:ascii="Times New Roman" w:hAnsi="Times New Roman"/>
          <w:sz w:val="20"/>
          <w:u w:val="single"/>
        </w:rPr>
        <w:t>Section 7.11(b)</w:t>
      </w:r>
      <w:r>
        <w:rPr>
          <w:rFonts w:ascii="Times New Roman" w:hAnsi="Times New Roman"/>
          <w:sz w:val="20"/>
        </w:rPr>
        <w:t xml:space="preserve"> of the Parent Disclosure Letter) and to discharge all other liabilities of Parent contemplated by </w:t>
      </w:r>
      <w:r>
        <w:rPr>
          <w:rFonts w:ascii="Times New Roman" w:hAnsi="Times New Roman"/>
          <w:sz w:val="20"/>
          <w:u w:val="single"/>
        </w:rPr>
        <w:t>Section 6.1(d)</w:t>
      </w:r>
      <w:r>
        <w:rPr>
          <w:rFonts w:ascii="Times New Roman" w:hAnsi="Times New Roman"/>
          <w:sz w:val="20"/>
        </w:rPr>
        <w:t xml:space="preserve"> of the Parent Disclosure Letter (including for avoidance of doubt, the SubSchedule 2 Contracts) and any other costs, fees or expenses associated with the Wind-Down Activities, in each case whether incurred prior to, at or after the Closing but only to the extent unpaid as of the Closing, </w:t>
      </w:r>
      <w:r>
        <w:rPr>
          <w:rFonts w:ascii="Times New Roman" w:hAnsi="Times New Roman"/>
          <w:sz w:val="20"/>
          <w:u w:val="single"/>
        </w:rPr>
        <w:t>minus</w:t>
      </w:r>
      <w:r>
        <w:rPr>
          <w:rFonts w:ascii="Times New Roman" w:hAnsi="Times New Roman"/>
          <w:sz w:val="20"/>
        </w:rPr>
        <w:t xml:space="preserve"> (v) the sum of any and all unpaid liabilities of Parent to its employees or other service providers, including change in control payments (whether payable on a single-trigger or double-trigger basis), severance payments and any payroll or similar Taxes owed in connection with the foregoing or any of Parent’s equity plans, including, for the avoidance of doubt, any employer-side portion of any payroll or similar Taxes owed in connection with the vesting and settlement of the Parent Restricted Stock Unit Awards pursuant to </w:t>
      </w:r>
      <w:r>
        <w:rPr>
          <w:rFonts w:ascii="Times New Roman" w:hAnsi="Times New Roman"/>
          <w:sz w:val="20"/>
          <w:u w:val="single"/>
        </w:rPr>
        <w:t>Section 6.7</w:t>
      </w:r>
      <w:r>
        <w:rPr>
          <w:rFonts w:ascii="Times New Roman" w:hAnsi="Times New Roman"/>
          <w:sz w:val="20"/>
        </w:rPr>
        <w:t xml:space="preserve"> hereof, </w:t>
      </w:r>
      <w:r>
        <w:rPr>
          <w:rFonts w:ascii="Times New Roman" w:hAnsi="Times New Roman"/>
          <w:sz w:val="20"/>
          <w:u w:val="single"/>
        </w:rPr>
        <w:t>minus</w:t>
      </w:r>
      <w:r>
        <w:rPr>
          <w:rFonts w:ascii="Times New Roman" w:hAnsi="Times New Roman"/>
          <w:sz w:val="20"/>
        </w:rPr>
        <w:t xml:space="preserve"> (vi) 50% of the mutually agreed estimated settlement amounts for any Disclosure-Only Litigation existing as of the Closing, provided that in no event shall such amounts to be deducted from “Net Cash” pursuant to this clause (vi) exceed $150,000 in the aggregate, </w:t>
      </w:r>
      <w:r>
        <w:rPr>
          <w:rFonts w:ascii="Times New Roman" w:hAnsi="Times New Roman"/>
          <w:sz w:val="20"/>
          <w:u w:val="single"/>
        </w:rPr>
        <w:t>minus</w:t>
      </w:r>
      <w:r>
        <w:rPr>
          <w:rFonts w:ascii="Times New Roman" w:hAnsi="Times New Roman"/>
          <w:sz w:val="20"/>
        </w:rPr>
        <w:t xml:space="preserve"> (vii) the mutually agreed estimated settlement amounts and related legal and other expenses for any Transaction Litigation existing as of the Closing that is not Disclosure-Only Litigation (other than, to avoid double-counting, any such Transaction Litigation for which the liability has been accrued on Parent’s balance sheet), provided that any Transaction Litigation pursuant to this clause (vii) shall be initiated and shall not include Transaction Litigation that is threatened in writing, and provided further that in no event shall such amounts to be deducted from “Net Cash” pursuant to this clause (vii) exceed $750,000 in the aggregate, plus (viii) the amounts set forth on </w:t>
      </w:r>
      <w:r>
        <w:rPr>
          <w:rFonts w:ascii="Times New Roman" w:hAnsi="Times New Roman"/>
          <w:sz w:val="20"/>
          <w:u w:val="single"/>
        </w:rPr>
        <w:t>Section 1.1(a)(i)</w:t>
      </w:r>
      <w:r>
        <w:rPr>
          <w:rFonts w:ascii="Times New Roman" w:hAnsi="Times New Roman"/>
          <w:sz w:val="20"/>
        </w:rPr>
        <w:t xml:space="preserve"> of the Parent Disclosure Letter. Set forth on </w:t>
      </w:r>
      <w:r>
        <w:rPr>
          <w:rFonts w:ascii="Times New Roman" w:hAnsi="Times New Roman"/>
          <w:sz w:val="20"/>
          <w:u w:val="single"/>
        </w:rPr>
        <w:t>Section 1.1(a)(ii)</w:t>
      </w:r>
      <w:r>
        <w:rPr>
          <w:rFonts w:ascii="Times New Roman" w:hAnsi="Times New Roman"/>
          <w:sz w:val="20"/>
        </w:rPr>
        <w:t xml:space="preserve"> of the Parent Disclosure Letter is an illustrative example of the calculation of Net Cash. </w:t>
      </w:r>
    </w:p>
    <w:p>
      <w:pPr>
        <w:pStyle w:val="TextBody"/>
        <w:bidi w:val="0"/>
        <w:spacing w:before="120" w:after="0"/>
        <w:jc w:val="left"/>
        <w:rPr>
          <w:rFonts w:ascii="Times New Roman" w:hAnsi="Times New Roman"/>
          <w:sz w:val="20"/>
        </w:rPr>
      </w:pPr>
      <w:r>
        <w:rPr>
          <w:rFonts w:ascii="Times New Roman" w:hAnsi="Times New Roman"/>
          <w:sz w:val="20"/>
        </w:rPr>
        <w:t>(kk) “</w:t>
      </w:r>
      <w:r>
        <w:rPr>
          <w:rFonts w:ascii="Times New Roman" w:hAnsi="Times New Roman"/>
          <w:sz w:val="20"/>
          <w:u w:val="single"/>
        </w:rPr>
        <w:t>Parent Equity Plans</w:t>
      </w:r>
      <w:r>
        <w:rPr>
          <w:rFonts w:ascii="Times New Roman" w:hAnsi="Times New Roman"/>
          <w:sz w:val="20"/>
        </w:rPr>
        <w:t xml:space="preserve">” means each of Parent’s 2016 Stock Incentive Plan, 2019 Stock Incentive Plan and 2022 Inducement Stock Incentive Plan, in each case, as amended from time to time. </w:t>
      </w:r>
    </w:p>
    <w:p>
      <w:pPr>
        <w:pStyle w:val="TextBody"/>
        <w:bidi w:val="0"/>
        <w:spacing w:before="120" w:after="0"/>
        <w:jc w:val="left"/>
        <w:rPr>
          <w:rFonts w:ascii="Times New Roman" w:hAnsi="Times New Roman"/>
          <w:sz w:val="20"/>
        </w:rPr>
      </w:pPr>
      <w:r>
        <w:rPr>
          <w:rFonts w:ascii="Times New Roman" w:hAnsi="Times New Roman"/>
          <w:sz w:val="20"/>
        </w:rPr>
        <w:t>(ll) “</w:t>
      </w:r>
      <w:r>
        <w:rPr>
          <w:rFonts w:ascii="Times New Roman" w:hAnsi="Times New Roman"/>
          <w:sz w:val="20"/>
          <w:u w:val="single"/>
        </w:rPr>
        <w:t>Parent ESPP</w:t>
      </w:r>
      <w:r>
        <w:rPr>
          <w:rFonts w:ascii="Times New Roman" w:hAnsi="Times New Roman"/>
          <w:sz w:val="20"/>
        </w:rPr>
        <w:t xml:space="preserve">” means Parent’s 2019 Employee Stock Purchase Plan. </w:t>
      </w:r>
    </w:p>
    <w:p>
      <w:pPr>
        <w:pStyle w:val="TextBody"/>
        <w:bidi w:val="0"/>
        <w:spacing w:before="120" w:after="0"/>
        <w:jc w:val="left"/>
        <w:rPr>
          <w:rFonts w:ascii="Times New Roman" w:hAnsi="Times New Roman"/>
          <w:sz w:val="20"/>
        </w:rPr>
      </w:pPr>
      <w:r>
        <w:rPr>
          <w:rFonts w:ascii="Times New Roman" w:hAnsi="Times New Roman"/>
          <w:sz w:val="20"/>
        </w:rPr>
        <w:t>(mm) “</w:t>
      </w:r>
      <w:r>
        <w:rPr>
          <w:rFonts w:ascii="Times New Roman" w:hAnsi="Times New Roman"/>
          <w:sz w:val="20"/>
          <w:u w:val="single"/>
        </w:rPr>
        <w:t>Parent Fundamental Representations</w:t>
      </w:r>
      <w:r>
        <w:rPr>
          <w:rFonts w:ascii="Times New Roman" w:hAnsi="Times New Roman"/>
          <w:sz w:val="20"/>
        </w:rPr>
        <w:t xml:space="preserve">” means each of the representations and warranties of Parent and Merger Subs set forth in </w:t>
      </w:r>
      <w:r>
        <w:rPr>
          <w:rFonts w:ascii="Times New Roman" w:hAnsi="Times New Roman"/>
          <w:sz w:val="20"/>
          <w:u w:val="single"/>
        </w:rPr>
        <w:t>Section 5.1</w:t>
      </w:r>
      <w:r>
        <w:rPr>
          <w:rFonts w:ascii="Times New Roman" w:hAnsi="Times New Roman"/>
          <w:sz w:val="20"/>
        </w:rPr>
        <w:t xml:space="preserve">, </w:t>
      </w:r>
      <w:r>
        <w:rPr>
          <w:rFonts w:ascii="Times New Roman" w:hAnsi="Times New Roman"/>
          <w:sz w:val="20"/>
          <w:u w:val="single"/>
        </w:rPr>
        <w:t>Section 5.2</w:t>
      </w:r>
      <w:r>
        <w:rPr>
          <w:rFonts w:ascii="Times New Roman" w:hAnsi="Times New Roman"/>
          <w:sz w:val="20"/>
        </w:rPr>
        <w:t xml:space="preserve">, </w:t>
      </w:r>
      <w:r>
        <w:rPr>
          <w:rFonts w:ascii="Times New Roman" w:hAnsi="Times New Roman"/>
          <w:sz w:val="20"/>
          <w:u w:val="single"/>
        </w:rPr>
        <w:t>Section 5.3</w:t>
      </w:r>
      <w:r>
        <w:rPr>
          <w:rFonts w:ascii="Times New Roman" w:hAnsi="Times New Roman"/>
          <w:sz w:val="20"/>
        </w:rPr>
        <w:t xml:space="preserve">, </w:t>
      </w:r>
      <w:r>
        <w:rPr>
          <w:rFonts w:ascii="Times New Roman" w:hAnsi="Times New Roman"/>
          <w:sz w:val="20"/>
          <w:u w:val="single"/>
        </w:rPr>
        <w:t>Section 5.4</w:t>
      </w:r>
      <w:r>
        <w:rPr>
          <w:rFonts w:ascii="Times New Roman" w:hAnsi="Times New Roman"/>
          <w:sz w:val="20"/>
        </w:rPr>
        <w:t xml:space="preserve"> and </w:t>
      </w:r>
      <w:r>
        <w:rPr>
          <w:rFonts w:ascii="Times New Roman" w:hAnsi="Times New Roman"/>
          <w:sz w:val="20"/>
          <w:u w:val="single"/>
        </w:rPr>
        <w:t>Section 5.27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(nn) “</w:t>
      </w:r>
      <w:r>
        <w:rPr>
          <w:rFonts w:ascii="Times New Roman" w:hAnsi="Times New Roman"/>
          <w:sz w:val="20"/>
          <w:u w:val="single"/>
        </w:rPr>
        <w:t>Parent ITM Option</w:t>
      </w:r>
      <w:r>
        <w:rPr>
          <w:rFonts w:ascii="Times New Roman" w:hAnsi="Times New Roman"/>
          <w:sz w:val="20"/>
        </w:rPr>
        <w:t xml:space="preserve">” means each Parent Option that is not a Parent OTM Option. </w:t>
      </w:r>
    </w:p>
    <w:p>
      <w:pPr>
        <w:pStyle w:val="TextBody"/>
        <w:bidi w:val="0"/>
        <w:spacing w:before="120" w:after="0"/>
        <w:jc w:val="left"/>
        <w:rPr>
          <w:rFonts w:ascii="Times New Roman" w:hAnsi="Times New Roman"/>
          <w:sz w:val="20"/>
        </w:rPr>
      </w:pPr>
      <w:r>
        <w:rPr>
          <w:rFonts w:ascii="Times New Roman" w:hAnsi="Times New Roman"/>
          <w:sz w:val="20"/>
        </w:rPr>
        <w:t>(oo) “</w:t>
      </w:r>
      <w:r>
        <w:rPr>
          <w:rFonts w:ascii="Times New Roman" w:hAnsi="Times New Roman"/>
          <w:sz w:val="20"/>
          <w:u w:val="single"/>
        </w:rPr>
        <w:t>Parent Options</w:t>
      </w:r>
      <w:r>
        <w:rPr>
          <w:rFonts w:ascii="Times New Roman" w:hAnsi="Times New Roman"/>
          <w:sz w:val="20"/>
        </w:rPr>
        <w:t xml:space="preserve">” means options to purchase shares of Parent Common Stock issued pursuant to a Parent Equity Plan or otherwise, but, for the avoidance of doubt, excluding the Parent ESPP. </w:t>
      </w:r>
    </w:p>
    <w:p>
      <w:pPr>
        <w:pStyle w:val="TextBody"/>
        <w:bidi w:val="0"/>
        <w:spacing w:before="120" w:after="0"/>
        <w:jc w:val="left"/>
        <w:rPr>
          <w:rFonts w:ascii="Times New Roman" w:hAnsi="Times New Roman"/>
          <w:sz w:val="20"/>
        </w:rPr>
      </w:pPr>
      <w:r>
        <w:rPr>
          <w:rFonts w:ascii="Times New Roman" w:hAnsi="Times New Roman"/>
          <w:sz w:val="20"/>
        </w:rPr>
        <w:t>(pp) “</w:t>
      </w:r>
      <w:r>
        <w:rPr>
          <w:rFonts w:ascii="Times New Roman" w:hAnsi="Times New Roman"/>
          <w:sz w:val="20"/>
          <w:u w:val="single"/>
        </w:rPr>
        <w:t>Parent OTM Option</w:t>
      </w:r>
      <w:r>
        <w:rPr>
          <w:rFonts w:ascii="Times New Roman" w:hAnsi="Times New Roman"/>
          <w:sz w:val="20"/>
        </w:rPr>
        <w:t xml:space="preserve">” means Parent Options with an exercise price greater than $7.00, in each case, as adjusted to take into account the Pre-Closing Cash Dividend in accordance with the Parent Equity Plans and the Nasdaq Reverse Stock Split,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(qq) “</w:t>
      </w:r>
      <w:r>
        <w:rPr>
          <w:rFonts w:ascii="Times New Roman" w:hAnsi="Times New Roman"/>
          <w:sz w:val="20"/>
          <w:u w:val="single"/>
        </w:rPr>
        <w:t>Parent Owned IP</w:t>
      </w:r>
      <w:r>
        <w:rPr>
          <w:rFonts w:ascii="Times New Roman" w:hAnsi="Times New Roman"/>
          <w:sz w:val="20"/>
        </w:rPr>
        <w:t xml:space="preserve">” means all Intellectual Property owned by Parent in whole or in part. </w:t>
      </w:r>
    </w:p>
    <w:p>
      <w:pPr>
        <w:pStyle w:val="TextBody"/>
        <w:bidi w:val="0"/>
        <w:spacing w:before="120" w:after="0"/>
        <w:jc w:val="left"/>
        <w:rPr>
          <w:rFonts w:ascii="Times New Roman" w:hAnsi="Times New Roman"/>
          <w:sz w:val="20"/>
        </w:rPr>
      </w:pPr>
      <w:r>
        <w:rPr>
          <w:rFonts w:ascii="Times New Roman" w:hAnsi="Times New Roman"/>
          <w:sz w:val="20"/>
        </w:rPr>
        <w:t>(rr) “</w:t>
      </w:r>
      <w:r>
        <w:rPr>
          <w:rFonts w:ascii="Times New Roman" w:hAnsi="Times New Roman"/>
          <w:sz w:val="20"/>
          <w:u w:val="single"/>
        </w:rPr>
        <w:t>Parent Plan</w:t>
      </w:r>
      <w:r>
        <w:rPr>
          <w:rFonts w:ascii="Times New Roman" w:hAnsi="Times New Roman"/>
          <w:sz w:val="20"/>
        </w:rPr>
        <w:t xml:space="preserve">” means each Employee Plan that is sponsored, maintained, or contributed (or required to be contributed) to by Parent or any of its Subsidiaries for the benefit of current or former employees, officers, directors or other service providers of Parent or any of its Subsidiaries or with respect to which Parent or any of its Subsidiaries has any liability, contingent or otherwise, other than any plan, program, arrangement, agreement or policy mandated by applicable Laws. </w:t>
      </w:r>
    </w:p>
    <w:p>
      <w:pPr>
        <w:pStyle w:val="TextBody"/>
        <w:bidi w:val="0"/>
        <w:spacing w:before="120" w:after="0"/>
        <w:jc w:val="left"/>
        <w:rPr>
          <w:rFonts w:ascii="Times New Roman" w:hAnsi="Times New Roman"/>
          <w:sz w:val="20"/>
        </w:rPr>
      </w:pPr>
      <w:r>
        <w:rPr>
          <w:rFonts w:ascii="Times New Roman" w:hAnsi="Times New Roman"/>
          <w:sz w:val="20"/>
        </w:rPr>
        <w:t>(ss) “</w:t>
      </w:r>
      <w:r>
        <w:rPr>
          <w:rFonts w:ascii="Times New Roman" w:hAnsi="Times New Roman"/>
          <w:sz w:val="20"/>
          <w:u w:val="single"/>
        </w:rPr>
        <w:t>Parent Restricted Stock Unit Awards</w:t>
      </w:r>
      <w:r>
        <w:rPr>
          <w:rFonts w:ascii="Times New Roman" w:hAnsi="Times New Roman"/>
          <w:sz w:val="20"/>
        </w:rPr>
        <w:t xml:space="preserve">” means each award of restricted stock unit awards with respect to shares of Parent Common Stock issued pursuant to a Parent Equity Plan or otherwise. </w:t>
      </w:r>
    </w:p>
    <w:p>
      <w:pPr>
        <w:pStyle w:val="TextBody"/>
        <w:bidi w:val="0"/>
        <w:spacing w:before="120" w:after="0"/>
        <w:jc w:val="left"/>
        <w:rPr>
          <w:rFonts w:ascii="Times New Roman" w:hAnsi="Times New Roman"/>
          <w:sz w:val="20"/>
        </w:rPr>
      </w:pPr>
      <w:r>
        <w:rPr>
          <w:rFonts w:ascii="Times New Roman" w:hAnsi="Times New Roman"/>
          <w:sz w:val="20"/>
        </w:rPr>
        <w:t>(tt) “</w:t>
      </w:r>
      <w:r>
        <w:rPr>
          <w:rFonts w:ascii="Times New Roman" w:hAnsi="Times New Roman"/>
          <w:sz w:val="20"/>
          <w:u w:val="single"/>
        </w:rPr>
        <w:t>Parent Triggering Event</w:t>
      </w:r>
      <w:r>
        <w:rPr>
          <w:rFonts w:ascii="Times New Roman" w:hAnsi="Times New Roman"/>
          <w:sz w:val="20"/>
        </w:rPr>
        <w:t xml:space="preserve">” shall be deemed to have occurred if: (a) Parent shall have failed to include in the Proxy Statement the Parent Board Recommendation (as defined below), (b) the Parent Board or any committee thereof shall have made a Parent Board Adverse Recommendation Change or approved, endorsed or recommended any Acquisition Proposal, (c) Parent shall have entered into any letter of intent or similar document or any Contract relating to any Acquisition Proposal (other than an Acceptable Confidentiality Agreement permitted pursuant to </w:t>
      </w:r>
      <w:r>
        <w:rPr>
          <w:rFonts w:ascii="Times New Roman" w:hAnsi="Times New Roman"/>
          <w:sz w:val="20"/>
          <w:u w:val="single"/>
        </w:rPr>
        <w:t>Section 6.4</w:t>
      </w:r>
      <w:r>
        <w:rPr>
          <w:rFonts w:ascii="Times New Roman" w:hAnsi="Times New Roman"/>
          <w:sz w:val="20"/>
        </w:rPr>
        <w:t xml:space="preserve">), (d) a tender offer or exchange offer for outstanding shares of Parent Common Stock is commenced, and the Parent Board (or any committee thereof) recommends that the stockholders of Parent tender their shares in such tender or exchange offer or, within ten (10) Business Days after the commencement of such tender offer or exchange offer, the Parent Board fails to recommend against acceptance of such offer, or (e) Parent shall have failed to issue a press release confirming the Parent Board Recommendation within ten (10) Business Days following the Company’s written request to Parent to issue such press release in response to any other publicly announced Acquisition Proposal with respect to Parent. </w:t>
      </w:r>
    </w:p>
    <w:p>
      <w:pPr>
        <w:pStyle w:val="TextBody"/>
        <w:bidi w:val="0"/>
        <w:spacing w:before="120" w:after="0"/>
        <w:jc w:val="left"/>
        <w:rPr>
          <w:rFonts w:ascii="Times New Roman" w:hAnsi="Times New Roman"/>
          <w:sz w:val="20"/>
        </w:rPr>
      </w:pPr>
      <w:r>
        <w:rPr>
          <w:rFonts w:ascii="Times New Roman" w:hAnsi="Times New Roman"/>
          <w:sz w:val="20"/>
        </w:rPr>
        <w:t>(uu) “</w:t>
      </w:r>
      <w:r>
        <w:rPr>
          <w:rFonts w:ascii="Times New Roman" w:hAnsi="Times New Roman"/>
          <w:sz w:val="20"/>
          <w:u w:val="single"/>
        </w:rPr>
        <w:t>Person</w:t>
      </w:r>
      <w:r>
        <w:rPr>
          <w:rFonts w:ascii="Times New Roman" w:hAnsi="Times New Roman"/>
          <w:sz w:val="20"/>
        </w:rPr>
        <w:t xml:space="preserve">” means an individual, corporation, partnership, limited liability company, association, trust or other entity or organization, including any Governmental Entity. </w:t>
      </w:r>
    </w:p>
    <w:p>
      <w:pPr>
        <w:pStyle w:val="TextBody"/>
        <w:bidi w:val="0"/>
        <w:spacing w:before="120" w:after="0"/>
        <w:jc w:val="left"/>
        <w:rPr>
          <w:rFonts w:ascii="Times New Roman" w:hAnsi="Times New Roman"/>
          <w:sz w:val="20"/>
        </w:rPr>
      </w:pPr>
      <w:r>
        <w:rPr>
          <w:rFonts w:ascii="Times New Roman" w:hAnsi="Times New Roman"/>
          <w:sz w:val="20"/>
        </w:rPr>
        <w:t>(vv) “</w:t>
      </w:r>
      <w:r>
        <w:rPr>
          <w:rFonts w:ascii="Times New Roman" w:hAnsi="Times New Roman"/>
          <w:sz w:val="20"/>
          <w:u w:val="single"/>
        </w:rPr>
        <w:t>Representative</w:t>
      </w:r>
      <w:r>
        <w:rPr>
          <w:rFonts w:ascii="Times New Roman" w:hAnsi="Times New Roman"/>
          <w:sz w:val="20"/>
        </w:rPr>
        <w:t xml:space="preserve">” means a party’s directors, officers, employees, investment bankers, financial advisors, attorneys, accountants or other advisors, agents or representatives. </w:t>
      </w:r>
    </w:p>
    <w:p>
      <w:pPr>
        <w:pStyle w:val="TextBody"/>
        <w:bidi w:val="0"/>
        <w:spacing w:before="120" w:after="0"/>
        <w:jc w:val="left"/>
        <w:rPr>
          <w:rFonts w:ascii="Times New Roman" w:hAnsi="Times New Roman"/>
          <w:sz w:val="20"/>
        </w:rPr>
      </w:pPr>
      <w:r>
        <w:rPr>
          <w:rFonts w:ascii="Times New Roman" w:hAnsi="Times New Roman"/>
          <w:sz w:val="20"/>
        </w:rPr>
        <w:t>(ww) “</w:t>
      </w:r>
      <w:r>
        <w:rPr>
          <w:rFonts w:ascii="Times New Roman" w:hAnsi="Times New Roman"/>
          <w:sz w:val="20"/>
          <w:u w:val="single"/>
        </w:rPr>
        <w:t>Sanctioned Country</w:t>
      </w:r>
      <w:r>
        <w:rPr>
          <w:rFonts w:ascii="Times New Roman" w:hAnsi="Times New Roman"/>
          <w:sz w:val="20"/>
        </w:rPr>
        <w:t xml:space="preserve">” means a country or territory that is the subject of a comprehensive embargo and other territory-wide sanctions or with which dealings are otherwise broadly restricted, prohibited or made sanctionable under any Trade Laws, currently including Iran, Syria (prior to July 1, 2025), North Korea, Cuba and the Crimea, the so-called Luhansk People’s Republic, and the so-called Donetsk People’s Republic regions of Ukraine. </w:t>
      </w:r>
    </w:p>
    <w:p>
      <w:pPr>
        <w:pStyle w:val="TextBody"/>
        <w:bidi w:val="0"/>
        <w:spacing w:before="120" w:after="0"/>
        <w:jc w:val="left"/>
        <w:rPr>
          <w:rFonts w:ascii="Times New Roman" w:hAnsi="Times New Roman"/>
          <w:sz w:val="20"/>
        </w:rPr>
      </w:pPr>
      <w:r>
        <w:rPr>
          <w:rFonts w:ascii="Times New Roman" w:hAnsi="Times New Roman"/>
          <w:sz w:val="20"/>
        </w:rPr>
        <w:t>(xx) “</w:t>
      </w:r>
      <w:r>
        <w:rPr>
          <w:rFonts w:ascii="Times New Roman" w:hAnsi="Times New Roman"/>
          <w:sz w:val="20"/>
          <w:u w:val="single"/>
        </w:rPr>
        <w:t>Sanctioned Person</w:t>
      </w:r>
      <w:r>
        <w:rPr>
          <w:rFonts w:ascii="Times New Roman" w:hAnsi="Times New Roman"/>
          <w:sz w:val="20"/>
        </w:rPr>
        <w:t xml:space="preserve">” means any Person that (i) is listed on any Trade Laws-related list of designated or blocked persons (including without limitation the Specially Designated Nationals and Blocked Persons List), (ii) is located, ordinarily resident or organized in a Sanctioned Country, (iii) is, or is an agent, representative or instrumentality of, the government of any Sanctioned Country or the government of Venezuela or (iv) owned 50% or more or, as applicable, controlled by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(yy) “</w:t>
      </w:r>
      <w:r>
        <w:rPr>
          <w:rFonts w:ascii="Times New Roman" w:hAnsi="Times New Roman"/>
          <w:sz w:val="20"/>
          <w:u w:val="single"/>
        </w:rPr>
        <w:t>SEC</w:t>
      </w:r>
      <w:r>
        <w:rPr>
          <w:rFonts w:ascii="Times New Roman" w:hAnsi="Times New Roman"/>
          <w:sz w:val="20"/>
        </w:rPr>
        <w:t xml:space="preserve">” means the Securities and Exchange Commission. </w:t>
      </w:r>
    </w:p>
    <w:p>
      <w:pPr>
        <w:pStyle w:val="TextBody"/>
        <w:bidi w:val="0"/>
        <w:spacing w:before="120" w:after="0"/>
        <w:jc w:val="left"/>
        <w:rPr>
          <w:rFonts w:ascii="Times New Roman" w:hAnsi="Times New Roman"/>
          <w:sz w:val="20"/>
        </w:rPr>
      </w:pPr>
      <w:r>
        <w:rPr>
          <w:rFonts w:ascii="Times New Roman" w:hAnsi="Times New Roman"/>
          <w:sz w:val="20"/>
        </w:rPr>
        <w:t>(zz) “</w:t>
      </w:r>
      <w:r>
        <w:rPr>
          <w:rFonts w:ascii="Times New Roman" w:hAnsi="Times New Roman"/>
          <w:sz w:val="20"/>
          <w:u w:val="single"/>
        </w:rPr>
        <w:t>Subsequent Transaction</w:t>
      </w:r>
      <w:r>
        <w:rPr>
          <w:rFonts w:ascii="Times New Roman" w:hAnsi="Times New Roman"/>
          <w:sz w:val="20"/>
        </w:rPr>
        <w:t xml:space="preserve">” means any Acquisition Transaction (with all references to 20% in the definition of Acquisition Transaction being treated as references to 50% for these purposes). </w:t>
      </w:r>
    </w:p>
    <w:p>
      <w:pPr>
        <w:pStyle w:val="TextBody"/>
        <w:bidi w:val="0"/>
        <w:spacing w:before="120" w:after="0"/>
        <w:jc w:val="left"/>
        <w:rPr>
          <w:rFonts w:ascii="Times New Roman" w:hAnsi="Times New Roman"/>
          <w:sz w:val="20"/>
        </w:rPr>
      </w:pPr>
      <w:r>
        <w:rPr>
          <w:rFonts w:ascii="Times New Roman" w:hAnsi="Times New Roman"/>
          <w:sz w:val="20"/>
        </w:rPr>
        <w:t>(aaa) “</w:t>
      </w:r>
      <w:r>
        <w:rPr>
          <w:rFonts w:ascii="Times New Roman" w:hAnsi="Times New Roman"/>
          <w:sz w:val="20"/>
          <w:u w:val="single"/>
        </w:rPr>
        <w:t>Subsidiary</w:t>
      </w:r>
      <w:r>
        <w:rPr>
          <w:rFonts w:ascii="Times New Roman" w:hAnsi="Times New Roman"/>
          <w:sz w:val="20"/>
        </w:rPr>
        <w:t xml:space="preserve">” means, with respect to any Person, any other Person of which stock or other equity interests having ordinary voting power to elect more than 50% of the board of directors or other governing body are owned, directly or indirectly, by such first Person. </w:t>
      </w:r>
    </w:p>
    <w:p>
      <w:pPr>
        <w:pStyle w:val="TextBody"/>
        <w:bidi w:val="0"/>
        <w:spacing w:before="120" w:after="0"/>
        <w:jc w:val="left"/>
        <w:rPr>
          <w:rFonts w:ascii="Times New Roman" w:hAnsi="Times New Roman"/>
          <w:sz w:val="20"/>
        </w:rPr>
      </w:pPr>
      <w:r>
        <w:rPr>
          <w:rFonts w:ascii="Times New Roman" w:hAnsi="Times New Roman"/>
          <w:sz w:val="20"/>
        </w:rPr>
        <w:t>(bbb) “</w:t>
      </w:r>
      <w:r>
        <w:rPr>
          <w:rFonts w:ascii="Times New Roman" w:hAnsi="Times New Roman"/>
          <w:sz w:val="20"/>
          <w:u w:val="single"/>
        </w:rPr>
        <w:t>Superior Offer</w:t>
      </w:r>
      <w:r>
        <w:rPr>
          <w:rFonts w:ascii="Times New Roman" w:hAnsi="Times New Roman"/>
          <w:sz w:val="20"/>
        </w:rPr>
        <w:t xml:space="preserve">” means an unsolicited bona fide written Acquisition Proposal (with all references to 20% in the definition of Acquisition Transaction being treated as references to 50% for these purposes) that: (a) was not obtained or made as a direct or indirect result of a breach of (or in violation of) the Agreement and (b) is on terms and conditions that the Parent Board or the Company Board, as applicable, determines in good faith, based on such matters that it deems relevant (including the likelihood of consummation thereof and the financing terms thereof), as well as any written offer by the other party to the Agreement to amend the terms of the Agreement, and following consultation with its outside legal counsel and financial advisors, if any, are more favorable, from a financial point of view, to the Parent’s stockholders or the Company’s stockholders, as applicable, than the terms of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(ccc) “</w:t>
      </w:r>
      <w:r>
        <w:rPr>
          <w:rFonts w:ascii="Times New Roman" w:hAnsi="Times New Roman"/>
          <w:sz w:val="20"/>
          <w:u w:val="single"/>
        </w:rPr>
        <w:t>Tax Return</w:t>
      </w:r>
      <w:r>
        <w:rPr>
          <w:rFonts w:ascii="Times New Roman" w:hAnsi="Times New Roman"/>
          <w:sz w:val="20"/>
        </w:rPr>
        <w:t xml:space="preserve">” means any return, declaration, report, certificate, bill, election, claim for refund, information return, statement or other written information and any other document filed or supplied or required to be filed or supplied to any Governmental Entity with respect to Taxes, including any schedule, attachment or supplement thereto, and including any amendment thereof. </w:t>
      </w:r>
    </w:p>
    <w:p>
      <w:pPr>
        <w:pStyle w:val="TextBody"/>
        <w:bidi w:val="0"/>
        <w:spacing w:before="120" w:after="0"/>
        <w:jc w:val="left"/>
        <w:rPr>
          <w:rFonts w:ascii="Times New Roman" w:hAnsi="Times New Roman"/>
          <w:sz w:val="20"/>
        </w:rPr>
      </w:pPr>
      <w:r>
        <w:rPr>
          <w:rFonts w:ascii="Times New Roman" w:hAnsi="Times New Roman"/>
          <w:sz w:val="20"/>
        </w:rPr>
        <w:t>(ddd) “</w:t>
      </w:r>
      <w:r>
        <w:rPr>
          <w:rFonts w:ascii="Times New Roman" w:hAnsi="Times New Roman"/>
          <w:sz w:val="20"/>
          <w:u w:val="single"/>
        </w:rPr>
        <w:t>Taxes</w:t>
      </w:r>
      <w:r>
        <w:rPr>
          <w:rFonts w:ascii="Times New Roman" w:hAnsi="Times New Roman"/>
          <w:sz w:val="20"/>
        </w:rPr>
        <w:t xml:space="preserve">” means all U.S. federal, state and local and non-U.S. net income, gross income, gross receipts, sales, use, stock, ad valorem, transfer, transaction, franchise, profits, gains, registration, license, wages, lease, service, service use, employee and other withholding, imputed underpayment, social security, unemployment, welfare, disability, payroll, employment, excise, severance, stamp, occupation, workers’ compensation, premium, real property, personal property, windfall profits, net worth, capital, value-added, alternative or add-on minimum, customs duties, estimated and other taxes, fees, assessments, charges or levies in the nature of a tax (whether imposed, assessed, determined, administered, enforced or collected directly or through withholding and including any amounts resulting from the failure to file any Tax Return), whether disputed or not, together with any interest and any penalties, additions to tax or additional amounts with respect thereto (or attributable to the nonpayment thereof). </w:t>
      </w:r>
    </w:p>
    <w:p>
      <w:pPr>
        <w:pStyle w:val="TextBody"/>
        <w:bidi w:val="0"/>
        <w:spacing w:before="120" w:after="0"/>
        <w:jc w:val="left"/>
        <w:rPr>
          <w:rFonts w:ascii="Times New Roman" w:hAnsi="Times New Roman"/>
          <w:sz w:val="20"/>
        </w:rPr>
      </w:pPr>
      <w:r>
        <w:rPr>
          <w:rFonts w:ascii="Times New Roman" w:hAnsi="Times New Roman"/>
          <w:sz w:val="20"/>
        </w:rPr>
        <w:t>(eee) “</w:t>
      </w:r>
      <w:r>
        <w:rPr>
          <w:rFonts w:ascii="Times New Roman" w:hAnsi="Times New Roman"/>
          <w:sz w:val="20"/>
          <w:u w:val="single"/>
        </w:rPr>
        <w:t>Transaction Expenses</w:t>
      </w:r>
      <w:r>
        <w:rPr>
          <w:rFonts w:ascii="Times New Roman" w:hAnsi="Times New Roman"/>
          <w:sz w:val="20"/>
        </w:rPr>
        <w:t xml:space="preserve">” means the aggregate amount (without duplication) of all costs, fees, Taxes and expenses incurred by Parent and Merger Subs, or for which Parent or Merger Subs are or may become liable in connection with the transactions contemplated hereby and the negotiation, preparation and execution of this Agreement or any other agreement, document, instrument, filing, certificate, schedule, exhibit, letter or other document prepared or executed in connection with the transactions contemplated hereby, including the maximum amount of fees and expenses payable to financial advisors, investment bankers, brokers, consultants, Tax advisors, transfer agents (including the Exchange Agent), proxy solicitor and other advisors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Parent, including the employer portion of any payroll or similar Taxes incurred or to be incurred by Parent or Merger Subs with respect to the payment of any item listed in this definition of Transaction Expenses;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Transaction Expenses shall specifically exclude (A) any fees and expenses incurred by the Company in connection with the Concurrent Investment, (B) the value or anticipated value of any settlement or judgment that is entered into or awarded post-Closing relating to Transaction Litigation, (C) 50% of any Nasdaq Fees, and (D) 50% of the filing fees of Parent in connection with the HSR Act.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Interpretation</w:t>
      </w:r>
      <w:r>
        <w:rPr>
          <w:rFonts w:ascii="Times New Roman" w:hAnsi="Times New Roman"/>
          <w:sz w:val="20"/>
        </w:rPr>
        <w:t xml:space="preserve">. When a reference is made in this Agreement to a Section, Article, Exhibit or Schedule such reference shall be to a Section, Article, Exhibit or Schedule of this Agreement unless otherwise indicated. The table of contents and headings contained in this Agreement or in any Exhibit or Schedule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or Schedule but not otherwise defined therein shall have the meaning as defined in this Agreement. All Exhibits and Schedules annexed hereto or referred to herein are hereby incorporated in and made a part of this Agreement as if set forth herein.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The term “or” is not exclusive. The word “will” shall be construed to have the same meaning and effect as the word “shall.” References to days mean calendar days unless otherwise specified.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Currency</w:t>
      </w:r>
      <w:r>
        <w:rPr>
          <w:rFonts w:ascii="Times New Roman" w:hAnsi="Times New Roman"/>
          <w:sz w:val="20"/>
        </w:rPr>
        <w:t xml:space="preserve">. All references to “dollars” or “$” or “US$” in this Agreement refer to United States dollars, which is the currency used for all purposes in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THE MERGER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Formation of Merger Subs</w:t>
      </w:r>
      <w:r>
        <w:rPr>
          <w:rFonts w:ascii="Times New Roman" w:hAnsi="Times New Roman"/>
          <w:sz w:val="20"/>
        </w:rPr>
        <w:t xml:space="preserve">. Parent has caused each of First Merger Sub and Second Merger Sub to be organized under the laws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The Mergers</w:t>
      </w:r>
      <w:r>
        <w:rPr>
          <w:rFonts w:ascii="Times New Roman" w:hAnsi="Times New Roman"/>
          <w:sz w:val="20"/>
        </w:rPr>
        <w:t>. Upon the terms and subject to the conditions set forth in this Agreement and in accordance with the DGCL, at the First Effective Time, First Merger Sub shall be merged with and into the Company. Following the First Merger, the separate corporate existence of First Merger Sub shall cease, and the Company shall continue as the surviving company of the First Merger (the “</w:t>
      </w:r>
      <w:r>
        <w:rPr>
          <w:rFonts w:ascii="Times New Roman" w:hAnsi="Times New Roman"/>
          <w:sz w:val="20"/>
          <w:u w:val="single"/>
        </w:rPr>
        <w:t>First Step Surviving Company</w:t>
      </w:r>
      <w:r>
        <w:rPr>
          <w:rFonts w:ascii="Times New Roman" w:hAnsi="Times New Roman"/>
          <w:sz w:val="20"/>
        </w:rPr>
        <w:t>”) and a wholly owned subsidiary of Parent. Upon the terms and subject to the conditions set forth in this Agreement and in accordance with the DGCL and the DLLCA, at the Second Effective Time, the First Step Surviving Company will merge with and into Second Merger Sub, and the separate existence of the First Step Surviving Company shall cease. As a result of the Second Merger, Second Merger Sub will continue as the surviving entity in the Second Merger (the “</w:t>
      </w:r>
      <w:r>
        <w:rPr>
          <w:rFonts w:ascii="Times New Roman" w:hAnsi="Times New Roman"/>
          <w:sz w:val="20"/>
          <w:u w:val="single"/>
        </w:rPr>
        <w:t>Surviving Entity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Closing</w:t>
      </w:r>
      <w:r>
        <w:rPr>
          <w:rFonts w:ascii="Times New Roman" w:hAnsi="Times New Roman"/>
          <w:sz w:val="20"/>
        </w:rPr>
        <w:t xml:space="preserve">. Unless this Agreement is earlier terminated pursuant to the provisions of </w:t>
      </w:r>
      <w:r>
        <w:rPr>
          <w:rFonts w:ascii="Times New Roman" w:hAnsi="Times New Roman"/>
          <w:sz w:val="20"/>
          <w:u w:val="single"/>
        </w:rPr>
        <w:t>Article IX</w:t>
      </w:r>
      <w:r>
        <w:rPr>
          <w:rFonts w:ascii="Times New Roman" w:hAnsi="Times New Roman"/>
          <w:sz w:val="20"/>
        </w:rPr>
        <w:t xml:space="preserve">, and subject to the satisfaction or waiver of the conditions set forth in </w:t>
      </w:r>
      <w:r>
        <w:rPr>
          <w:rFonts w:ascii="Times New Roman" w:hAnsi="Times New Roman"/>
          <w:sz w:val="20"/>
          <w:u w:val="single"/>
        </w:rPr>
        <w:t>Article VIII</w:t>
      </w:r>
      <w:r>
        <w:rPr>
          <w:rFonts w:ascii="Times New Roman" w:hAnsi="Times New Roman"/>
          <w:sz w:val="20"/>
        </w:rPr>
        <w:t>, the consummation of the Merger (the “</w:t>
      </w:r>
      <w:r>
        <w:rPr>
          <w:rFonts w:ascii="Times New Roman" w:hAnsi="Times New Roman"/>
          <w:sz w:val="20"/>
          <w:u w:val="single"/>
        </w:rPr>
        <w:t>Closing</w:t>
      </w:r>
      <w:r>
        <w:rPr>
          <w:rFonts w:ascii="Times New Roman" w:hAnsi="Times New Roman"/>
          <w:sz w:val="20"/>
        </w:rPr>
        <w:t xml:space="preserve">”) shall take place remotely by the electronic exchange of documents, as promptly as practicable (but in no event later than the second Business Day following the satisfaction or waiver of the last to be satisfied or waived of the conditions set forth in </w:t>
      </w:r>
      <w:r>
        <w:rPr>
          <w:rFonts w:ascii="Times New Roman" w:hAnsi="Times New Roman"/>
          <w:sz w:val="20"/>
          <w:u w:val="single"/>
        </w:rPr>
        <w:t>Article VIII</w:t>
      </w:r>
      <w:r>
        <w:rPr>
          <w:rFonts w:ascii="Times New Roman" w:hAnsi="Times New Roman"/>
          <w:sz w:val="20"/>
        </w:rPr>
        <w:t>, other than those conditions that by their nature are to be satisfied at the Closing, but subject to the satisfaction or waiver of each of such conditions), unless another time, date and place is mutually agreed upon by Parent and the Company in writing. The date on which the Closing actually takes place is referred to as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First Effective Time; Second Effective Time</w:t>
      </w:r>
      <w:r>
        <w:rPr>
          <w:rFonts w:ascii="Times New Roman" w:hAnsi="Times New Roman"/>
          <w:sz w:val="20"/>
        </w:rPr>
        <w:t xml:space="preserve">. Upon the terms and subject to the provisions of this Agreement, at the Closing, the parties (i) shall cause the First Merger to be consummated by executing and filing a certificate of merger with respect to the First Merger in the form attached hereto as </w:t>
      </w:r>
      <w:r>
        <w:rPr>
          <w:rFonts w:ascii="Times New Roman" w:hAnsi="Times New Roman"/>
          <w:sz w:val="20"/>
          <w:u w:val="single"/>
        </w:rPr>
        <w:t>Exhibit E-1</w:t>
      </w:r>
      <w:r>
        <w:rPr>
          <w:rFonts w:ascii="Times New Roman" w:hAnsi="Times New Roman"/>
          <w:sz w:val="20"/>
        </w:rPr>
        <w:t xml:space="preserve"> hereto (the “</w:t>
      </w:r>
      <w:r>
        <w:rPr>
          <w:rFonts w:ascii="Times New Roman" w:hAnsi="Times New Roman"/>
          <w:sz w:val="20"/>
          <w:u w:val="single"/>
        </w:rPr>
        <w:t>First Certificate of Merger</w:t>
      </w:r>
      <w:r>
        <w:rPr>
          <w:rFonts w:ascii="Times New Roman" w:hAnsi="Times New Roman"/>
          <w:sz w:val="20"/>
        </w:rPr>
        <w:t xml:space="preserve">”) and (ii) shall cause the Second Merger to be consummated by executing and filing a certificate of merger with respect to the Second Merger in the form attached hereto as </w:t>
      </w:r>
      <w:r>
        <w:rPr>
          <w:rFonts w:ascii="Times New Roman" w:hAnsi="Times New Roman"/>
          <w:sz w:val="20"/>
          <w:u w:val="single"/>
        </w:rPr>
        <w:t>Exhibit E-2</w:t>
      </w:r>
      <w:r>
        <w:rPr>
          <w:rFonts w:ascii="Times New Roman" w:hAnsi="Times New Roman"/>
          <w:sz w:val="20"/>
        </w:rPr>
        <w:t xml:space="preserve"> hereto (the “</w:t>
      </w:r>
      <w:r>
        <w:rPr>
          <w:rFonts w:ascii="Times New Roman" w:hAnsi="Times New Roman"/>
          <w:sz w:val="20"/>
          <w:u w:val="single"/>
        </w:rPr>
        <w:t>Second Certificate of Merger</w:t>
      </w:r>
      <w:r>
        <w:rPr>
          <w:rFonts w:ascii="Times New Roman" w:hAnsi="Times New Roman"/>
          <w:sz w:val="20"/>
        </w:rPr>
        <w:t>” and together with the First Certificate of Merger, the “</w:t>
      </w:r>
      <w:r>
        <w:rPr>
          <w:rFonts w:ascii="Times New Roman" w:hAnsi="Times New Roman"/>
          <w:sz w:val="20"/>
          <w:u w:val="single"/>
        </w:rPr>
        <w:t>Certificate of Merger</w:t>
      </w:r>
      <w:r>
        <w:rPr>
          <w:rFonts w:ascii="Times New Roman" w:hAnsi="Times New Roman"/>
          <w:sz w:val="20"/>
        </w:rPr>
        <w:t>”), in each case, with the Secretary of State of the State of Delaware (the “</w:t>
      </w:r>
      <w:r>
        <w:rPr>
          <w:rFonts w:ascii="Times New Roman" w:hAnsi="Times New Roman"/>
          <w:sz w:val="20"/>
          <w:u w:val="single"/>
        </w:rPr>
        <w:t>Delaware Secretary of State</w:t>
      </w:r>
      <w:r>
        <w:rPr>
          <w:rFonts w:ascii="Times New Roman" w:hAnsi="Times New Roman"/>
          <w:sz w:val="20"/>
        </w:rPr>
        <w:t>”), in such form as is required by, and executed in accordance with the relevant provisions of the DGCL and the DLLCA, as the case may be. The First Merger shall become effective at such time as the First Certificate of Merger is duly filed with the Delaware Secretary of State or at such other time as Parent and the Company shall agree in writing and shall specify in the Certificate of Merger (the time the First Merger becomes effective being the “</w:t>
      </w:r>
      <w:r>
        <w:rPr>
          <w:rFonts w:ascii="Times New Roman" w:hAnsi="Times New Roman"/>
          <w:sz w:val="20"/>
          <w:u w:val="single"/>
        </w:rPr>
        <w:t>First Effective Time</w:t>
      </w:r>
      <w:r>
        <w:rPr>
          <w:rFonts w:ascii="Times New Roman" w:hAnsi="Times New Roman"/>
          <w:sz w:val="20"/>
        </w:rPr>
        <w:t>”). The Second Merger shall become effective at the time of the filing of such Second Certificate of Merger with the Secretary of State of the State of Delaware or at such later time as may be specified in such Second Certificate of Merger with the consent of Parent and the Company (the time as of which the Second Merger becomes effective being the “</w:t>
      </w:r>
      <w:r>
        <w:rPr>
          <w:rFonts w:ascii="Times New Roman" w:hAnsi="Times New Roman"/>
          <w:sz w:val="20"/>
          <w:u w:val="single"/>
        </w:rPr>
        <w:t>Second 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Effects of the Merger</w:t>
      </w:r>
      <w:r>
        <w:rPr>
          <w:rFonts w:ascii="Times New Roman" w:hAnsi="Times New Roman"/>
          <w:sz w:val="20"/>
        </w:rPr>
        <w:t xml:space="preserve">. At and after the First Effective Time, the First Merger shall have the effects set forth in this Agreement and in the relevant provisions of the DGCL. At and after the Second Effective Time, the Second Merger shall have the effects set forth in this Agreement and in the relevant provisions of the DGCL and the DLLCA. Without limiting the generality of the foregoing, and subject thereto, (i) at the First Effective Time, all the property, rights, privileges, powers and franchises of the Company and First Merger Sub shall vest in the First Step Surviving Company, and all debts, liabilities and duties of the Company and First Merger Sub shall become the debts, liabilities and duties of the First Step Surviving Company, and (ii) at the Second Effective Time, all the property, rights, privileges, powers and franchises of the First Step Surviving Company shall vest in the Surviving Entity, and all debts, liabilities and duties of the First Step Surviving Company shall become the debts, liabilities and duties of the Surviving Entity.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Parent Governance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Parent Certificate of Incorporation</w:t>
      </w:r>
      <w:r>
        <w:rPr>
          <w:rFonts w:ascii="Times New Roman" w:hAnsi="Times New Roman"/>
          <w:sz w:val="20"/>
        </w:rPr>
        <w:t xml:space="preserve">. As of the Second Effective Time, the certificate of incorporation of Parent shall be identical to the certificate of incorporation of Parent immediately prior to the First Effective Time, until thereafter amended in accordance with its terms and as provided by applicable Law;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sz w:val="20"/>
        </w:rPr>
        <w:t xml:space="preserve">, that, at the Second Effective Time or at such other time as Parent and the Company shall agree in writing, Parent shall file an amendment to the certificate of incorporation to (i) effect the Nasdaq Reverse Stock Split, (ii) change the name of Parent to “Slate Medicines, Inc.” and (iii) make such other changes as mutually agreeable to Parent and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Parent Bylaws</w:t>
      </w:r>
      <w:r>
        <w:rPr>
          <w:rFonts w:ascii="Times New Roman" w:hAnsi="Times New Roman"/>
          <w:sz w:val="20"/>
        </w:rPr>
        <w:t xml:space="preserve">. As of the Second Effective Time, the bylaws of Parent shall be identical to the bylaws of Parent immediately prior to the First Effective Time, until thereafter amended in accordance with their terms and as provided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Board of Directors</w:t>
      </w:r>
      <w:r>
        <w:rPr>
          <w:rFonts w:ascii="Times New Roman" w:hAnsi="Times New Roman"/>
          <w:sz w:val="20"/>
        </w:rPr>
        <w:t xml:space="preserve">. The parties shall take all action necessary (including, to the extent necessary, procuring the resignation of any directors on the Parent Board immediately prior to the First Effective Time) so that, as of the First Effective Time, the number of directors that comprise the full Board of Directors of Parent shall be five (5), and such Board of Directors shall upon the First Effective Time initially consist of the Persons set forth in </w:t>
      </w:r>
      <w:r>
        <w:rPr>
          <w:rFonts w:ascii="Times New Roman" w:hAnsi="Times New Roman"/>
          <w:sz w:val="20"/>
          <w:u w:val="single"/>
        </w:rPr>
        <w:t>Section 2.6(c)</w:t>
      </w:r>
      <w:r>
        <w:rPr>
          <w:rFonts w:ascii="Times New Roman" w:hAnsi="Times New Roman"/>
          <w:sz w:val="20"/>
        </w:rPr>
        <w:t xml:space="preserve"> of the Company Disclosure Letter.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Parent Officers</w:t>
      </w:r>
      <w:r>
        <w:rPr>
          <w:rFonts w:ascii="Times New Roman" w:hAnsi="Times New Roman"/>
          <w:sz w:val="20"/>
        </w:rPr>
        <w:t xml:space="preserve">. The parties shall take all action necessary (including, to the extent necessary, procuring the resignation or removal of any officers of Parent immediately prior to the First Effective Time) so that, as of the First Effective Time, the Parent officers shall initially consist of the Persons set forth in </w:t>
      </w:r>
      <w:r>
        <w:rPr>
          <w:rFonts w:ascii="Times New Roman" w:hAnsi="Times New Roman"/>
          <w:sz w:val="20"/>
          <w:u w:val="single"/>
        </w:rPr>
        <w:t>Section 2.6(d)</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Section 2.7 </w:t>
      </w:r>
      <w:r>
        <w:rPr>
          <w:rFonts w:ascii="Times New Roman" w:hAnsi="Times New Roman"/>
          <w:sz w:val="20"/>
          <w:u w:val="single"/>
        </w:rPr>
        <w:t>First Step Surviving Company and Surviving Entity Governance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First Step Surviving Company Certificate of Incorporation</w:t>
      </w:r>
      <w:r>
        <w:rPr>
          <w:rFonts w:ascii="Times New Roman" w:hAnsi="Times New Roman"/>
          <w:sz w:val="20"/>
        </w:rPr>
        <w:t xml:space="preserve">. At the First Effective Time, the Certificate of Incorporation of the First Step Surviving Company shall, by virtue of the First Merger and without any further action, be amended and restated to read in its entirety as set forth on Exhibit A to the Certificate of Merger, and, as so amended and restated, shall be the Certificate of Incorporation of the First Step Surviving Company until thereafter amended in accordance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First Step Surviving Company Bylaws</w:t>
      </w:r>
      <w:r>
        <w:rPr>
          <w:rFonts w:ascii="Times New Roman" w:hAnsi="Times New Roman"/>
          <w:sz w:val="20"/>
        </w:rPr>
        <w:t xml:space="preserve">. At the First Effective Time, the bylaws of the First Step Surviving Company shall be amended and restated to read in their entirety as the bylaws of First Merger Sub as in effect immediately prior to the First Effective Time (except that references to the name of First Merger Sub shall be replaced with references to the name of the First Step Surviving Company), and, as so amended and restated, shall be the bylaws of the First Step Surviving Company until thereafter amended in accordance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First Step Surviving Company Directors</w:t>
      </w:r>
      <w:r>
        <w:rPr>
          <w:rFonts w:ascii="Times New Roman" w:hAnsi="Times New Roman"/>
          <w:sz w:val="20"/>
        </w:rPr>
        <w:t xml:space="preserve">. The directors of the First Step Surviving Company shall be such persons as are designated by the Company prior to the First Effective Time, each to hold office in accordance with the certificate of incorporation and bylaws of the First Step Surviving Company until the earlier of their resignation or removal or until their respective successors are duly elected and qualified.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First Step Surviving Company Officers</w:t>
      </w:r>
      <w:r>
        <w:rPr>
          <w:rFonts w:ascii="Times New Roman" w:hAnsi="Times New Roman"/>
          <w:sz w:val="20"/>
        </w:rPr>
        <w:t xml:space="preserve">. The officers of the First Step Surviving Company shall be such persons as are designated by the Company prior to the First Effective Time, each to hold office in accordance with the certificate of incorporation and bylaws of the First Step Surviving Company until the earlier of their resignation or removal or until their respective successors are duly elected and qualified.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EFFECT ON THE CAPITAL STOCK OF THE CONSTITUENT COMPANIES; </w:t>
      </w:r>
    </w:p>
    <w:p>
      <w:pPr>
        <w:pStyle w:val="TextBody"/>
        <w:bidi w:val="0"/>
        <w:spacing w:before="0" w:after="0"/>
        <w:jc w:val="center"/>
        <w:rPr>
          <w:rFonts w:ascii="Times New Roman" w:hAnsi="Times New Roman"/>
          <w:b/>
          <w:sz w:val="20"/>
        </w:rPr>
      </w:pPr>
      <w:r>
        <w:rPr>
          <w:rFonts w:ascii="Times New Roman" w:hAnsi="Times New Roman"/>
          <w:b/>
          <w:sz w:val="20"/>
        </w:rPr>
        <w:t xml:space="preserve">EXCHANGE OF CERTIFICATES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Conversion of Capital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At the First Effective Time, by virtue of the Merger and without any action on the part of Parent, Merger Subs, the Company or the holders of any shares of capital stock of the Parent, Merger Subs or the Company: </w:t>
      </w:r>
    </w:p>
    <w:p>
      <w:pPr>
        <w:pStyle w:val="TextBody"/>
        <w:bidi w:val="0"/>
        <w:spacing w:before="120" w:after="0"/>
        <w:jc w:val="left"/>
        <w:rPr>
          <w:rFonts w:ascii="Times New Roman" w:hAnsi="Times New Roman"/>
          <w:sz w:val="20"/>
        </w:rPr>
      </w:pPr>
      <w:r>
        <w:rPr>
          <w:rFonts w:ascii="Times New Roman" w:hAnsi="Times New Roman"/>
          <w:sz w:val="20"/>
        </w:rPr>
        <w:t>(i) Subject to 3.4(g), each share of Company Capital Stock issued and outstanding immediately prior to the First Effective Time (other than any Excluded Shares and any Dissenting Shares) shall be converted into and become exchangeable for the right to receive, a number of shares of Parent Capital Stock equal to the Exchange Ratio (the “</w:t>
      </w:r>
      <w:r>
        <w:rPr>
          <w:rFonts w:ascii="Times New Roman" w:hAnsi="Times New Roman"/>
          <w:sz w:val="20"/>
          <w:u w:val="single"/>
        </w:rPr>
        <w:t>Merger Consideration</w:t>
      </w:r>
      <w:r>
        <w:rPr>
          <w:rFonts w:ascii="Times New Roman" w:hAnsi="Times New Roman"/>
          <w:sz w:val="20"/>
        </w:rPr>
        <w:t>”). As of the First Effective Time, all such shares of Company Capital Stock shall no longer be outstanding and shall automatically be cancelled and shall cease to exist, and shall thereafter only represent the right to receive the Merger Consideration. For purposes of this Agreement, the “</w:t>
      </w:r>
      <w:r>
        <w:rPr>
          <w:rFonts w:ascii="Times New Roman" w:hAnsi="Times New Roman"/>
          <w:sz w:val="20"/>
          <w:u w:val="single"/>
        </w:rPr>
        <w:t>Exchange Ratio</w:t>
      </w:r>
      <w:r>
        <w:rPr>
          <w:rFonts w:ascii="Times New Roman" w:hAnsi="Times New Roman"/>
          <w:sz w:val="20"/>
        </w:rPr>
        <w:t xml:space="preserve">” shall mean the ratio (rounded to four decimal places) equal to (a) the Company Value Per Share divided by (b) the Parent Value Per Share, in which: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Company Outstanding Shares</w:t>
      </w:r>
      <w:r>
        <w:rPr>
          <w:rFonts w:ascii="Times New Roman" w:hAnsi="Times New Roman"/>
          <w:sz w:val="20"/>
        </w:rPr>
        <w:t xml:space="preserve">” means the total number of shares of Company Common Stock and Company Preferred Stock (determined on an as-converted to Company Common Stock basis) outstanding immediately prior to the First Effective Time (after giving effect to the Concurrent Investment and the UK Exchange), assuming the exercise, conversion and exchange of all options, warrants, conversion rights, exchange rights or any other rights to receive shares of Company Capital Stock which are outstanding immediately prior to the First Effective Time, including for the avoidance of doubt all outstanding Company Options and Company Warrants.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Company Valuation</w:t>
      </w:r>
      <w:r>
        <w:rPr>
          <w:rFonts w:ascii="Times New Roman" w:hAnsi="Times New Roman"/>
          <w:sz w:val="20"/>
        </w:rPr>
        <w:t>” means the sum of (i) $350,000,000 and (ii) the Concurrent Investment Amount; provided, however, that if the Company’s valuation on a pre-money basis implied by the pricing of the Concurrent Investment is other than $350,000,000 as agreed by the investors in the Concurrent Investment, prong (i) of the “</w:t>
      </w:r>
      <w:r>
        <w:rPr>
          <w:rFonts w:ascii="Times New Roman" w:hAnsi="Times New Roman"/>
          <w:sz w:val="20"/>
          <w:u w:val="single"/>
        </w:rPr>
        <w:t>Company Valuation</w:t>
      </w:r>
      <w:r>
        <w:rPr>
          <w:rFonts w:ascii="Times New Roman" w:hAnsi="Times New Roman"/>
          <w:sz w:val="20"/>
        </w:rPr>
        <w:t xml:space="preserve">” will be adjusted on a dollar-for-dollar basis to match such amount.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Company Value Per Share</w:t>
      </w:r>
      <w:r>
        <w:rPr>
          <w:rFonts w:ascii="Times New Roman" w:hAnsi="Times New Roman"/>
          <w:sz w:val="20"/>
        </w:rPr>
        <w:t xml:space="preserve">” equals the Company Valuation divided by the number of Company Outstanding Shares (rounded to four decimal places).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sz w:val="20"/>
          <w:u w:val="single"/>
        </w:rPr>
        <w:t>Parent Outstanding Shares</w:t>
      </w:r>
      <w:r>
        <w:rPr>
          <w:rFonts w:ascii="Times New Roman" w:hAnsi="Times New Roman"/>
          <w:sz w:val="20"/>
        </w:rPr>
        <w:t xml:space="preserve">” means the total number of shares of Parent Common Stock outstanding immediately prior to the First Effective Time (after giving effect to the Nasdaq Reverse Stock Split), calculated assuming the exercise, conversion or exchange of all options (other than any Parent OTM Options cancelled pursuant to </w:t>
      </w:r>
      <w:r>
        <w:rPr>
          <w:rFonts w:ascii="Times New Roman" w:hAnsi="Times New Roman"/>
          <w:sz w:val="20"/>
          <w:u w:val="single"/>
        </w:rPr>
        <w:t>Section 6.6(a)</w:t>
      </w:r>
      <w:r>
        <w:rPr>
          <w:rFonts w:ascii="Times New Roman" w:hAnsi="Times New Roman"/>
          <w:sz w:val="20"/>
        </w:rPr>
        <w:t xml:space="preserve">), warrants, conversion rights, exchange rights or any other rights to receive shares of Parent Common Stock which exist immediately prior to the First Effective Time, including for the avoidance of doubt all outstanding Parent ITM Options.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w:t>
      </w:r>
      <w:r>
        <w:rPr>
          <w:rFonts w:ascii="Times New Roman" w:hAnsi="Times New Roman"/>
          <w:sz w:val="20"/>
          <w:u w:val="single"/>
        </w:rPr>
        <w:t>Parent Valuation</w:t>
      </w:r>
      <w:r>
        <w:rPr>
          <w:rFonts w:ascii="Times New Roman" w:hAnsi="Times New Roman"/>
          <w:sz w:val="20"/>
        </w:rPr>
        <w:t>” means $31,300,000, assuming Net Cash at Closing of $20,300,000 (the “</w:t>
      </w:r>
      <w:r>
        <w:rPr>
          <w:rFonts w:ascii="Times New Roman" w:hAnsi="Times New Roman"/>
          <w:sz w:val="20"/>
          <w:u w:val="single"/>
        </w:rPr>
        <w:t>Target Net Cash</w:t>
      </w:r>
      <w:r>
        <w:rPr>
          <w:rFonts w:ascii="Times New Roman" w:hAnsi="Times New Roman"/>
          <w:sz w:val="20"/>
        </w:rPr>
        <w:t xml:space="preserve">”) after giving effect to the Pre-Closing Cash Dividend;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Net Cash at Closing after giving effect to the Pre-Closing Cash Dividend is less than the Target Net Cash, the Parent Valuation shall be adjusted down on a dollar-for-dollar basis by the amount of such shortfall below the Target Net Cash. For the avoidance of doubt, in no event shall the Parent Valuation exceed $31,300,000.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sz w:val="20"/>
          <w:u w:val="single"/>
        </w:rPr>
        <w:t>Parent Value Per Share</w:t>
      </w:r>
      <w:r>
        <w:rPr>
          <w:rFonts w:ascii="Times New Roman" w:hAnsi="Times New Roman"/>
          <w:sz w:val="20"/>
        </w:rPr>
        <w:t xml:space="preserve">” equals the Parent Valuation divided by the number of Parent Outstanding Shares (rounded to four decimal places). </w:t>
      </w:r>
    </w:p>
    <w:p>
      <w:pPr>
        <w:pStyle w:val="TextBody"/>
        <w:bidi w:val="0"/>
        <w:spacing w:before="120" w:after="0"/>
        <w:jc w:val="left"/>
        <w:rPr>
          <w:rFonts w:ascii="Times New Roman" w:hAnsi="Times New Roman"/>
          <w:sz w:val="20"/>
        </w:rPr>
      </w:pPr>
      <w:r>
        <w:rPr>
          <w:rFonts w:ascii="Times New Roman" w:hAnsi="Times New Roman"/>
          <w:sz w:val="20"/>
        </w:rPr>
        <w:t xml:space="preserve">For the avoidance of doubt and for illustrative purposes only, sample “Exchange Ratio” and “Parent Valuation” calculations are set forth on </w:t>
      </w:r>
      <w:r>
        <w:rPr>
          <w:rFonts w:ascii="Times New Roman" w:hAnsi="Times New Roman"/>
          <w:sz w:val="20"/>
          <w:u w:val="single"/>
        </w:rPr>
        <w:t>Schedule 3.1(a)(i)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At the First Effective Time, each share of Parent Common Stock issued and outstanding immediately prior to the First Effective Time shall remain outstanding. </w:t>
      </w:r>
    </w:p>
    <w:p>
      <w:pPr>
        <w:pStyle w:val="TextBody"/>
        <w:bidi w:val="0"/>
        <w:spacing w:before="120" w:after="0"/>
        <w:jc w:val="left"/>
        <w:rPr>
          <w:rFonts w:ascii="Times New Roman" w:hAnsi="Times New Roman"/>
          <w:sz w:val="20"/>
        </w:rPr>
      </w:pPr>
      <w:r>
        <w:rPr>
          <w:rFonts w:ascii="Times New Roman" w:hAnsi="Times New Roman"/>
          <w:sz w:val="20"/>
        </w:rPr>
        <w:t>(iii) Each share of Company Capital Stock held in the treasury of the Company or owned, directly or indirectly, by Parent or Merger Subs immediately prior to the First Effective Time (collectively, “</w:t>
      </w:r>
      <w:r>
        <w:rPr>
          <w:rFonts w:ascii="Times New Roman" w:hAnsi="Times New Roman"/>
          <w:sz w:val="20"/>
          <w:u w:val="single"/>
        </w:rPr>
        <w:t>Excluded Shares</w:t>
      </w:r>
      <w:r>
        <w:rPr>
          <w:rFonts w:ascii="Times New Roman" w:hAnsi="Times New Roman"/>
          <w:sz w:val="20"/>
        </w:rPr>
        <w:t xml:space="preserve">” shall automatically be cancelled and shall cease to exist, and no consideration shall be delivered in exchange therefor. </w:t>
      </w:r>
    </w:p>
    <w:p>
      <w:pPr>
        <w:pStyle w:val="TextBody"/>
        <w:bidi w:val="0"/>
        <w:spacing w:before="120" w:after="0"/>
        <w:jc w:val="left"/>
        <w:rPr>
          <w:rFonts w:ascii="Times New Roman" w:hAnsi="Times New Roman"/>
          <w:sz w:val="20"/>
        </w:rPr>
      </w:pPr>
      <w:r>
        <w:rPr>
          <w:rFonts w:ascii="Times New Roman" w:hAnsi="Times New Roman"/>
          <w:sz w:val="20"/>
        </w:rPr>
        <w:t xml:space="preserve">(iv) Each share of common stock, par value $0.001 per share, of First Merger Sub issued and outstanding immediately prior to the First Effective Time shall be converted into and become one validly issued, fully paid and non-assessable share of common stock, par value $0.001 per share, of the First Step Surviving Company. </w:t>
      </w:r>
    </w:p>
    <w:p>
      <w:pPr>
        <w:pStyle w:val="TextBody"/>
        <w:bidi w:val="0"/>
        <w:spacing w:before="120" w:after="0"/>
        <w:jc w:val="left"/>
        <w:rPr>
          <w:rFonts w:ascii="Times New Roman" w:hAnsi="Times New Roman"/>
          <w:sz w:val="20"/>
        </w:rPr>
      </w:pPr>
      <w:r>
        <w:rPr>
          <w:rFonts w:ascii="Times New Roman" w:hAnsi="Times New Roman"/>
          <w:sz w:val="20"/>
        </w:rPr>
        <w:t>(b) Immediately prior to the First Effective Time and in connection with an exchange pursuant to that certain Share Exchange Agreement, dated as of February 17, 2026, by and among the Company, Slate Medicines UK Limited (“</w:t>
      </w:r>
      <w:r>
        <w:rPr>
          <w:rFonts w:ascii="Times New Roman" w:hAnsi="Times New Roman"/>
          <w:sz w:val="20"/>
          <w:u w:val="single"/>
        </w:rPr>
        <w:t>Slate UK</w:t>
      </w:r>
      <w:r>
        <w:rPr>
          <w:rFonts w:ascii="Times New Roman" w:hAnsi="Times New Roman"/>
          <w:sz w:val="20"/>
        </w:rPr>
        <w:t>”) and certain stockholders of the Company (collectively, the “</w:t>
      </w:r>
      <w:r>
        <w:rPr>
          <w:rFonts w:ascii="Times New Roman" w:hAnsi="Times New Roman"/>
          <w:sz w:val="20"/>
          <w:u w:val="single"/>
        </w:rPr>
        <w:t>Specified Holders</w:t>
      </w:r>
      <w:r>
        <w:rPr>
          <w:rFonts w:ascii="Times New Roman" w:hAnsi="Times New Roman"/>
          <w:sz w:val="20"/>
        </w:rPr>
        <w:t>”) holding B ordinary shares of Slate UK (“</w:t>
      </w:r>
      <w:r>
        <w:rPr>
          <w:rFonts w:ascii="Times New Roman" w:hAnsi="Times New Roman"/>
          <w:sz w:val="20"/>
          <w:u w:val="single"/>
        </w:rPr>
        <w:t>B Ordinary Shares</w:t>
      </w:r>
      <w:r>
        <w:rPr>
          <w:rFonts w:ascii="Times New Roman" w:hAnsi="Times New Roman"/>
          <w:sz w:val="20"/>
        </w:rPr>
        <w:t>”), (i) each outstanding B Ordinary Share held by the Specified Holders shall be exchanged with the Company for one share of Company Series A-1 Preferred Stock, and (ii) each outstanding share of Company Series A-2 Preferred Stock shall be automatically transferred to the Company for no consideration and retired in accordance with, and pursuant to the terms and conditions of, the Company Charter (collectively, the “</w:t>
      </w:r>
      <w:r>
        <w:rPr>
          <w:rFonts w:ascii="Times New Roman" w:hAnsi="Times New Roman"/>
          <w:sz w:val="20"/>
          <w:u w:val="single"/>
        </w:rPr>
        <w:t>UK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Treatment of Company Options</w:t>
      </w:r>
      <w:r>
        <w:rPr>
          <w:rFonts w:ascii="Times New Roman" w:hAnsi="Times New Roman"/>
          <w:sz w:val="20"/>
        </w:rPr>
        <w:t>. Each Company Option outstanding immediately prior to the First Effective Time shall automatically without any further action on the part of Parent, Merger Subs, Company or any holder of a Company Option, be converted, at the First Effective Time, into an option (an “</w:t>
      </w:r>
      <w:r>
        <w:rPr>
          <w:rFonts w:ascii="Times New Roman" w:hAnsi="Times New Roman"/>
          <w:sz w:val="20"/>
          <w:u w:val="single"/>
        </w:rPr>
        <w:t>Assumed Option</w:t>
      </w:r>
      <w:r>
        <w:rPr>
          <w:rFonts w:ascii="Times New Roman" w:hAnsi="Times New Roman"/>
          <w:sz w:val="20"/>
        </w:rPr>
        <w:t xml:space="preserve">”) to acquire, on the same terms and conditions (including the same vesting and exercisability terms and conditions) as were applicable under the Company Equity Plan and option agreement applicable to such Company Option immediately prior to the First Effective Time, the number of shares of Parent Common Stock determined by multiplying the number of shares of Company Common Stock subject to such Company Option immediately prior to the First Effective Time by the Exchange Ratio, rounding down to the nearest whole number of shares, at a per share exercise price determined by dividing the per share exercise price of such Company Option immediately prior to the First Effective Time by the Exchange Ratio, rounding up to the nearest whole cent; </w:t>
      </w:r>
      <w:r>
        <w:rPr>
          <w:rFonts w:ascii="Times New Roman" w:hAnsi="Times New Roman"/>
          <w:sz w:val="20"/>
          <w:u w:val="single"/>
        </w:rPr>
        <w:t>provided</w:t>
      </w:r>
      <w:r>
        <w:rPr>
          <w:rFonts w:ascii="Times New Roman" w:hAnsi="Times New Roman"/>
          <w:sz w:val="20"/>
        </w:rPr>
        <w:t>, that the conversion of the Company Options will be made in a manner consistent with Treasury Regulations Section 1.424-</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such that the conversion will not constitute a “modification” of such Company Options for purposes of Section 409A or Section 424 of the Code. As of the First Effective Time, Parent will assume the Company Equity Plan, with the number of shares available for issuance thereunder being determined by multiplying the number of shares of Company Common Stock available for issuance thereunder prior to the First Effective Time by the Exchange Ratio. For the avoidance of doubt, stockholders and equityholders of the Company, in their capacities as such, shall not receive any Pre-Closing Cash Dividend pursuant to </w:t>
      </w:r>
      <w:r>
        <w:rPr>
          <w:rFonts w:ascii="Times New Roman" w:hAnsi="Times New Roman"/>
          <w:sz w:val="20"/>
          <w:u w:val="single"/>
        </w:rPr>
        <w:t>Section 7.14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Treatment of Company Warrants</w:t>
      </w:r>
      <w:r>
        <w:rPr>
          <w:rFonts w:ascii="Times New Roman" w:hAnsi="Times New Roman"/>
          <w:sz w:val="20"/>
        </w:rPr>
        <w:t xml:space="preserve">. Each Company Warrant outstanding immediately prior to the First Effective Time shall automatically, without any further action on the part of Parent, Merger Subs, the Company or any holder of a Company Warrant, be assumed and converted, at the First Effective Time, into a warrant (an “Assumed Warrant”) to acquire, on the same terms and conditions (including the same expiration date and other terms) as were applicable under the applicable warrant agreement or instrument governing such Company Warrant immediately prior to the First Effective Time, the number of shares of Parent Common Stock determined by multiplying the number of shares of Company Common Stock subject to such Company Warrant immediately prior to the First Effective Time by the Exchange Ratio, rounding down to the nearest whole number of shares, at a per share exercise price determined by dividing the per share exercise price of such Company Warrant immediately prior to the First Effective Time by the Exchange Ratio, rounding up to the nearest whole cent. As of the First Effective Time, Parent shall assume each Company Warrant and the obligations of the Company thereunder in accordance with its terms, as adjusted pursuant to this Section 3.3. For the avoidance of doubt, holders of Company Warrants, in their capacities as such, shall not receive any Pre-Closing Cash Dividend pursuant to </w:t>
      </w:r>
      <w:r>
        <w:rPr>
          <w:rFonts w:ascii="Times New Roman" w:hAnsi="Times New Roman"/>
          <w:sz w:val="20"/>
          <w:u w:val="single"/>
        </w:rPr>
        <w:t>Section 7.14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Exchange and Payment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Parent shall issue and deposit (or cause to be deposited) with a bank or trust company designated by Parent (the “</w:t>
      </w:r>
      <w:r>
        <w:rPr>
          <w:rFonts w:ascii="Times New Roman" w:hAnsi="Times New Roman"/>
          <w:sz w:val="20"/>
          <w:u w:val="single"/>
        </w:rPr>
        <w:t>Exchange Agent</w:t>
      </w:r>
      <w:r>
        <w:rPr>
          <w:rFonts w:ascii="Times New Roman" w:hAnsi="Times New Roman"/>
          <w:sz w:val="20"/>
        </w:rPr>
        <w:t xml:space="preserve">”), in trust for the benefit of holders of shares of Company Capital Stock immediately prior to the First Effective Time (other than holders to the extent they hold Excluded Shares or Dissenting Shares), book-entry shares (or certificates if requested) representing the shares of Parent Common Stock issuable pursuant to </w:t>
      </w:r>
      <w:r>
        <w:rPr>
          <w:rFonts w:ascii="Times New Roman" w:hAnsi="Times New Roman"/>
          <w:sz w:val="20"/>
          <w:u w:val="single"/>
        </w:rPr>
        <w:t>Section 3.1(a)(i)</w:t>
      </w:r>
      <w:r>
        <w:rPr>
          <w:rFonts w:ascii="Times New Roman" w:hAnsi="Times New Roman"/>
          <w:sz w:val="20"/>
        </w:rPr>
        <w:t xml:space="preserve">. In addition, Parent shall make available by depositing with the Exchange Agent, as necessary from time to time after the Effective Time any dividends or other distributions payable pursuant to </w:t>
      </w:r>
      <w:r>
        <w:rPr>
          <w:rFonts w:ascii="Times New Roman" w:hAnsi="Times New Roman"/>
          <w:sz w:val="20"/>
          <w:u w:val="single"/>
        </w:rPr>
        <w:t>Section 3.4(e)</w:t>
      </w:r>
      <w:r>
        <w:rPr>
          <w:rFonts w:ascii="Times New Roman" w:hAnsi="Times New Roman"/>
          <w:sz w:val="20"/>
        </w:rPr>
        <w:t xml:space="preserve"> (which for clarity shall not include the Pre-Closing Cash Dividend). All certificates representing shares of Parent Common Stock, and any dividends, distributions and cash deposited with the Exchange Agent are hereinafter referred to as the “</w:t>
      </w:r>
      <w:r>
        <w:rPr>
          <w:rFonts w:ascii="Times New Roman" w:hAnsi="Times New Roman"/>
          <w:sz w:val="20"/>
          <w:u w:val="single"/>
        </w:rPr>
        <w:t>Exchange Fund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As soon as reasonably practicable after the First Effective Time and in any event not later than the tenth (10th) Business Day prior to the anticipated Closing Date, the parties shall cause the Exchange Agent to mail to each holder of record of a certificate that immediately prior to the First Effective Time represented outstanding shares of Company Common Stock (collectively, the “</w:t>
      </w:r>
      <w:r>
        <w:rPr>
          <w:rFonts w:ascii="Times New Roman" w:hAnsi="Times New Roman"/>
          <w:sz w:val="20"/>
          <w:u w:val="single"/>
        </w:rPr>
        <w:t>Certificates</w:t>
      </w:r>
      <w:r>
        <w:rPr>
          <w:rFonts w:ascii="Times New Roman" w:hAnsi="Times New Roman"/>
          <w:sz w:val="20"/>
        </w:rPr>
        <w:t>”) and to each holder of record of uncertificated shares of Company Common Stock represented by book entry (“</w:t>
      </w:r>
      <w:r>
        <w:rPr>
          <w:rFonts w:ascii="Times New Roman" w:hAnsi="Times New Roman"/>
          <w:sz w:val="20"/>
          <w:u w:val="single"/>
        </w:rPr>
        <w:t>Book-Entry Shares</w:t>
      </w:r>
      <w:r>
        <w:rPr>
          <w:rFonts w:ascii="Times New Roman" w:hAnsi="Times New Roman"/>
          <w:sz w:val="20"/>
        </w:rPr>
        <w:t xml:space="preserve">”) that were converted into the right to receive the Merger Consideration (together with any dividends or other distributions payable pursuant to </w:t>
      </w:r>
      <w:r>
        <w:rPr>
          <w:rFonts w:ascii="Times New Roman" w:hAnsi="Times New Roman"/>
          <w:sz w:val="20"/>
          <w:u w:val="single"/>
        </w:rPr>
        <w:t>Section 3.4(e)</w:t>
      </w:r>
      <w:r>
        <w:rPr>
          <w:rFonts w:ascii="Times New Roman" w:hAnsi="Times New Roman"/>
          <w:sz w:val="20"/>
        </w:rPr>
        <w:t xml:space="preserve">, but not the Pre-Closing Cash Dividend), (i) a form of letter of transmittal (which shall specify that delivery shall be effected, and risk of loss and title to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Certificates held by such Person shall pass, only upon proper delivery of such Certificates, if any, and identification of the Book-Entry Shares, if any, to the Exchange Agent, and which letter shall be in customary form and contain such other provisions as Parent or the Exchange Agent may reasonably specify) and (ii) instructions for use in effecting the surrender of any such Certificates and identifying such Book-Entry Shares in exchange for the Merger Consideration (together with any dividends or other distributions payable pursuant to </w:t>
      </w:r>
      <w:r>
        <w:rPr>
          <w:rFonts w:ascii="Times New Roman" w:hAnsi="Times New Roman"/>
          <w:sz w:val="20"/>
          <w:u w:val="single"/>
        </w:rPr>
        <w:t>Section 3.4(e)</w:t>
      </w:r>
      <w:r>
        <w:rPr>
          <w:rFonts w:ascii="Times New Roman" w:hAnsi="Times New Roman"/>
          <w:sz w:val="20"/>
        </w:rPr>
        <w:t xml:space="preserve">, but not the Pre-Closing Cash Dividend). Upon surrender of a Certificate and identification of the Book-Entry Shares, as applicable, to the Exchange Agent, together with such letter of transmittal, duly completed and validly executed in accordance with the instructions thereto, and such other documents as the Exchange Agent may reasonably require, the holder of such Certificate or Book-Entry Share shall be entitled to receive in exchange for the shares of Company Common Stock formerly represented by such Certificate or Book-Entry Share (other than Excluded Shares or Dissenting Shares) (A) that number of whole shares of Parent Common Stock (after taking into account all shares of Company Common Stock then held by such holder under all Certificates so surrendered and Book-Entry Shares so identified) to which such holder of Company Common Stock shall have become entitled pursuant to </w:t>
      </w:r>
      <w:r>
        <w:rPr>
          <w:rFonts w:ascii="Times New Roman" w:hAnsi="Times New Roman"/>
          <w:sz w:val="20"/>
          <w:u w:val="single"/>
        </w:rPr>
        <w:t>Section 3.1(a)(i)</w:t>
      </w:r>
      <w:r>
        <w:rPr>
          <w:rFonts w:ascii="Times New Roman" w:hAnsi="Times New Roman"/>
          <w:sz w:val="20"/>
        </w:rPr>
        <w:t xml:space="preserve"> (which shall be in uncertificated book-entry form unless a physical certificate is requested), and (B) any dividends or other distributions payable pursuant to </w:t>
      </w:r>
      <w:r>
        <w:rPr>
          <w:rFonts w:ascii="Times New Roman" w:hAnsi="Times New Roman"/>
          <w:sz w:val="20"/>
          <w:u w:val="single"/>
        </w:rPr>
        <w:t>Section 3.4(e)</w:t>
      </w:r>
      <w:r>
        <w:rPr>
          <w:rFonts w:ascii="Times New Roman" w:hAnsi="Times New Roman"/>
          <w:sz w:val="20"/>
        </w:rPr>
        <w:t xml:space="preserve"> (but not the Pre-Closing Cash Dividend), and any Certificate so surrendered, together with any Book-Entry Shares, shall forthwith be cancelled. No interest will be paid or accrued on any unpaid dividends and distributions, if any, payable to holders of Certificates or Book-Entry Shares. Until surrendered as contemplated by this </w:t>
      </w:r>
      <w:r>
        <w:rPr>
          <w:rFonts w:ascii="Times New Roman" w:hAnsi="Times New Roman"/>
          <w:sz w:val="20"/>
          <w:u w:val="single"/>
        </w:rPr>
        <w:t>Section 3.4</w:t>
      </w:r>
      <w:r>
        <w:rPr>
          <w:rFonts w:ascii="Times New Roman" w:hAnsi="Times New Roman"/>
          <w:sz w:val="20"/>
        </w:rPr>
        <w:t xml:space="preserve">, each Certificate or Book-Entry Share shall be deemed after the First Effective Time to represent only the right to receive the Merger Consideration payable in respect thereof (together with any dividends or other distributions payable pursuant to </w:t>
      </w:r>
      <w:r>
        <w:rPr>
          <w:rFonts w:ascii="Times New Roman" w:hAnsi="Times New Roman"/>
          <w:sz w:val="20"/>
          <w:u w:val="single"/>
        </w:rPr>
        <w:t>Section 3.4(e)</w:t>
      </w:r>
      <w:r>
        <w:rPr>
          <w:rFonts w:ascii="Times New Roman" w:hAnsi="Times New Roman"/>
          <w:sz w:val="20"/>
        </w:rPr>
        <w:t xml:space="preserve">, but not the Pre-Closing Cash Dividend). </w:t>
      </w:r>
    </w:p>
    <w:p>
      <w:pPr>
        <w:pStyle w:val="TextBody"/>
        <w:bidi w:val="0"/>
        <w:spacing w:before="120" w:after="0"/>
        <w:jc w:val="left"/>
        <w:rPr>
          <w:rFonts w:ascii="Times New Roman" w:hAnsi="Times New Roman"/>
          <w:sz w:val="20"/>
        </w:rPr>
      </w:pPr>
      <w:r>
        <w:rPr>
          <w:rFonts w:ascii="Times New Roman" w:hAnsi="Times New Roman"/>
          <w:sz w:val="20"/>
        </w:rPr>
        <w:t xml:space="preserve">(c) If payment of the Merger Consideration is to be made to a Person other than the Person in whose name the surrendered Certificate or Book-Entry Share is registered, it shall be a condition of payment that such Certificate so surrendered shall be properly endorsed or shall be otherwise in proper form for transfer or such Book-Entry Share shall be properly transferred and that the Person requesting such payment shall have paid any transfer and other Taxes required by reason of the payment of the Merger Consideration to a Person other than the registered holder of such Certificate or Book-Entry Share or shall have established to the satisfaction of Parent that such Tax is not applicable. </w:t>
      </w:r>
    </w:p>
    <w:p>
      <w:pPr>
        <w:pStyle w:val="TextBody"/>
        <w:bidi w:val="0"/>
        <w:spacing w:before="120" w:after="0"/>
        <w:jc w:val="left"/>
        <w:rPr>
          <w:rFonts w:ascii="Times New Roman" w:hAnsi="Times New Roman"/>
          <w:sz w:val="20"/>
        </w:rPr>
      </w:pPr>
      <w:r>
        <w:rPr>
          <w:rFonts w:ascii="Times New Roman" w:hAnsi="Times New Roman"/>
          <w:sz w:val="20"/>
        </w:rPr>
        <w:t xml:space="preserve">(d) Holders of Company Capital Stock, in their capacities as such, shall not be entitled to any portion of the Pre-Closing Cash Dividend, and the Certificates and Book-Entry Shares shall not represent any right to any portion of the Pre-Closing Cash Dividend. </w:t>
      </w:r>
    </w:p>
    <w:p>
      <w:pPr>
        <w:pStyle w:val="TextBody"/>
        <w:bidi w:val="0"/>
        <w:spacing w:before="120" w:after="0"/>
        <w:jc w:val="left"/>
        <w:rPr>
          <w:rFonts w:ascii="Times New Roman" w:hAnsi="Times New Roman"/>
          <w:sz w:val="20"/>
        </w:rPr>
      </w:pPr>
      <w:r>
        <w:rPr>
          <w:rFonts w:ascii="Times New Roman" w:hAnsi="Times New Roman"/>
          <w:sz w:val="20"/>
        </w:rPr>
        <w:t xml:space="preserve">(e) (i) No dividends or other distributions with respect to Parent Common Stock with a record date after the First Effective Time shall be paid to the holder of any unsurrendered Certificate with respect to the shares of Parent Common Stock that the holder thereof has the right to receive upon the surrender thereof until the holder thereof shall surrender such Certificate in accordance with this </w:t>
      </w:r>
      <w:r>
        <w:rPr>
          <w:rFonts w:ascii="Times New Roman" w:hAnsi="Times New Roman"/>
          <w:sz w:val="20"/>
          <w:u w:val="single"/>
        </w:rPr>
        <w:t>Article III</w:t>
      </w:r>
      <w:r>
        <w:rPr>
          <w:rFonts w:ascii="Times New Roman" w:hAnsi="Times New Roman"/>
          <w:sz w:val="20"/>
        </w:rPr>
        <w:t xml:space="preserve">. Following the surrender of a Certificate in accordance with this </w:t>
      </w:r>
      <w:r>
        <w:rPr>
          <w:rFonts w:ascii="Times New Roman" w:hAnsi="Times New Roman"/>
          <w:sz w:val="20"/>
          <w:u w:val="single"/>
        </w:rPr>
        <w:t>Article III</w:t>
      </w:r>
      <w:r>
        <w:rPr>
          <w:rFonts w:ascii="Times New Roman" w:hAnsi="Times New Roman"/>
          <w:sz w:val="20"/>
        </w:rPr>
        <w:t xml:space="preserve">, there shall be paid to the record holder thereof, without interest, (A) promptly after such surrender, the amount of any dividends or other distributions with a record date after the First Effective Time theretofore paid with respect to such whole shares of Parent Common Stock, and (B) at the appropriate payment date, the amount of dividends or other distributions with a record date after the First Effective Time but prior to such surrender and a payment date subsequent to such surrender payable with respect to such whole shares of Parent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Holders of Book-Entry Shares who are entitled to receive shares of Parent Common Stock under this </w:t>
      </w:r>
      <w:r>
        <w:rPr>
          <w:rFonts w:ascii="Times New Roman" w:hAnsi="Times New Roman"/>
          <w:sz w:val="20"/>
          <w:u w:val="single"/>
        </w:rPr>
        <w:t>Article III</w:t>
      </w:r>
      <w:r>
        <w:rPr>
          <w:rFonts w:ascii="Times New Roman" w:hAnsi="Times New Roman"/>
          <w:sz w:val="20"/>
        </w:rPr>
        <w:t xml:space="preserve"> shall be paid (A) at the time of payment of such Parent Common Stock by the Exchange Agent under </w:t>
      </w:r>
      <w:r>
        <w:rPr>
          <w:rFonts w:ascii="Times New Roman" w:hAnsi="Times New Roman"/>
          <w:sz w:val="20"/>
          <w:u w:val="single"/>
        </w:rPr>
        <w:t>Section 3.4(b)</w:t>
      </w:r>
      <w:r>
        <w:rPr>
          <w:rFonts w:ascii="Times New Roman" w:hAnsi="Times New Roman"/>
          <w:sz w:val="20"/>
        </w:rPr>
        <w:t xml:space="preserve">, the amount of dividends or other distributions (other than the Pre-Closing Cash Dividend) with a record date after the Effective Time theretofore paid with respect to such whole shares of Parent Common Stock, and (B) First at the appropriate payment date, the amount of dividends or other distributions with a record date after the Effective Time but prior to the time of such payment by the Exchange Agent under </w:t>
      </w:r>
      <w:r>
        <w:rPr>
          <w:rFonts w:ascii="Times New Roman" w:hAnsi="Times New Roman"/>
          <w:sz w:val="20"/>
          <w:u w:val="single"/>
        </w:rPr>
        <w:t>Section</w:t>
      </w:r>
      <w:r>
        <w:rPr>
          <w:rFonts w:ascii="Times New Roman" w:hAnsi="Times New Roman"/>
          <w:sz w:val="20"/>
        </w:rPr>
        <w:t> </w:t>
      </w:r>
      <w:r>
        <w:rPr>
          <w:rFonts w:ascii="Times New Roman" w:hAnsi="Times New Roman"/>
          <w:sz w:val="20"/>
          <w:u w:val="single"/>
        </w:rPr>
        <w:t>3.4(b)</w:t>
      </w:r>
      <w:r>
        <w:rPr>
          <w:rFonts w:ascii="Times New Roman" w:hAnsi="Times New Roman"/>
          <w:sz w:val="20"/>
        </w:rPr>
        <w:t xml:space="preserve"> and a payment date subsequent to the time of such payment by the Exchange Agent under </w:t>
      </w:r>
      <w:r>
        <w:rPr>
          <w:rFonts w:ascii="Times New Roman" w:hAnsi="Times New Roman"/>
          <w:sz w:val="20"/>
          <w:u w:val="single"/>
        </w:rPr>
        <w:t>Section 3.4(b)</w:t>
      </w:r>
      <w:r>
        <w:rPr>
          <w:rFonts w:ascii="Times New Roman" w:hAnsi="Times New Roman"/>
          <w:sz w:val="20"/>
        </w:rPr>
        <w:t xml:space="preserve"> payable with respect to such whole shares of Parent Common Stock. </w:t>
      </w:r>
    </w:p>
    <w:p>
      <w:pPr>
        <w:pStyle w:val="TextBody"/>
        <w:bidi w:val="0"/>
        <w:spacing w:before="120" w:after="0"/>
        <w:jc w:val="left"/>
        <w:rPr>
          <w:rFonts w:ascii="Times New Roman" w:hAnsi="Times New Roman"/>
          <w:sz w:val="20"/>
        </w:rPr>
      </w:pPr>
      <w:r>
        <w:rPr>
          <w:rFonts w:ascii="Times New Roman" w:hAnsi="Times New Roman"/>
          <w:sz w:val="20"/>
        </w:rPr>
        <w:t xml:space="preserve">(f) The Merger Consideration (together with any dividends or other distributions payable pursuant to </w:t>
      </w:r>
      <w:r>
        <w:rPr>
          <w:rFonts w:ascii="Times New Roman" w:hAnsi="Times New Roman"/>
          <w:sz w:val="20"/>
          <w:u w:val="single"/>
        </w:rPr>
        <w:t>Section 3.3(e)</w:t>
      </w:r>
      <w:r>
        <w:rPr>
          <w:rFonts w:ascii="Times New Roman" w:hAnsi="Times New Roman"/>
          <w:sz w:val="20"/>
        </w:rPr>
        <w:t xml:space="preserve">, but not the Pre-Closing Cash Dividend) shall be deemed to have been issued and paid in full satisfaction of all rights pertaining to the shares of Company Common Stock formerly represented by such Certificates or Book-Entry Shares. At the Effective Time, the stock transfer books of the Company shall be closed and there shall be no further registration of transfers of the shares of Company Common Stock that were outstanding immediately prior to the Effective Time. If, after the Effective Time, Certificates are presented to the Surviving Company or the Exchange Agent for transfer or transfer is sought for Book-Entry Shares, such Certificates or Book-Entry Shares shall be cancelled and exchanged as provided in this </w:t>
      </w:r>
      <w:r>
        <w:rPr>
          <w:rFonts w:ascii="Times New Roman" w:hAnsi="Times New Roman"/>
          <w:sz w:val="20"/>
          <w:u w:val="single"/>
        </w:rPr>
        <w:t>Article III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No fractional shares of Parent Common Stock shall be issued in connection with the Merger, and no certificates or scrip for any such fractional shares shall be issued. All fractional shares of Parent Common Stock that a holder of shares of Company Capital Stock would otherwise be entitled to receive as a result of the Merger shall be aggregated, and each such holder shall receive a number of whole shares of Parent Common Stock resulting from such aggregation rounded up to the nearest whole share, with no cash being paid for any fractional share eliminated by such rounding. </w:t>
      </w:r>
    </w:p>
    <w:p>
      <w:pPr>
        <w:pStyle w:val="TextBody"/>
        <w:bidi w:val="0"/>
        <w:spacing w:before="120" w:after="0"/>
        <w:jc w:val="left"/>
        <w:rPr>
          <w:rFonts w:ascii="Times New Roman" w:hAnsi="Times New Roman"/>
          <w:sz w:val="20"/>
        </w:rPr>
      </w:pPr>
      <w:r>
        <w:rPr>
          <w:rFonts w:ascii="Times New Roman" w:hAnsi="Times New Roman"/>
          <w:sz w:val="20"/>
        </w:rPr>
        <w:t xml:space="preserve">(h) Any portion of the Exchange Fund that remains undistributed to the holders of Certificates or Book-Entry Shares six months after the First Effective Time shall be delivered to the Surviving Entity, upon demand, and any remaining holders of Certificates or Book-Entry Shares (except to the extent representing Excluded Shares or Dissenting Shares) shall thereafter look only to the Surviving Entity, as general creditors thereof, for payment of the Merger Consideration (together with any dividends or other distributions payable pursuant to </w:t>
      </w:r>
      <w:r>
        <w:rPr>
          <w:rFonts w:ascii="Times New Roman" w:hAnsi="Times New Roman"/>
          <w:sz w:val="20"/>
          <w:u w:val="single"/>
        </w:rPr>
        <w:t>Section 3.4(e)</w:t>
      </w:r>
      <w:r>
        <w:rPr>
          <w:rFonts w:ascii="Times New Roman" w:hAnsi="Times New Roman"/>
          <w:sz w:val="20"/>
        </w:rPr>
        <w:t xml:space="preserve"> but not the Pre-Closing Cash Dividend) (subject to abandoned property, escheat or other similar laws), without interest. </w:t>
      </w:r>
    </w:p>
    <w:p>
      <w:pPr>
        <w:pStyle w:val="TextBody"/>
        <w:bidi w:val="0"/>
        <w:spacing w:before="120" w:after="0"/>
        <w:jc w:val="left"/>
        <w:rPr>
          <w:rFonts w:ascii="Times New Roman" w:hAnsi="Times New Roman"/>
          <w:sz w:val="20"/>
        </w:rPr>
      </w:pPr>
      <w:r>
        <w:rPr>
          <w:rFonts w:ascii="Times New Roman" w:hAnsi="Times New Roman"/>
          <w:sz w:val="20"/>
        </w:rPr>
        <w:t xml:space="preserve">(i) None of Parent, the Surviving Entity, the Exchange Agent or any other Person shall be liable to any Person in respect of shares of Parent Common Stock, dividends or other distributions with respect thereto properly delivered to a public official pursuant to any applicable abandoned property, escheat or similar Law. If any Certificates or Book-Entry Shares shall not have been exchanged prior to two years after the First Effective Time (or immediately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to such earlier date on which the related Merger Consideration (and all dividends or other distributions with respect to shares of Parent Common Stock) would otherwise escheat to or become the property of any Governmental Entity), any such Merger Consideration (and such dividends, distributions and cash) in respect thereof shall, to the extent permitted by applicable Law, become the property of the Surviving Entity, free and clear of all claims or interest of any Person previously entitled thereto. </w:t>
      </w:r>
    </w:p>
    <w:p>
      <w:pPr>
        <w:pStyle w:val="TextBody"/>
        <w:bidi w:val="0"/>
        <w:spacing w:before="120" w:after="0"/>
        <w:jc w:val="left"/>
        <w:rPr>
          <w:rFonts w:ascii="Times New Roman" w:hAnsi="Times New Roman"/>
          <w:sz w:val="20"/>
        </w:rPr>
      </w:pPr>
      <w:r>
        <w:rPr>
          <w:rFonts w:ascii="Times New Roman" w:hAnsi="Times New Roman"/>
          <w:sz w:val="20"/>
        </w:rPr>
        <w:t xml:space="preserve">(j) If any Certificate shall have been lost, stolen or destroyed, upon the making of an affidavit, in form and substance reasonably acceptable to Parent, of that fact by the Person claiming such Certificate to be lost, stolen or destroyed and, if required by Parent or the Exchange Agent, the posting by such Person of a bond in such amount as Parent or the Exchange Agent may determine is reasonably necessary as indemnity against any claim that may be made against it or the Surviving Entity with respect to such Certificate, then the Exchange Agent will deliver in exchange for such lost, stolen or destroyed Certificate the Merger Consideration payable in respect thereof (together with any dividends or other distributions payable pursuant to </w:t>
      </w:r>
      <w:r>
        <w:rPr>
          <w:rFonts w:ascii="Times New Roman" w:hAnsi="Times New Roman"/>
          <w:sz w:val="20"/>
          <w:u w:val="single"/>
        </w:rPr>
        <w:t>Section 3.4(e)</w:t>
      </w:r>
      <w:r>
        <w:rPr>
          <w:rFonts w:ascii="Times New Roman" w:hAnsi="Times New Roman"/>
          <w:sz w:val="20"/>
        </w:rPr>
        <w:t xml:space="preserve"> but not the Pre-Closing Cash Dividend). </w:t>
      </w:r>
    </w:p>
    <w:p>
      <w:pPr>
        <w:pStyle w:val="TextBody"/>
        <w:bidi w:val="0"/>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Withholding Rights</w:t>
      </w:r>
      <w:r>
        <w:rPr>
          <w:rFonts w:ascii="Times New Roman" w:hAnsi="Times New Roman"/>
          <w:sz w:val="20"/>
        </w:rPr>
        <w:t>. Parent, the Surviving Entity and the Exchange Agent (each, a “</w:t>
      </w:r>
      <w:r>
        <w:rPr>
          <w:rFonts w:ascii="Times New Roman" w:hAnsi="Times New Roman"/>
          <w:sz w:val="20"/>
          <w:u w:val="single"/>
        </w:rPr>
        <w:t>Withholding Agent</w:t>
      </w:r>
      <w:r>
        <w:rPr>
          <w:rFonts w:ascii="Times New Roman" w:hAnsi="Times New Roman"/>
          <w:sz w:val="20"/>
        </w:rPr>
        <w:t xml:space="preserve">”) shall each be entitled to deduct and withhold, or cause to be deducted and withheld, from the consideration otherwise payable pursuant to this Agreement such amounts as any Withholding Agent is required to deduct and withhold under applicable Law. To the extent that amounts are so deducted and withheld by a Withholding Agent and remitted to the appropriate Governmental Entity, such amounts shall be treated for all purposes of this Agreement as having been paid to the Person in respect of whom such deduction and withholding was made. Except in connection with payments under this Agreement in respect of shares of Company Capital Stock that were issued in connection with the performance of services, that remain subject to a substantial risk of forfeiture within the meaning of Section 83 of the Code and the Treasury Regulations thereunder as of the First Effective Time, and for which an election under Section 83(b) of the Code has not been filed, the Withholding Agent shall use commercially reasonable efforts to (i) notify each holder of Company Capital Stock at least five (5) Business Days prior to deducting or withholding any amounts of its intent to deduct and withhold and (ii) cooperate with such holder to minimize any such deductions and withholding. </w:t>
      </w:r>
    </w:p>
    <w:p>
      <w:pPr>
        <w:pStyle w:val="TextBody"/>
        <w:bidi w:val="0"/>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Dissenters Rights</w:t>
      </w:r>
      <w:r>
        <w:rPr>
          <w:rFonts w:ascii="Times New Roman" w:hAnsi="Times New Roman"/>
          <w:sz w:val="20"/>
        </w:rPr>
        <w:t>. Notwithstanding anything in this Agreement to the contrary, each share of the Company Common Stock (other than Excluded Shares) outstanding immediately prior to the First Effective Time and held by a holder who is entitled to demand and has properly demanded appraisal for such shares of the Company Common Stock in accordance with Section 262 of the DGCL and, as of the First Effective Time, have neither effectively withdrawn nor lost their rights to such appraisal and payment under the DGCL (“</w:t>
      </w:r>
      <w:r>
        <w:rPr>
          <w:rFonts w:ascii="Times New Roman" w:hAnsi="Times New Roman"/>
          <w:sz w:val="20"/>
          <w:u w:val="single"/>
        </w:rPr>
        <w:t>Dissenting Shares</w:t>
      </w:r>
      <w:r>
        <w:rPr>
          <w:rFonts w:ascii="Times New Roman" w:hAnsi="Times New Roman"/>
          <w:sz w:val="20"/>
        </w:rPr>
        <w:t xml:space="preserve">”), shall not be converted into or be exchangeable for the right to receive a portion of the Merger Consideration but shall be entitled only to such rights as are granted by Section 262 of the DGCL, unless and until such holder fails to perfect or withdraws or otherwise loses such holder’s right to appraisal and payment under the DGCL. If, after the First Effective Time, any such holder fails to perfect or withdraws or loses such holder’s right to appraisal, such Dissenting Shares shall thereupon be treated as if they had been converted as of the First Effective Time into the right to receive the portion of the Merger Consideration, if any, to which such holder is entitled pursuant to </w:t>
      </w:r>
      <w:r>
        <w:rPr>
          <w:rFonts w:ascii="Times New Roman" w:hAnsi="Times New Roman"/>
          <w:sz w:val="20"/>
          <w:u w:val="single"/>
        </w:rPr>
        <w:t>Section 3.1(a)(i)</w:t>
      </w:r>
      <w:r>
        <w:rPr>
          <w:rFonts w:ascii="Times New Roman" w:hAnsi="Times New Roman"/>
          <w:sz w:val="20"/>
        </w:rPr>
        <w:t xml:space="preserve">, without interest. The Company shall give Parent (a) prompt notice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demands received by the Company for appraisal of any shares of the Company Common Stock issued and outstanding immediately prior to the First Effective Time, attempted written withdrawals of such demands, and any other instruments served pursuant to the DGCL and received by the Company relating to stockholders’ rights to appraisal with respect to the Merger and (b) the opportunity to participate in all negotiations and proceedings with respect to any exercise of such appraisal rights under the DGCL. The Company shall not, except with the prior written consent of Parent, which shall not be unreasonably withheld, conditioned or delayed, voluntarily make any payment with respect to any demands for payment of fair value for capital stock of the Company, offer to settle or settle any such demands or approve any withdrawal of any such demands. </w:t>
      </w:r>
    </w:p>
    <w:p>
      <w:pPr>
        <w:pStyle w:val="TextBody"/>
        <w:bidi w:val="0"/>
        <w:spacing w:before="240" w:after="0"/>
        <w:jc w:val="left"/>
        <w:rPr>
          <w:rFonts w:ascii="Times New Roman" w:hAnsi="Times New Roman"/>
          <w:sz w:val="20"/>
        </w:rPr>
      </w:pPr>
      <w:r>
        <w:rPr>
          <w:rFonts w:ascii="Times New Roman" w:hAnsi="Times New Roman"/>
          <w:sz w:val="20"/>
        </w:rPr>
        <w:t xml:space="preserve">Section 3.7 </w:t>
      </w:r>
      <w:r>
        <w:rPr>
          <w:rFonts w:ascii="Times New Roman" w:hAnsi="Times New Roman"/>
          <w:sz w:val="20"/>
          <w:u w:val="single"/>
        </w:rPr>
        <w:t>Calculation of Net Cash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Not less than ten (10) Business Days prior to the anticipated date for the Parent Stockholder Meeting as mutually agreed in good faith by Parent and the Company (the “</w:t>
      </w:r>
      <w:r>
        <w:rPr>
          <w:rFonts w:ascii="Times New Roman" w:hAnsi="Times New Roman"/>
          <w:sz w:val="20"/>
          <w:u w:val="single"/>
        </w:rPr>
        <w:t>Anticipated Meeting Date</w:t>
      </w:r>
      <w:r>
        <w:rPr>
          <w:rFonts w:ascii="Times New Roman" w:hAnsi="Times New Roman"/>
          <w:sz w:val="20"/>
        </w:rPr>
        <w:t>”), Parent will deliver to the Company a certificate signed by an officer of Parent in the form reasonably acceptable to the Company setting forth a schedule (the “</w:t>
      </w:r>
      <w:r>
        <w:rPr>
          <w:rFonts w:ascii="Times New Roman" w:hAnsi="Times New Roman"/>
          <w:sz w:val="20"/>
          <w:u w:val="single"/>
        </w:rPr>
        <w:t>Parent Net Cash Schedule</w:t>
      </w:r>
      <w:r>
        <w:rPr>
          <w:rFonts w:ascii="Times New Roman" w:hAnsi="Times New Roman"/>
          <w:sz w:val="20"/>
        </w:rPr>
        <w:t>”, and the date of delivery of the Parent Net Cash Schedule, the “</w:t>
      </w:r>
      <w:r>
        <w:rPr>
          <w:rFonts w:ascii="Times New Roman" w:hAnsi="Times New Roman"/>
          <w:sz w:val="20"/>
          <w:u w:val="single"/>
        </w:rPr>
        <w:t>Delivery Date</w:t>
      </w:r>
      <w:r>
        <w:rPr>
          <w:rFonts w:ascii="Times New Roman" w:hAnsi="Times New Roman"/>
          <w:sz w:val="20"/>
        </w:rPr>
        <w:t>”) setting forth, in reasonable detail, Parent’s good faith, estimated calculation of Net Cash (the “</w:t>
      </w:r>
      <w:r>
        <w:rPr>
          <w:rFonts w:ascii="Times New Roman" w:hAnsi="Times New Roman"/>
          <w:sz w:val="20"/>
          <w:u w:val="single"/>
        </w:rPr>
        <w:t>Parent Net Cash Calculation</w:t>
      </w:r>
      <w:r>
        <w:rPr>
          <w:rFonts w:ascii="Times New Roman" w:hAnsi="Times New Roman"/>
          <w:sz w:val="20"/>
        </w:rPr>
        <w:t>”) as of the close of business on the Closing Date (the “</w:t>
      </w:r>
      <w:r>
        <w:rPr>
          <w:rFonts w:ascii="Times New Roman" w:hAnsi="Times New Roman"/>
          <w:sz w:val="20"/>
          <w:u w:val="single"/>
        </w:rPr>
        <w:t>Cash Determination Time</w:t>
      </w:r>
      <w:r>
        <w:rPr>
          <w:rFonts w:ascii="Times New Roman" w:hAnsi="Times New Roman"/>
          <w:sz w:val="20"/>
        </w:rPr>
        <w:t xml:space="preserve">”) prepared and certified by Parent’s chief financial officer (or if there is no chief financial officer at such time, the principal financial and accounting officer for Parent). Parent shall make available (electronically and concurrently with the Parent Net Cash Schedule) to the Company the work papers and back-up materials (including all relevant invoices and similar evidence of outstanding obligations), in each case, to the extent not previously provided, used or useful in preparing the Parent Net Cash Schedule and shall make available, if reasonably requested by the Company, Parent’s finance personnel, accountants and counsel at reasonable times and upon reasonable notice. </w:t>
      </w:r>
    </w:p>
    <w:p>
      <w:pPr>
        <w:pStyle w:val="TextBody"/>
        <w:bidi w:val="0"/>
        <w:spacing w:before="120" w:after="0"/>
        <w:jc w:val="left"/>
        <w:rPr>
          <w:rFonts w:ascii="Times New Roman" w:hAnsi="Times New Roman"/>
          <w:sz w:val="20"/>
        </w:rPr>
      </w:pPr>
      <w:r>
        <w:rPr>
          <w:rFonts w:ascii="Times New Roman" w:hAnsi="Times New Roman"/>
          <w:sz w:val="20"/>
        </w:rPr>
        <w:t>(b) Within two (2) Business Days after the Delivery Date (the last day of such period, the “</w:t>
      </w:r>
      <w:r>
        <w:rPr>
          <w:rFonts w:ascii="Times New Roman" w:hAnsi="Times New Roman"/>
          <w:sz w:val="20"/>
          <w:u w:val="single"/>
        </w:rPr>
        <w:t>Response Date</w:t>
      </w:r>
      <w:r>
        <w:rPr>
          <w:rFonts w:ascii="Times New Roman" w:hAnsi="Times New Roman"/>
          <w:sz w:val="20"/>
        </w:rPr>
        <w:t>”), the Company shall have the right to dispute any part of the Parent Net Cash Calculation by delivering a written notice to that effect to Parent (a “</w:t>
      </w:r>
      <w:r>
        <w:rPr>
          <w:rFonts w:ascii="Times New Roman" w:hAnsi="Times New Roman"/>
          <w:sz w:val="20"/>
          <w:u w:val="single"/>
        </w:rPr>
        <w:t>Dispute Notice</w:t>
      </w:r>
      <w:r>
        <w:rPr>
          <w:rFonts w:ascii="Times New Roman" w:hAnsi="Times New Roman"/>
          <w:sz w:val="20"/>
        </w:rPr>
        <w:t xml:space="preserve">”). Any Dispute Notice shall identify in reasonable detail and, to the extent known, the nature and amounts of any proposed revisions to the Parent Net Cash Calculation. </w:t>
      </w:r>
    </w:p>
    <w:p>
      <w:pPr>
        <w:pStyle w:val="TextBody"/>
        <w:bidi w:val="0"/>
        <w:spacing w:before="120" w:after="0"/>
        <w:jc w:val="left"/>
        <w:rPr>
          <w:rFonts w:ascii="Times New Roman" w:hAnsi="Times New Roman"/>
          <w:sz w:val="20"/>
        </w:rPr>
      </w:pPr>
      <w:r>
        <w:rPr>
          <w:rFonts w:ascii="Times New Roman" w:hAnsi="Times New Roman"/>
          <w:sz w:val="20"/>
        </w:rPr>
        <w:t xml:space="preserve">(c) If, on or prior to the Response Date, the Company notifies Parent in writing that it has no objections to the Parent Net Cash Calculation or, if prior to 11:59 p.m. (New York City time) on the Response Date, the Company has failed to deliver a Dispute Notice as provided in </w:t>
      </w:r>
      <w:r>
        <w:rPr>
          <w:rFonts w:ascii="Times New Roman" w:hAnsi="Times New Roman"/>
          <w:sz w:val="20"/>
          <w:u w:val="single"/>
        </w:rPr>
        <w:t>Section 3.7(b)</w:t>
      </w:r>
      <w:r>
        <w:rPr>
          <w:rFonts w:ascii="Times New Roman" w:hAnsi="Times New Roman"/>
          <w:sz w:val="20"/>
        </w:rPr>
        <w:t>, then the Parent Net Cash Calculation as set forth in the Parent Net Cash Schedule shall be deemed to have been finally determined for purposes of this Agreement and to represent the Parent Net Cash at the Cash Determination Time (the “</w:t>
      </w:r>
      <w:r>
        <w:rPr>
          <w:rFonts w:ascii="Times New Roman" w:hAnsi="Times New Roman"/>
          <w:sz w:val="20"/>
          <w:u w:val="single"/>
        </w:rPr>
        <w:t>Final Parent Net Cash</w:t>
      </w:r>
      <w:r>
        <w:rPr>
          <w:rFonts w:ascii="Times New Roman" w:hAnsi="Times New Roman"/>
          <w:sz w:val="20"/>
        </w:rPr>
        <w:t xml:space="preserve">”) for purposes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If the Company delivers a Dispute Notice on or prior to 11:59 p.m. (New York City time) on the Response Date, then Representatives of Parent and the Company shall promptly, and in no event later than one calendar day after the Response Date, communicate and attempt in good faith to resolve the disputed item(s) and negotiate an agreed-upon determination of Net Cash, which agreed upon Net Cash amount (if so resolved) shall be deemed to have been finally determined for purposes of this Agreement and to represent the Final Parent Net Cash for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If Representatives of Parent and the Company are unable to resolve the disputed items pursuant to </w:t>
      </w:r>
      <w:r>
        <w:rPr>
          <w:rFonts w:ascii="Times New Roman" w:hAnsi="Times New Roman"/>
          <w:sz w:val="20"/>
          <w:u w:val="single"/>
        </w:rPr>
        <w:t>Section 3.7(d)</w:t>
      </w:r>
      <w:r>
        <w:rPr>
          <w:rFonts w:ascii="Times New Roman" w:hAnsi="Times New Roman"/>
          <w:sz w:val="20"/>
        </w:rPr>
        <w:t xml:space="preserve"> within three calendar days after delivery of the Dispute Notice (or such other period as Parent and the Company may mutually agree upon), then any remaining disagreements as to the calculation of Net Cash shall be referred to an independent auditor of recognized national standing jointly selected by Parent and the Company or another independent auditor of recognized national standing mutually agreed upon by Parent and the Company (the “</w:t>
      </w:r>
      <w:r>
        <w:rPr>
          <w:rFonts w:ascii="Times New Roman" w:hAnsi="Times New Roman"/>
          <w:sz w:val="20"/>
          <w:u w:val="single"/>
        </w:rPr>
        <w:t>Accounting Firm</w:t>
      </w:r>
      <w:r>
        <w:rPr>
          <w:rFonts w:ascii="Times New Roman" w:hAnsi="Times New Roman"/>
          <w:sz w:val="20"/>
        </w:rPr>
        <w:t xml:space="preserve">”). Parent shall promptly deliver to the Accounting Firm all work papers and back-up materials used in preparing the Parent Net Cash Schedule, and Parent and the Company shall use commercially reasonable efforts to cause the Accounting Firm to make its determination within five calendar days of accepting its selection. Parent and the Company shall be afforded the opportunity to present to the Accounting Firm any material related to the unresolved disputes and to discuss the issues with the Accounting Firm;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presentation or discussion shall occur without the presence of a Representative of each of Parent and the Company. The determination of the Accounting Firm shall be limited to the disagreements submitted to the Accounting Firm. The determination of the amount of Net Cash made by the Accounting Firm shall be made in writing delivered to each of Parent and the Company, shall be final and binding on Parent and the Company and shall be deemed to have been finally determined for purposes of this Agreement and to represent the Final Parent Net Cash for purposes of this Agreement. The parties shall delay the Closing until the resolution of the matters described in this </w:t>
      </w:r>
      <w:r>
        <w:rPr>
          <w:rFonts w:ascii="Times New Roman" w:hAnsi="Times New Roman"/>
          <w:sz w:val="20"/>
          <w:u w:val="single"/>
        </w:rPr>
        <w:t>Section 3.7(e)</w:t>
      </w:r>
      <w:r>
        <w:rPr>
          <w:rFonts w:ascii="Times New Roman" w:hAnsi="Times New Roman"/>
          <w:sz w:val="20"/>
        </w:rPr>
        <w:t xml:space="preserve">. The fees and expenses of the Accounting Firm shall be allocated between Parent and the Company in the same proportion that the disputed amount of the Net Cash that was unsuccessfully disputed amount by such party (as finally determined by the Accounting Firm) bears to the total disputed amount of the Net Cash amount and such portion of the costs and expenses of the Accounting Firm borne by the Company and any other fees, costs or expenses incurred by the Company following the Anticipated Meeting Date in connection with the procedures set forth in this </w:t>
      </w:r>
      <w:r>
        <w:rPr>
          <w:rFonts w:ascii="Times New Roman" w:hAnsi="Times New Roman"/>
          <w:sz w:val="20"/>
          <w:u w:val="single"/>
        </w:rPr>
        <w:t>Section 3.7(e)</w:t>
      </w:r>
      <w:r>
        <w:rPr>
          <w:rFonts w:ascii="Times New Roman" w:hAnsi="Times New Roman"/>
          <w:sz w:val="20"/>
        </w:rPr>
        <w:t xml:space="preserve"> shall be deducted from the final determination of the amount of Net Cash, to the extent of available amounts. If this </w:t>
      </w:r>
      <w:r>
        <w:rPr>
          <w:rFonts w:ascii="Times New Roman" w:hAnsi="Times New Roman"/>
          <w:sz w:val="20"/>
          <w:u w:val="single"/>
        </w:rPr>
        <w:t>Section 3.7(e)</w:t>
      </w:r>
      <w:r>
        <w:rPr>
          <w:rFonts w:ascii="Times New Roman" w:hAnsi="Times New Roman"/>
          <w:sz w:val="20"/>
        </w:rPr>
        <w:t xml:space="preserve"> applies as to the determination of the Final Parent Net Cash described in </w:t>
      </w:r>
      <w:r>
        <w:rPr>
          <w:rFonts w:ascii="Times New Roman" w:hAnsi="Times New Roman"/>
          <w:sz w:val="20"/>
          <w:u w:val="single"/>
        </w:rPr>
        <w:t>Section 3.7(a)</w:t>
      </w:r>
      <w:r>
        <w:rPr>
          <w:rFonts w:ascii="Times New Roman" w:hAnsi="Times New Roman"/>
          <w:sz w:val="20"/>
        </w:rPr>
        <w:t xml:space="preserve">, upon resolution of the matter in accordance with this </w:t>
      </w:r>
      <w:r>
        <w:rPr>
          <w:rFonts w:ascii="Times New Roman" w:hAnsi="Times New Roman"/>
          <w:sz w:val="20"/>
          <w:u w:val="single"/>
        </w:rPr>
        <w:t>Section 3.7(e)</w:t>
      </w:r>
      <w:r>
        <w:rPr>
          <w:rFonts w:ascii="Times New Roman" w:hAnsi="Times New Roman"/>
          <w:sz w:val="20"/>
        </w:rPr>
        <w:t xml:space="preserve">, the parties shall not be required to determine the Net Cash again even though the Closing Date may occur later than the Anticipated Meeting Date, except that either Parent and the Company may require a redetermination of the Final Parent Net Cash if the Closing Date is more than ten calendar days after the Anticipated Meeting Date.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Except as set forth in the corresponding section or subsection of the disclosure letter delivered by the Company to Parent (the “</w:t>
      </w:r>
      <w:r>
        <w:rPr>
          <w:rFonts w:ascii="Times New Roman" w:hAnsi="Times New Roman"/>
          <w:sz w:val="20"/>
          <w:u w:val="single"/>
        </w:rPr>
        <w:t>Company Disclosure Letter</w:t>
      </w:r>
      <w:r>
        <w:rPr>
          <w:rFonts w:ascii="Times New Roman" w:hAnsi="Times New Roman"/>
          <w:sz w:val="20"/>
        </w:rPr>
        <w:t xml:space="preserve">”) (it being agreed that the disclosure of any information in a particular section or subsection of the Company Disclosure Letter shall be deemed disclosure of such information with respect to any other section or subsection of this Agreement to which the relevance of such information is readily apparent on its face), the Company represents and warrants to Parent and Merger Subs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Organization, Standing and Power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Company (i) is an entity duly organized, validly existing and in good standing under the Laws of the jurisdiction of its incorporation, (ii) has all requisite corporate or similar power and authority to own, lease and operate its properties and to carry on its business as now being conducted and (iii) is duly qualified or licensed to do business and is in good standing in each jurisdiction in which the nature of its business or the ownership, leasing or operation of its properties makes such qualification or licensing necessary, except in the case of clause (iii), where the failure to be so qualified or licensed or in good standing, individually or in the aggregate, has not had and would not reasonably be expected to have a Material Adverse Effect. For purposes of this Agreement, “</w:t>
      </w:r>
      <w:r>
        <w:rPr>
          <w:rFonts w:ascii="Times New Roman" w:hAnsi="Times New Roman"/>
          <w:sz w:val="20"/>
          <w:u w:val="single"/>
        </w:rPr>
        <w:t>Material Adverse Effect</w:t>
      </w:r>
      <w:r>
        <w:rPr>
          <w:rFonts w:ascii="Times New Roman" w:hAnsi="Times New Roman"/>
          <w:sz w:val="20"/>
        </w:rPr>
        <w:t xml:space="preserve">” means any event, change, circumstance, occurrence, effect or state of facts that (A) is or would reasonably be expected to be materially adverse to the business, assets, liabilities, financial condition, or results of operations of the Company and its Subsidiaries, taken as a whole, or (B) materially impairs the ability of the Company to consummate the Merger or any of the other transactions contemplated by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clause (A) only, Material Adverse Effect shall not include any event, change, circumstance, occurrence, effect or state of facts to the extent resulting from (1) changes or conditions generally affecting the industries in which the Company and its Subsidiaries operate, or the economy or the financial, debt, banking, capital, credit or securities markets, in the United States, including effects on such industries, economy or markets resulting from any regulatory and political conditions or developments in general, (2) the outbreak or escalation of war or acts of terrorism or any natural disasters, acts of God or comparable events, epidemic, pandemic or disease outbreak (including the COVID-19 virus) or any worsening of the foregoing, or any declaration of martial law, quarantine or similar directive, policy or guidance or Law or other action by any Governmental Entity in response thereto, (3) changes in Law or GAAP, or the interpretation or enforcement thereof, (4) the public announcement or pendency of this Agreement, or (5) any specific action taken (or omitted to be taken) by the Company at or with the express written consent of Parent; </w:t>
      </w:r>
      <w:r>
        <w:rPr>
          <w:rFonts w:ascii="Times New Roman" w:hAnsi="Times New Roman"/>
          <w:sz w:val="20"/>
          <w:u w:val="single"/>
        </w:rPr>
        <w:t>provided</w:t>
      </w:r>
      <w:r>
        <w:rPr>
          <w:rFonts w:ascii="Times New Roman" w:hAnsi="Times New Roman"/>
          <w:sz w:val="20"/>
        </w:rPr>
        <w:t xml:space="preserve">, that, with respect to clauses (1), (2) and (3), the impact of such event, change, circumstance, occurrence, effect or state of facts is not disproportionately adverse to the Company and its Subsidiaries as compared to other participants in the industries in which the Company and its Subsidiaries operate. </w:t>
      </w:r>
    </w:p>
    <w:p>
      <w:pPr>
        <w:pStyle w:val="TextBody"/>
        <w:bidi w:val="0"/>
        <w:spacing w:before="120" w:after="0"/>
        <w:jc w:val="left"/>
        <w:rPr>
          <w:rFonts w:ascii="Times New Roman" w:hAnsi="Times New Roman"/>
          <w:sz w:val="20"/>
        </w:rPr>
      </w:pPr>
      <w:r>
        <w:rPr>
          <w:rFonts w:ascii="Times New Roman" w:hAnsi="Times New Roman"/>
          <w:sz w:val="20"/>
        </w:rPr>
        <w:t>(b) The Company has previously made available to Parent true and complete copies of the Company’s Certificate of Incorporation (the “</w:t>
      </w:r>
      <w:r>
        <w:rPr>
          <w:rFonts w:ascii="Times New Roman" w:hAnsi="Times New Roman"/>
          <w:sz w:val="20"/>
          <w:u w:val="single"/>
        </w:rPr>
        <w:t>Company Charter</w:t>
      </w:r>
      <w:r>
        <w:rPr>
          <w:rFonts w:ascii="Times New Roman" w:hAnsi="Times New Roman"/>
          <w:sz w:val="20"/>
        </w:rPr>
        <w:t>”) and bylaws (the “</w:t>
      </w:r>
      <w:r>
        <w:rPr>
          <w:rFonts w:ascii="Times New Roman" w:hAnsi="Times New Roman"/>
          <w:sz w:val="20"/>
          <w:u w:val="single"/>
        </w:rPr>
        <w:t>Company Bylaws</w:t>
      </w:r>
      <w:r>
        <w:rPr>
          <w:rFonts w:ascii="Times New Roman" w:hAnsi="Times New Roman"/>
          <w:sz w:val="20"/>
        </w:rPr>
        <w:t xml:space="preserve">”) and the Certificate of Incorporation and bylaws of each other Subsidiary of the Company, in each case as amended to the date of this Agreement, and each as so delivered is in full force and effect. None of the Company or any of its Subsidiaries is in violation of any provision of its Certificate of Incorporation or bylaws.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Capital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authorized capital stock of the Company consists of 40,000,000 shares of Company Common Stock and 32,378,552 shares of Company Preferred Stock, of which 3,000,000 shares are designated Company Series Seed Preferred Stock, 29,378,526 shares are designated Company Series A-1 Preferred Stock and 26 shares are designated Company Series A-2 Preferred Stock. As of the date hereof, (i) 385,592 shares of Company Common Stock (excluding treasury shares) were issued and outstanding, (ii) 3,000,000 shares of Company Series Seed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Preferred Stock were issued and outstanding, (iii) 21,468,922 shares of Company Series A-1 Preferred Stock were issued and outstanding, (iv) 26 shares of Company Series A-2 Preferred Stock were issued and outstanding, and (v) no shares of Company Common Stock were held by the Company in its treasury. All outstanding shares of capital stock of the Company and any of its Subsidiaries are duly authorized, validly issued, fully paid and nonassessable and not subject to any preemptive rights. Neither the Company nor any of its Subsidiaries has any outstanding bonds, debentures, notes or other obligations having the right to vote (or convertible into, or exchangeable or exercisable for, securities having the right to vote) with the stockholders of the Company or any of its Subsidiaries on any matter. Except as set forth above in this </w:t>
      </w:r>
      <w:r>
        <w:rPr>
          <w:rFonts w:ascii="Times New Roman" w:hAnsi="Times New Roman"/>
          <w:sz w:val="20"/>
          <w:u w:val="single"/>
        </w:rPr>
        <w:t>Section 4.2(a)</w:t>
      </w:r>
      <w:r>
        <w:rPr>
          <w:rFonts w:ascii="Times New Roman" w:hAnsi="Times New Roman"/>
          <w:sz w:val="20"/>
        </w:rPr>
        <w:t xml:space="preserve">, neither the Company nor any of its Subsidiaries has any outstanding (A) shares of capital stock or other voting securities or equity interests of the Company or any of its Subsidiaries, (B) securities of the Company or any of its Subsidiaries convertible into or exchangeable or exercisable for shares of capital stock of the Company or any of its Subsidiaries or other voting securities or equity interests of the Company or any of its Subsidiaries, (C) stock appreciation rights, “phantom” stock rights, performance units, interests in or rights to the ownership or earnings of the Company or any of its Subsidiaries or other equity equivalent or equity-based awards or rights, (D) subscriptions, options, warrants, calls, commitments, Contracts or other rights to acquire from the Company or any of its Subsidiaries, or obligations of the Company or any of its Subsidiaries to issue, any shares of capital stock of the Company or any of its Subsidiaries, voting securities, equity interests or securities convertible into or exchangeable or exercisable for capital stock or other voting securities or equity interests of the Company or any of its Subsidiaries or rights or interests described in the preceding clause (C), or (E) obligations of the Company or any of its Subsidiaries to repurchase, redeem or otherwise acquire any such securities or to issue, grant, deliver or sell, or cause to be issued, granted, delivered or sold, any such securities. There are no stockholder agreements, voting trusts or other agreements or understandings to which the Company or any of its Subsidiaries is a party or of which the Company has knowledge with respect to the holding, voting, registration, redemption, repurchase or disposition of, or that restricts the transfer of, any capital stock or other voting securities or equity interests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4.2(b)</w:t>
      </w:r>
      <w:r>
        <w:rPr>
          <w:rFonts w:ascii="Times New Roman" w:hAnsi="Times New Roman"/>
          <w:sz w:val="20"/>
        </w:rPr>
        <w:t xml:space="preserve"> of the Company Disclosure Letter sets forth a true and complete list of all holders, as of the date hereof, of rights to purchase or receive shares of Company Common Stock or similar rights granted under the Company Stock Plan or otherwise (collectively, “</w:t>
      </w:r>
      <w:r>
        <w:rPr>
          <w:rFonts w:ascii="Times New Roman" w:hAnsi="Times New Roman"/>
          <w:sz w:val="20"/>
          <w:u w:val="single"/>
        </w:rPr>
        <w:t>Company Stock Awards</w:t>
      </w:r>
      <w:r>
        <w:rPr>
          <w:rFonts w:ascii="Times New Roman" w:hAnsi="Times New Roman"/>
          <w:sz w:val="20"/>
        </w:rPr>
        <w:t xml:space="preserve">”), indicating as applicable, with respect to each Company Stock Award then outstanding, the type of award granted, the number of shares of Company Common Stock subject to such Company Stock Award, the name of the agreement under which such Company Stock Award was granted, the date of grant, exercise or purchase price, vesting schedule, payment schedule (if different from the vesting schedule) and expiration thereof, whether the Company Stock Award is a non-statutory stock option or qualifies as an “incentive stock option” as defined in Section 422 of the Code and whether (and to what extent) the vesting of such Company Stock Award will be accelerated or otherwise adjusted in any way or any other terms will be triggered or otherwise adjusted in a way by the consummation of the Merger and the other transactions contemplated by this Agreement or by the termination of employment or engagement or change in position of any holder thereof following or in connection with the Merger. The Company has made available to Parent true and complete copies of all forms of award agreements evidencing outstanding Company Stock Awards. Neither the Company nor any of its Subsidiaries is under any obligation to issue shares of Company Common Stock or any capital stock of any of its Subsidiaries pursuant to any employee or director stock option, stock purchase or equity compensation plan or arrangement other than the ones issued under the Company Stock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Subsidiaries</w:t>
      </w:r>
      <w:r>
        <w:rPr>
          <w:rFonts w:ascii="Times New Roman" w:hAnsi="Times New Roman"/>
          <w:sz w:val="20"/>
        </w:rPr>
        <w:t xml:space="preserve">. </w:t>
      </w:r>
      <w:r>
        <w:rPr>
          <w:rFonts w:ascii="Times New Roman" w:hAnsi="Times New Roman"/>
          <w:sz w:val="20"/>
          <w:u w:val="single"/>
        </w:rPr>
        <w:t>Section 4.3</w:t>
      </w:r>
      <w:r>
        <w:rPr>
          <w:rFonts w:ascii="Times New Roman" w:hAnsi="Times New Roman"/>
          <w:sz w:val="20"/>
        </w:rPr>
        <w:t xml:space="preserve"> of the Company Disclosure Letter sets forth a true and complete list of each Subsidiary of the Company, including is jurisdiction of incorporation or formation. Each of the Company’s Subsidiaries (i) is an entity duly organized, validly existing and in good standing under the Laws of the jurisdiction of its organization, (ii) has all requisite corporate or similar power and authority to own, lease and operate its properties and to carry on its business as now being conducted and (iii) is duly qualified or licensed to do business and is in good standing in each jurisdiction in which the nature of its business or the ownership, leasing or operations of its properties makes such qualification or licensing necessary, except in the case of clause (iii), where the failure to be so qualified or licensed or in good standing, individually or in the aggregate, has not had and would not reasonably be expected to have a Material Adverse Effect. Except as set forth in </w:t>
      </w:r>
      <w:r>
        <w:rPr>
          <w:rFonts w:ascii="Times New Roman" w:hAnsi="Times New Roman"/>
          <w:sz w:val="20"/>
          <w:u w:val="single"/>
        </w:rPr>
        <w:t>Section 4.3</w:t>
      </w:r>
      <w:r>
        <w:rPr>
          <w:rFonts w:ascii="Times New Roman" w:hAnsi="Times New Roman"/>
          <w:sz w:val="20"/>
        </w:rPr>
        <w:t xml:space="preserve"> of the Company Disclosure Letter, all outstanding shares of capital stock and other voting securities or equity interests of each such Subsidiary are owned directly by the Company, free and clear of all Liens. Except for the capital stock of, or other equity or voting interests in, its Subsidiaries, the Company does not own, directly or indirectly, any equity, membership interest, partnership interest, joint venture interest, or other equity or voting interest in, or any interest convertible into, exercisable or exchangeable for any of the foregoing, nor is it under any current or prospective obligation to form or participate in, provide funds to, make any loan, capital contribution, guarantee, credit enhancement or other investment in, or assume any liability or obligation of, any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Authority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has all necessary corporate power and authority to execute, deliver and perform its obligations under this Agreement and to consummate the transactions contemplated hereby. The execution, delivery and performance of this Agreement by the Company and the consummation by the Company of the transactions contemplated hereby have been duly authorized by all necessary corporate action on the part of the Company and no other corporate proceedings on the part of the Company are necessary to approve this Agreement or to consummate the Merger and the other transactions contemplated hereby, subject, in the case of the consummation of the Merger, to receipt of the Company Stockholder Approval. This Agreement has been duly executed and delivered by the Company and, assuming the due authorization, execution and delivery by Parent and Merger Subs, constitutes a valid and binding obligation of the Company, enforceable against the Company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bidi w:val="0"/>
        <w:spacing w:before="120" w:after="0"/>
        <w:jc w:val="left"/>
        <w:rPr>
          <w:rFonts w:ascii="Times New Roman" w:hAnsi="Times New Roman"/>
          <w:sz w:val="20"/>
        </w:rPr>
      </w:pPr>
      <w:r>
        <w:rPr>
          <w:rFonts w:ascii="Times New Roman" w:hAnsi="Times New Roman"/>
          <w:sz w:val="20"/>
        </w:rPr>
        <w:t xml:space="preserve">(b) The Company Board, at a meeting duly called and held at which all directors of the Company were present, duly and unanimously adopted resolutions (i) determining that the terms of this Agreement, the Company Support Agreements, the Merger, the Concurrent Investment and the other transactions contemplated hereby are fair to, advisable and in the best interests of the Company’s stockholders, (ii) approving and declaring advisable this Agreement and the transactions contemplated hereby, including the Merger, (iii) directing that this Agreement be submitted to the stockholders of the Company for adoption, and (iv) resolving to recommend that the Company’s stockholders vote in favor of the adoption of this Agreement and the transactions contemplated hereby, including the Merger, which resolutions have not been subsequently rescinded, modified or withdrawn in any way.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Company Stockholder Approval is the only vote of the holders of any class or series of the Company Capital Stock or other securities required in connection with the consummation of the Merger. Other than the Company Stockholder Approval (and except with respect to the Concurrent Investment), no vote of the holders of any class or series of the Company’s capital stock or other securities is required in connection with the consummation of any of the transactions contemplated hereby to be consummated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No Conflict; Consents and Approvals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Section 4.5(a)</w:t>
      </w:r>
      <w:r>
        <w:rPr>
          <w:rFonts w:ascii="Times New Roman" w:hAnsi="Times New Roman"/>
          <w:sz w:val="20"/>
        </w:rPr>
        <w:t xml:space="preserve"> of the Company Disclosure Letter, the execution, delivery and performance of this Agreement by the Company does not, and the consummation of the Merger and the other transactions contemplated hereby and compliance by the Company with the provisions hereof will not, conflict with, or result in any violation or breach of, or default (with or without notice or lapse of time, or both) under, or give rise to a right of, or result in, termination, cancellation, modification or acceleration of any obligation or to the loss of a benefit under, or result in the creation of any pledge, claim, lien, charge, option, right of first refusal, encumbrance or security interest of any kind or nature whatsoever (including any limitation on voting, sale, transfer or other disposition or exercise of any other attribute of ownership) (collectively, “</w:t>
      </w:r>
      <w:r>
        <w:rPr>
          <w:rFonts w:ascii="Times New Roman" w:hAnsi="Times New Roman"/>
          <w:sz w:val="20"/>
          <w:u w:val="single"/>
        </w:rPr>
        <w:t>Liens</w:t>
      </w:r>
      <w:r>
        <w:rPr>
          <w:rFonts w:ascii="Times New Roman" w:hAnsi="Times New Roman"/>
          <w:sz w:val="20"/>
        </w:rPr>
        <w:t>”) in or upon any of the properties, assets or rights of the Company under, or give rise to any increased, additional, accelerated or guaranteed rights or entitlements under, or require any consent, waiver or approval of any Person pursuant to, any provision of (i) the Company Charter or Company Bylaws, (ii) any material bond, debenture, note, mortgage, indenture, guarantee, license, lease, purchase or sale order or other contract, commitment, agreement, instrument, obligation, arrangement, understanding, undertaking, permit, concession or franchise, whether oral or written (each, including all amendments thereto, a “</w:t>
      </w:r>
      <w:r>
        <w:rPr>
          <w:rFonts w:ascii="Times New Roman" w:hAnsi="Times New Roman"/>
          <w:sz w:val="20"/>
          <w:u w:val="single"/>
        </w:rPr>
        <w:t>Contract</w:t>
      </w:r>
      <w:r>
        <w:rPr>
          <w:rFonts w:ascii="Times New Roman" w:hAnsi="Times New Roman"/>
          <w:sz w:val="20"/>
        </w:rPr>
        <w:t xml:space="preserve">”) to which the Company is a party or by which the Company or any of its properties or assets may be bound or (iii) subject to the governmental filings and other matters referred to in </w:t>
      </w:r>
      <w:r>
        <w:rPr>
          <w:rFonts w:ascii="Times New Roman" w:hAnsi="Times New Roman"/>
          <w:sz w:val="20"/>
          <w:u w:val="single"/>
        </w:rPr>
        <w:t>Section 4.5(b)</w:t>
      </w:r>
      <w:r>
        <w:rPr>
          <w:rFonts w:ascii="Times New Roman" w:hAnsi="Times New Roman"/>
          <w:sz w:val="20"/>
        </w:rPr>
        <w:t>, any federal, state, local or foreign law (including common law), statute, ordinance, rule, code, regulation, order, judgment, injunction, decree or other legally enforceable requirement (“</w:t>
      </w:r>
      <w:r>
        <w:rPr>
          <w:rFonts w:ascii="Times New Roman" w:hAnsi="Times New Roman"/>
          <w:sz w:val="20"/>
          <w:u w:val="single"/>
        </w:rPr>
        <w:t>Law</w:t>
      </w:r>
      <w:r>
        <w:rPr>
          <w:rFonts w:ascii="Times New Roman" w:hAnsi="Times New Roman"/>
          <w:sz w:val="20"/>
        </w:rPr>
        <w:t xml:space="preserve">”) applicable to the Company or by which the Company or any of its properties or assets may be bound, except as, in the case of clauses (ii) and (iii), as individually or in the aggregate, has not had and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(b) No consent, approval, order or authorization of, or registration, declaration, filing with or notice to, any federal, state, or local government or subdivision thereof or any other governmental, administrative, judicial, arbitral, legislative, executive, regulatory or self-regulatory authority, instrumentality, agency, commission or body (each, a “</w:t>
      </w:r>
      <w:r>
        <w:rPr>
          <w:rFonts w:ascii="Times New Roman" w:hAnsi="Times New Roman"/>
          <w:sz w:val="20"/>
          <w:u w:val="single"/>
        </w:rPr>
        <w:t>Governmental Entity</w:t>
      </w:r>
      <w:r>
        <w:rPr>
          <w:rFonts w:ascii="Times New Roman" w:hAnsi="Times New Roman"/>
          <w:sz w:val="20"/>
        </w:rPr>
        <w:t>”) is required by or with respect to the Company in connection with the execution, delivery and performance of this Agreement by the Company or the consummation by the Company of the Merger and the other transactions contemplated hereby or compliance with the provisions hereof, except for (i) the filing of the pre-merger notification report under the HSR Act, (ii) the filing with the SEC of such reports under Section 13(a) or 15(d) of the Securities Exchange Act of 1934, as amended (the “</w:t>
      </w:r>
      <w:r>
        <w:rPr>
          <w:rFonts w:ascii="Times New Roman" w:hAnsi="Times New Roman"/>
          <w:sz w:val="20"/>
          <w:u w:val="single"/>
        </w:rPr>
        <w:t>Exchange Act</w:t>
      </w:r>
      <w:r>
        <w:rPr>
          <w:rFonts w:ascii="Times New Roman" w:hAnsi="Times New Roman"/>
          <w:sz w:val="20"/>
        </w:rPr>
        <w:t xml:space="preserve">”), as may be required in connection with this Agreement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transactions contemplated hereby, (iii) such other filings and reports as may be required pursuant to the applicable requirements of the Securities Act of 1933, as amended (the “</w:t>
      </w:r>
      <w:r>
        <w:rPr>
          <w:rFonts w:ascii="Times New Roman" w:hAnsi="Times New Roman"/>
          <w:sz w:val="20"/>
          <w:u w:val="single"/>
        </w:rPr>
        <w:t>Securities Act</w:t>
      </w:r>
      <w:r>
        <w:rPr>
          <w:rFonts w:ascii="Times New Roman" w:hAnsi="Times New Roman"/>
          <w:sz w:val="20"/>
        </w:rPr>
        <w:t xml:space="preserve">”), the Exchange Act and any other applicable state or federal securities, takeover and “blue sky” laws, (iv) the filing of the Certificate of Merger with the Delaware Secretary of State as required by the DGCL, and (v) such other consents, approvals, orders, authorizations, registrations, declarations, filings or notices the failure of which to be obtained or made, individually or in the aggregate, have not had and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4.6 </w:t>
      </w:r>
      <w:r>
        <w:rPr>
          <w:rFonts w:ascii="Times New Roman" w:hAnsi="Times New Roman"/>
          <w:sz w:val="20"/>
          <w:u w:val="single"/>
        </w:rPr>
        <w:t>Financial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True and complete copies of the audited balance sheet of the Company as at December 31, 2025 and December 31, 2024, and the related audited statements of operations and comprehensive loss, convertible preferred stock and stockholders’ deficit and cash flows, together with all related notes and schedules thereto (collectively referred to as the “</w:t>
      </w:r>
      <w:r>
        <w:rPr>
          <w:rFonts w:ascii="Times New Roman" w:hAnsi="Times New Roman"/>
          <w:sz w:val="20"/>
          <w:u w:val="single"/>
        </w:rPr>
        <w:t>Company Financial Statements</w:t>
      </w:r>
      <w:r>
        <w:rPr>
          <w:rFonts w:ascii="Times New Roman" w:hAnsi="Times New Roman"/>
          <w:sz w:val="20"/>
        </w:rPr>
        <w:t>”) and the unaudited balance sheet of the Company as at June 30, 2026 (the “</w:t>
      </w:r>
      <w:r>
        <w:rPr>
          <w:rFonts w:ascii="Times New Roman" w:hAnsi="Times New Roman"/>
          <w:sz w:val="20"/>
          <w:u w:val="single"/>
        </w:rPr>
        <w:t>Company Balance Sheet</w:t>
      </w:r>
      <w:r>
        <w:rPr>
          <w:rFonts w:ascii="Times New Roman" w:hAnsi="Times New Roman"/>
          <w:sz w:val="20"/>
        </w:rPr>
        <w:t>”), and the related consolidated statements of operations and comprehensive loss, convertible preferred stock and stockholders’ deficit and cash flows for the six months ended June 30, 2026, together with all related notes and schedules thereto (collectively referred to as the “</w:t>
      </w:r>
      <w:r>
        <w:rPr>
          <w:rFonts w:ascii="Times New Roman" w:hAnsi="Times New Roman"/>
          <w:sz w:val="20"/>
          <w:u w:val="single"/>
        </w:rPr>
        <w:t>Company Interim Financial Statements</w:t>
      </w:r>
      <w:r>
        <w:rPr>
          <w:rFonts w:ascii="Times New Roman" w:hAnsi="Times New Roman"/>
          <w:sz w:val="20"/>
        </w:rPr>
        <w:t xml:space="preserve">”), are attached hereto as </w:t>
      </w:r>
      <w:r>
        <w:rPr>
          <w:rFonts w:ascii="Times New Roman" w:hAnsi="Times New Roman"/>
          <w:sz w:val="20"/>
          <w:u w:val="single"/>
        </w:rPr>
        <w:t>Section 4.6(a)</w:t>
      </w:r>
      <w:r>
        <w:rPr>
          <w:rFonts w:ascii="Times New Roman" w:hAnsi="Times New Roman"/>
          <w:sz w:val="20"/>
        </w:rPr>
        <w:t xml:space="preserve"> of the Company Disclosure Letter. Each of the Company Financial Statements and the Company Interim Financial Statements (i) are correct and complete in all material respects and have been prepared in accordance with the books and records of the Company; (ii) have been prepared in accordance with generally accepted accounting principles in the United States (“</w:t>
      </w:r>
      <w:r>
        <w:rPr>
          <w:rFonts w:ascii="Times New Roman" w:hAnsi="Times New Roman"/>
          <w:sz w:val="20"/>
          <w:u w:val="single"/>
        </w:rPr>
        <w:t>GAAP</w:t>
      </w:r>
      <w:r>
        <w:rPr>
          <w:rFonts w:ascii="Times New Roman" w:hAnsi="Times New Roman"/>
          <w:sz w:val="20"/>
        </w:rPr>
        <w:t xml:space="preserve">”) applied on a consistent basis throughout the periods indicated (except as may be indicated in the notes thereto); and (iii) fairly present, in all material respects, the financial position, results of operations and cash flows of the Company as at the respective dates thereof and for the respective periods indicated therein, except as otherwise noted therein and subject, in the case of the Company Interim Financial Statements, to normal and recurring year-end adjustments that will not, individually or in the aggregate, be material. </w:t>
      </w:r>
    </w:p>
    <w:p>
      <w:pPr>
        <w:pStyle w:val="TextBody"/>
        <w:bidi w:val="0"/>
        <w:spacing w:before="120" w:after="0"/>
        <w:jc w:val="left"/>
        <w:rPr>
          <w:rFonts w:ascii="Times New Roman" w:hAnsi="Times New Roman"/>
          <w:sz w:val="20"/>
        </w:rPr>
      </w:pPr>
      <w:r>
        <w:rPr>
          <w:rFonts w:ascii="Times New Roman" w:hAnsi="Times New Roman"/>
          <w:sz w:val="20"/>
        </w:rPr>
        <w:t>(b) Except as and to the extent adequately accrued or reserved against in the audited consolidated balance sheet of the Company as at December 31, 2025 (such balance sheet, together with all related notes and schedules thereto, the “</w:t>
      </w:r>
      <w:r>
        <w:rPr>
          <w:rFonts w:ascii="Times New Roman" w:hAnsi="Times New Roman"/>
          <w:sz w:val="20"/>
          <w:u w:val="single"/>
        </w:rPr>
        <w:t>Company Balance Sheet</w:t>
      </w:r>
      <w:r>
        <w:rPr>
          <w:rFonts w:ascii="Times New Roman" w:hAnsi="Times New Roman"/>
          <w:sz w:val="20"/>
        </w:rPr>
        <w:t xml:space="preserve">”), the Company does not have any liability or obligation of any nature, whether accrued, absolute, contingent or otherwise, whether known or unknown and whether or not required by GAAP to be reflected in a balance sheet of the Company or disclosed in the notes thereto, except for liabilities and obligations, incurred in the ordinary course of business consistent with past practice since the date of the Company Balance Sheet, that are not, individually or in the aggregate, material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(c) The books of account and financial records of the Company and its Subsidiaries are true and correct and have been prepared and are maintained in accordance with sound accounting practice.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Company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in conformity with GAAP and to maintain accountability of the Company’s assets, (iii) access to the Company’s assets is permitted only in accordance with management’s general or specific authorization, and (iv) the recorded accountability for the Company’s assets is compared with the existing assets at regular intervals and appropriate action is taken with respect to any differences. The Company maintains internal control over financial reporting that provides reasonable assurance regarding the reliability of financial reporting and the preparation of financial statements for external purposes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(e) Since January 1, 2025, neither the Company nor its independent auditors have identified (i) any significant deficiency or material weakness in the design or operation of the system of internal accounting controls utilized by the Company, (ii) any fraud, whether or not material, that involves the Company, the Company’s management or other employees who have a role in the preparation of financial statements or the internal accounting controls utilized by the Company or (iii) any claim or allegation regarding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Section 4.7 </w:t>
      </w:r>
      <w:r>
        <w:rPr>
          <w:rFonts w:ascii="Times New Roman" w:hAnsi="Times New Roman"/>
          <w:sz w:val="20"/>
          <w:u w:val="single"/>
        </w:rPr>
        <w:t>No Undisclosed Liabilities</w:t>
      </w:r>
      <w:r>
        <w:rPr>
          <w:rFonts w:ascii="Times New Roman" w:hAnsi="Times New Roman"/>
          <w:sz w:val="20"/>
        </w:rPr>
        <w:t xml:space="preserve">. Neither the Company nor any of its Subsidiaries has any liabilities or obligations of any nature, whether accrued, absolute, contingent or otherwise, known or unknown, whether due or to become due and whether or not required to be recorded or reflected on a balance sheet under GAAP, except (a) to the extent specifically and adequately accrued or reserved against in the Company Balance Sheet and (b) for liabilities and obligations incurred in the ordinary course of business consistent with past practice (none of which is a liability for a breach or default under any contract, breach of warranty, tort, infringement, misappropriation or violation of law) since the date of the Company Balance Sheet that are not individually or in the aggregate material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4.8 </w:t>
      </w:r>
      <w:r>
        <w:rPr>
          <w:rFonts w:ascii="Times New Roman" w:hAnsi="Times New Roman"/>
          <w:sz w:val="20"/>
          <w:u w:val="single"/>
        </w:rPr>
        <w:t>Absence of Certain Changes or Events</w:t>
      </w:r>
      <w:r>
        <w:rPr>
          <w:rFonts w:ascii="Times New Roman" w:hAnsi="Times New Roman"/>
          <w:sz w:val="20"/>
        </w:rPr>
        <w:t xml:space="preserve">. Except as set forth in </w:t>
      </w:r>
      <w:r>
        <w:rPr>
          <w:rFonts w:ascii="Times New Roman" w:hAnsi="Times New Roman"/>
          <w:sz w:val="20"/>
          <w:u w:val="single"/>
        </w:rPr>
        <w:t>Section 4.8</w:t>
      </w:r>
      <w:r>
        <w:rPr>
          <w:rFonts w:ascii="Times New Roman" w:hAnsi="Times New Roman"/>
          <w:sz w:val="20"/>
        </w:rPr>
        <w:t xml:space="preserve"> of the Company Disclosure Letter, since the date of the Company Balance Sheet: (i) except in connection with the execution of this Agreement and the consummation of the transactions contemplated hereby, the Company and its Subsidiaries have conducted their business only in the ordinary course consistent with past practice; (ii) there has not been any change, event or development or prospective change, event or development that, individually or in the aggregate, has had or would reasonably be expected to have a Material Adverse Effect; and (iii) neither the Company nor any of its Subsidiaries has: </w:t>
      </w:r>
    </w:p>
    <w:p>
      <w:pPr>
        <w:pStyle w:val="TextBody"/>
        <w:bidi w:val="0"/>
        <w:spacing w:before="120" w:after="0"/>
        <w:jc w:val="left"/>
        <w:rPr>
          <w:rFonts w:ascii="Times New Roman" w:hAnsi="Times New Roman"/>
          <w:sz w:val="20"/>
        </w:rPr>
      </w:pPr>
      <w:r>
        <w:rPr>
          <w:rFonts w:ascii="Times New Roman" w:hAnsi="Times New Roman"/>
          <w:sz w:val="20"/>
        </w:rPr>
        <w:t xml:space="preserve">(a) (i) declared, set aside or paid any dividends on, or made any other distributions (whether in cash, stock or property) in respect of, any of its capital stock or other equity interests, (ii) purchased, redeemed or otherwise acquired shares of capital stock or other equity interests of the Company or any of its Subsidiaries or any options, warrants, or rights to acquire any such shares or other equity interests, or (iii) split, combined, reclassified or otherwise amended the terms of any of its capital stock or other equity interests or issued or authorized the issuance of any other securities in respect of, in lieu of or in substitution for shares of its capital stock or other equity interests; </w:t>
      </w:r>
    </w:p>
    <w:p>
      <w:pPr>
        <w:pStyle w:val="TextBody"/>
        <w:bidi w:val="0"/>
        <w:spacing w:before="120" w:after="0"/>
        <w:jc w:val="left"/>
        <w:rPr>
          <w:rFonts w:ascii="Times New Roman" w:hAnsi="Times New Roman"/>
          <w:sz w:val="20"/>
        </w:rPr>
      </w:pPr>
      <w:r>
        <w:rPr>
          <w:rFonts w:ascii="Times New Roman" w:hAnsi="Times New Roman"/>
          <w:sz w:val="20"/>
        </w:rPr>
        <w:t xml:space="preserve">(b) amended or otherwise changed, or authorized or proposed to amend or otherwise change, its certificate of incorporation or by-laws (or similar organizational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adopted or entered into a plan of complete or partial liquidation, dissolution, restructuring, recapitalization or reorganization; or </w:t>
      </w:r>
    </w:p>
    <w:p>
      <w:pPr>
        <w:pStyle w:val="TextBody"/>
        <w:bidi w:val="0"/>
        <w:spacing w:before="120" w:after="0"/>
        <w:jc w:val="left"/>
        <w:rPr>
          <w:rFonts w:ascii="Times New Roman" w:hAnsi="Times New Roman"/>
          <w:sz w:val="20"/>
        </w:rPr>
      </w:pPr>
      <w:r>
        <w:rPr>
          <w:rFonts w:ascii="Times New Roman" w:hAnsi="Times New Roman"/>
          <w:sz w:val="20"/>
        </w:rPr>
        <w:t xml:space="preserve">(d) changed its financial or Tax accounting methods, principles or practices, except insofar as may have been required by a change in GAAP or applicable Law, or revalued any of its material assets. </w:t>
      </w:r>
    </w:p>
    <w:p>
      <w:pPr>
        <w:pStyle w:val="TextBody"/>
        <w:bidi w:val="0"/>
        <w:spacing w:before="240" w:after="0"/>
        <w:jc w:val="left"/>
        <w:rPr>
          <w:rFonts w:ascii="Times New Roman" w:hAnsi="Times New Roman"/>
          <w:sz w:val="20"/>
        </w:rPr>
      </w:pPr>
      <w:r>
        <w:rPr>
          <w:rFonts w:ascii="Times New Roman" w:hAnsi="Times New Roman"/>
          <w:sz w:val="20"/>
        </w:rPr>
        <w:t xml:space="preserve">Section 4.9 </w:t>
      </w:r>
      <w:r>
        <w:rPr>
          <w:rFonts w:ascii="Times New Roman" w:hAnsi="Times New Roman"/>
          <w:sz w:val="20"/>
          <w:u w:val="single"/>
        </w:rPr>
        <w:t>Litigation</w:t>
      </w:r>
      <w:r>
        <w:rPr>
          <w:rFonts w:ascii="Times New Roman" w:hAnsi="Times New Roman"/>
          <w:sz w:val="20"/>
        </w:rPr>
        <w:t>. There is no action, suit, claim, arbitration, investigation, inquiry, grievance or other proceeding (each, an “</w:t>
      </w:r>
      <w:r>
        <w:rPr>
          <w:rFonts w:ascii="Times New Roman" w:hAnsi="Times New Roman"/>
          <w:sz w:val="20"/>
          <w:u w:val="single"/>
        </w:rPr>
        <w:t>Action</w:t>
      </w:r>
      <w:r>
        <w:rPr>
          <w:rFonts w:ascii="Times New Roman" w:hAnsi="Times New Roman"/>
          <w:sz w:val="20"/>
        </w:rPr>
        <w:t xml:space="preserve">”) (or basis therefor) pending or, to the knowledge of the Company, threatened against or affecting the Company or any of its Subsidiaries, its properties or assets, or any present or former officer, director or employee of the Company or any of its Subsidiaries in such individual’s capacity as such, other than any Action that (a) does not involve an amount in controversy in excess of $100,000 and (b) does not seek injunctive or other non-monetary relief. Neither the Company nor any of its Subsidiaries nor any of their respective properties or assets is subject to any outstanding judgment, order, injunction, rule or decree of any Governmental Entity. There is no Action pending or, to the knowledge of the Company, threatened seeking to prevent, hinder, modify, delay or challenge the Merger or any of the other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4.10 </w:t>
      </w:r>
      <w:r>
        <w:rPr>
          <w:rFonts w:ascii="Times New Roman" w:hAnsi="Times New Roman"/>
          <w:sz w:val="20"/>
          <w:u w:val="single"/>
        </w:rPr>
        <w:t>Compliance with Laws</w:t>
      </w:r>
      <w:r>
        <w:rPr>
          <w:rFonts w:ascii="Times New Roman" w:hAnsi="Times New Roman"/>
          <w:sz w:val="20"/>
        </w:rPr>
        <w:t>. The Company and each of its Subsidiaries are and have been in compliance in all material respects with all Laws applicable to their businesses, operations, properties or assets. Neither the Company nor any of its Subsidiaries has received, since January 1, 2023, a notice or other written communication alleging or relating to a possible material violation of any Law applicable to their businesses, operations, properties, assets or Company Products (as defined below). The Company and each of its Subsidiaries have in effect all material permits, licenses, variances, exemptions, applications, approvals, clearances, authorizations, registrations, formulary listings, consents, operating certificates, franchises, orders and approvals (collectively, “</w:t>
      </w:r>
      <w:r>
        <w:rPr>
          <w:rFonts w:ascii="Times New Roman" w:hAnsi="Times New Roman"/>
          <w:sz w:val="20"/>
          <w:u w:val="single"/>
        </w:rPr>
        <w:t>Permits</w:t>
      </w:r>
      <w:r>
        <w:rPr>
          <w:rFonts w:ascii="Times New Roman" w:hAnsi="Times New Roman"/>
          <w:sz w:val="20"/>
        </w:rPr>
        <w:t xml:space="preserve">”) of all Governmental Entities necessary or advisable for them to own, lease or operate its properties and assets and to carry on its businesses and operations as now conducted, and there has occurred no violation of, default (with or without notice or lapse of time or both) under or event giving to others any right of revocation, non-renewal, adverse modification or cancellation of, with or without notice or lapse of time or both, any such Permit, nor would any such revocation, non-renewal, adverse modification or cancellation result from the consummation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4.11 </w:t>
      </w:r>
      <w:r>
        <w:rPr>
          <w:rFonts w:ascii="Times New Roman" w:hAnsi="Times New Roman"/>
          <w:sz w:val="20"/>
          <w:u w:val="single"/>
        </w:rPr>
        <w:t>Health Care Regulatory Matters</w:t>
      </w:r>
      <w:r>
        <w:rPr>
          <w:rFonts w:ascii="Times New Roman" w:hAnsi="Times New Roman"/>
          <w:sz w:val="20"/>
        </w:rPr>
        <w:t xml:space="preserve">. Except as set forth in </w:t>
      </w:r>
      <w:r>
        <w:rPr>
          <w:rFonts w:ascii="Times New Roman" w:hAnsi="Times New Roman"/>
          <w:sz w:val="20"/>
          <w:u w:val="single"/>
        </w:rPr>
        <w:t>Section 4.11</w:t>
      </w:r>
      <w:r>
        <w:rPr>
          <w:rFonts w:ascii="Times New Roman" w:hAnsi="Times New Roman"/>
          <w:sz w:val="20"/>
        </w:rPr>
        <w:t xml:space="preserve"> of the Company Disclosure Letter: </w:t>
      </w:r>
    </w:p>
    <w:p>
      <w:pPr>
        <w:pStyle w:val="TextBody"/>
        <w:bidi w:val="0"/>
        <w:spacing w:before="120" w:after="0"/>
        <w:jc w:val="left"/>
        <w:rPr>
          <w:rFonts w:ascii="Times New Roman" w:hAnsi="Times New Roman"/>
          <w:sz w:val="20"/>
        </w:rPr>
      </w:pPr>
      <w:r>
        <w:rPr>
          <w:rFonts w:ascii="Times New Roman" w:hAnsi="Times New Roman"/>
          <w:sz w:val="20"/>
        </w:rPr>
        <w:t>(a) The Company, and to the knowledge of the Company, each of its directors, officers, management employees, and agents (while acting in such capacity) is, and since January 1, 2023, has been, in material compliance with all Health Care Laws to the extent applicable to the Company or any of its products or activities. For purposes of this Agreement, “</w:t>
      </w:r>
      <w:r>
        <w:rPr>
          <w:rFonts w:ascii="Times New Roman" w:hAnsi="Times New Roman"/>
          <w:sz w:val="20"/>
          <w:u w:val="single"/>
        </w:rPr>
        <w:t>Health Care Laws</w:t>
      </w:r>
      <w:r>
        <w:rPr>
          <w:rFonts w:ascii="Times New Roman" w:hAnsi="Times New Roman"/>
          <w:sz w:val="20"/>
        </w:rPr>
        <w:t xml:space="preserve">” means all applicable federal, state, and local laws, statutes, rules, regulations, guidance documents, and requirements of any Governmental Entity relating to the research, nonclinical or clinical development, testing, manufacturing, processing, labeling, or investigational use of pharmaceutical, biological, or medical device products, and to the human subjects protection, quality, safety, privacy, or security obligations arising in connection with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foregoing, including but not limited to the Federal Food, Drug, and Cosmetic Act; the Public Health Service Act; the Federal Policy for the Protection of Human Subjects (the Common Rule); the Health Insurance Portability and Accountability Act of 1996 as amended by the Health Information Technology for Economic and Clinical Health Act; the federal Anti-Kickback Statute; the civil monetary penalties law; the civil False Claims Act; the administrative False Claims Law; the Criminal Health Care Fraud Statute; the Medicare statute (Title XVIII of the Social Security Act); and the Medicaid statute (Title XIX of the Social Security Act), in each case as amended and including any successor statutes and implementing regulations, in each case to the extent applicable to the business of the Company or any of its Subsidiaries as currently conducted, including with respect to any Company Product. To the knowledge of the Company, there are no facts or circumstances that reasonably would be expected to give rise to any material liability under any Health Care Laws. </w:t>
      </w:r>
    </w:p>
    <w:p>
      <w:pPr>
        <w:pStyle w:val="TextBody"/>
        <w:bidi w:val="0"/>
        <w:spacing w:before="120" w:after="0"/>
        <w:jc w:val="left"/>
        <w:rPr>
          <w:rFonts w:ascii="Times New Roman" w:hAnsi="Times New Roman"/>
          <w:sz w:val="20"/>
        </w:rPr>
      </w:pPr>
      <w:r>
        <w:rPr>
          <w:rFonts w:ascii="Times New Roman" w:hAnsi="Times New Roman"/>
          <w:sz w:val="20"/>
        </w:rPr>
        <w:t xml:space="preserve">(b) Neither the Company nor any of its Subsidiaries is a party to any material corporate integrity agreements, monitoring agreements, consent decrees, settlement orders, or similar agreements with or imposed by any Governmental Entity. </w:t>
      </w:r>
    </w:p>
    <w:p>
      <w:pPr>
        <w:pStyle w:val="TextBody"/>
        <w:bidi w:val="0"/>
        <w:spacing w:before="120" w:after="0"/>
        <w:jc w:val="left"/>
        <w:rPr>
          <w:rFonts w:ascii="Times New Roman" w:hAnsi="Times New Roman"/>
          <w:sz w:val="20"/>
        </w:rPr>
      </w:pPr>
      <w:r>
        <w:rPr>
          <w:rFonts w:ascii="Times New Roman" w:hAnsi="Times New Roman"/>
          <w:sz w:val="20"/>
        </w:rPr>
        <w:t>(c) All applications, notifications, submissions, information, claims, reports and statistical analyses, and other data and conclusions derived therefrom, utilized as the basis for or submitted in connection with any and all requests for a Permit from the U.S. Food and Drug Administration (“</w:t>
      </w:r>
      <w:r>
        <w:rPr>
          <w:rFonts w:ascii="Times New Roman" w:hAnsi="Times New Roman"/>
          <w:sz w:val="20"/>
          <w:u w:val="single"/>
        </w:rPr>
        <w:t>FDA</w:t>
      </w:r>
      <w:r>
        <w:rPr>
          <w:rFonts w:ascii="Times New Roman" w:hAnsi="Times New Roman"/>
          <w:sz w:val="20"/>
        </w:rPr>
        <w:t>”) or other Governmental Entity relating to products that are regulated as drugs, medical devices, or other healthcare products under Health Care Laws, including drugs or medical devices, compounds or products being researched, tested, stored, developed, labeled, manufactured, packed, imported, exported and/or distributed by the Company or any of its Subsidiaries (“</w:t>
      </w:r>
      <w:r>
        <w:rPr>
          <w:rFonts w:ascii="Times New Roman" w:hAnsi="Times New Roman"/>
          <w:sz w:val="20"/>
          <w:u w:val="single"/>
        </w:rPr>
        <w:t>Company Products</w:t>
      </w:r>
      <w:r>
        <w:rPr>
          <w:rFonts w:ascii="Times New Roman" w:hAnsi="Times New Roman"/>
          <w:sz w:val="20"/>
        </w:rPr>
        <w:t xml:space="preserve">”), including, without limitation, investigational new drug applications and investigational device exemptions, when submitted to the FDA or other Governmental Entity were true, complete and correct in all material respects as of the date of submission and any necessary or required updates, changes, corrections or modification to such applications, submissions, information and data have been submitted to the FDA or other Governmental Entity. The Company does not have knowledge of any facts or circumstances that would be reasonably likely to lead to the revocation, suspension, limitation, or cancellation of a Permit required under Health Care Laws or of any application for marketing approval currently pending before the FDA or other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(d) All preclinical studies and clinical trials conducted by or, to the knowledge of the Company, on behalf of the Company have been, and if still pending are being, conducted in compliance in all material respects with research protocols and all applicable Health Care Laws, including, but not limited to, the FDCA and its applicable implementing regulations at 21 C.F.R. Parts 50, 54, 56, 58, 312, 314, 320 and 812. No clinical trial conducted by or on behalf of the Company has been conducted using any clinical investigators who have been disqualified. No clinical trial conducted by or on behalf of the Company has been terminated or suspended prior to completion, and no Governmental Entity, clinical investigator that has participated or is participating in, or institutional review board that has or has had jurisdiction over, a clinical trial conducted by or on behalf of the Company has placed a clinical hold order on, or otherwise terminated, delayed or suspended, such a Company clinical trial at a clinical research site based on an actual or alleged lack of safety or efficacy of any Company Product or a failure to conduct such clinical trial in compliance with applicable Health Care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All manufacturing operations conducted by or, to the knowledge of the Company, for the benefit of the Company have been and are being conducted in material compliance with all Permits under applicable Health Care Laws, all applicable provisions of the FDA’s current good manufacturing practice (cGMP) regulations for drug products at 21 C.F.R. Parts 210 and 211, the Quality Management System (QMS) regulations at 21 C.F.R. Part 820 and all comparable regulatory requirements of any applicable foreign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(f) The Company has not received any written communication that relates to an alleged violation or non-compliance with any Health Care Laws, including any notification of any pending or threatened claim, suit, proceeding, hearing, enforcement, investigation, arbitration, import detention or refusal, FDA Warning Letter or Untitled Letter, or any action by a Governmental Entity relating to any Health Care Laws. All Warning Letters, Form-483 observations, or comparable findings from the FDA or other Governmental Entities listed in </w:t>
      </w:r>
      <w:r>
        <w:rPr>
          <w:rFonts w:ascii="Times New Roman" w:hAnsi="Times New Roman"/>
          <w:sz w:val="20"/>
          <w:u w:val="single"/>
        </w:rPr>
        <w:t>Section 4.11(f)</w:t>
      </w:r>
      <w:r>
        <w:rPr>
          <w:rFonts w:ascii="Times New Roman" w:hAnsi="Times New Roman"/>
          <w:sz w:val="20"/>
        </w:rPr>
        <w:t xml:space="preserve"> of the Company Disclosure Letter have been resolved to the satisfaction of the applicable Governmental Entity or if not resolved, the current status of such proceeding(s) is described in </w:t>
      </w:r>
      <w:r>
        <w:rPr>
          <w:rFonts w:ascii="Times New Roman" w:hAnsi="Times New Roman"/>
          <w:sz w:val="20"/>
          <w:u w:val="single"/>
        </w:rPr>
        <w:t>Section 4.11(f)</w:t>
      </w:r>
      <w:r>
        <w:rPr>
          <w:rFonts w:ascii="Times New Roman" w:hAnsi="Times New Roman"/>
          <w:sz w:val="20"/>
        </w:rPr>
        <w:t xml:space="preserve"> of the Company Disclosure Letter. </w:t>
      </w:r>
    </w:p>
    <w:p>
      <w:pPr>
        <w:pStyle w:val="TextBody"/>
        <w:bidi w:val="0"/>
        <w:spacing w:before="120" w:after="0"/>
        <w:jc w:val="left"/>
        <w:rPr>
          <w:rFonts w:ascii="Times New Roman" w:hAnsi="Times New Roman"/>
          <w:sz w:val="20"/>
        </w:rPr>
      </w:pPr>
      <w:r>
        <w:rPr>
          <w:rFonts w:ascii="Times New Roman" w:hAnsi="Times New Roman"/>
          <w:sz w:val="20"/>
        </w:rPr>
        <w:t>(g) There have been no seizures, withdrawals, recalls, detentions, or suspensions of manufacturing, testing, or distribution relating to the Company Products required or requested by a Governmental Entity, or other notice of action relating to an alleged lack of safety, efficacy, or regulatory compliance of the Company Products, or any adverse experiences relating to the Company Products that have been reported to FDA or other Governmental Entity (“</w:t>
      </w:r>
      <w:r>
        <w:rPr>
          <w:rFonts w:ascii="Times New Roman" w:hAnsi="Times New Roman"/>
          <w:sz w:val="20"/>
          <w:u w:val="single"/>
        </w:rPr>
        <w:t>Safety Notices</w:t>
      </w:r>
      <w:r>
        <w:rPr>
          <w:rFonts w:ascii="Times New Roman" w:hAnsi="Times New Roman"/>
          <w:sz w:val="20"/>
        </w:rPr>
        <w:t xml:space="preserve">”). All Safety Notices listed in </w:t>
      </w:r>
      <w:r>
        <w:rPr>
          <w:rFonts w:ascii="Times New Roman" w:hAnsi="Times New Roman"/>
          <w:sz w:val="20"/>
          <w:u w:val="single"/>
        </w:rPr>
        <w:t>Section 4.11(g)</w:t>
      </w:r>
      <w:r>
        <w:rPr>
          <w:rFonts w:ascii="Times New Roman" w:hAnsi="Times New Roman"/>
          <w:sz w:val="20"/>
        </w:rPr>
        <w:t xml:space="preserve"> of the Company Disclosure Letter have been resolved to the satisfaction of the applicable Governmental Entity, or if not resolved, the current status of such Safety Notice(s) is described in </w:t>
      </w:r>
      <w:r>
        <w:rPr>
          <w:rFonts w:ascii="Times New Roman" w:hAnsi="Times New Roman"/>
          <w:sz w:val="20"/>
          <w:u w:val="single"/>
        </w:rPr>
        <w:t>Section 4.11(g)</w:t>
      </w:r>
      <w:r>
        <w:rPr>
          <w:rFonts w:ascii="Times New Roman" w:hAnsi="Times New Roman"/>
          <w:sz w:val="20"/>
        </w:rPr>
        <w:t xml:space="preserve"> of the Company Disclosure Letter. </w:t>
      </w:r>
    </w:p>
    <w:p>
      <w:pPr>
        <w:pStyle w:val="TextBody"/>
        <w:bidi w:val="0"/>
        <w:spacing w:before="120" w:after="0"/>
        <w:jc w:val="left"/>
        <w:rPr>
          <w:rFonts w:ascii="Times New Roman" w:hAnsi="Times New Roman"/>
          <w:sz w:val="20"/>
        </w:rPr>
      </w:pPr>
      <w:r>
        <w:rPr>
          <w:rFonts w:ascii="Times New Roman" w:hAnsi="Times New Roman"/>
          <w:sz w:val="20"/>
        </w:rPr>
        <w:t xml:space="preserve">(h) Except as set forth in </w:t>
      </w:r>
      <w:r>
        <w:rPr>
          <w:rFonts w:ascii="Times New Roman" w:hAnsi="Times New Roman"/>
          <w:sz w:val="20"/>
          <w:u w:val="single"/>
        </w:rPr>
        <w:t>Section 4.11(g)</w:t>
      </w:r>
      <w:r>
        <w:rPr>
          <w:rFonts w:ascii="Times New Roman" w:hAnsi="Times New Roman"/>
          <w:sz w:val="20"/>
        </w:rPr>
        <w:t xml:space="preserve"> of the Company Disclosure Letter, there are no unresolved Safety Notices, and to the knowledge the Company, there are no facts or circumstances that would be reasonably likely to result in a Safety Notice with respect to the Company Products or a termination or suspension of developing and testing of any of the Company Products. </w:t>
      </w:r>
    </w:p>
    <w:p>
      <w:pPr>
        <w:pStyle w:val="TextBody"/>
        <w:bidi w:val="0"/>
        <w:spacing w:before="120" w:after="0"/>
        <w:jc w:val="left"/>
        <w:rPr>
          <w:rFonts w:ascii="Times New Roman" w:hAnsi="Times New Roman"/>
          <w:sz w:val="20"/>
        </w:rPr>
      </w:pPr>
      <w:r>
        <w:rPr>
          <w:rFonts w:ascii="Times New Roman" w:hAnsi="Times New Roman"/>
          <w:sz w:val="20"/>
        </w:rPr>
        <w:t>(i) Neither the Company, nor, to the knowledge of the Company, any officer, director, employee, or agent of the Company has made an untrue statement of a material fact or fraudulent or misleading statement to a Governmental Entity, failed to disclose a material fact required to be disclosed to a Governmental Entity, or committed an act, made a statement, or failed to make a statement that would reasonably be expected to provide a basis for the FDA to invoke its policy regarding “Fraud, Untrue Statements of Material Facts, Bribery, and Illegal Gratuities” Final Policy set forth in 56 Fed. Reg. 46191 (September 10, 1991) and any amendments thereto (the “</w:t>
      </w:r>
      <w:r>
        <w:rPr>
          <w:rFonts w:ascii="Times New Roman" w:hAnsi="Times New Roman"/>
          <w:sz w:val="20"/>
          <w:u w:val="single"/>
        </w:rPr>
        <w:t>FDA Ethics Policy</w:t>
      </w:r>
      <w:r>
        <w:rPr>
          <w:rFonts w:ascii="Times New Roman" w:hAnsi="Times New Roman"/>
          <w:sz w:val="20"/>
        </w:rPr>
        <w:t xml:space="preserve">”). None of the aforementioned is or has been under investigation resulting from any allegedly untrue, fraudulent, misleading, or false statement or omission, including data fraud, or had any action pending or threatened relating to the FDA Ethics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All reports, documents, claims, Permits and notices required to be filed, maintained or furnished to the FDA or any other Governmental Entity by the Company have been so filed, maintained or furnished, except where failure to file, maintain or furnish such reports, documents, claims, Permits or notices have not had and would not reasonably be expected to have, individually or in the aggregate, a Material Adverse Effect. All such reports, documents, claims, Permits and notices were true and complete in all material respects on the date filed (or were corrected in or supplemented by a subsequent filing). </w:t>
      </w:r>
    </w:p>
    <w:p>
      <w:pPr>
        <w:pStyle w:val="TextBody"/>
        <w:bidi w:val="0"/>
        <w:spacing w:before="120" w:after="0"/>
        <w:jc w:val="left"/>
        <w:rPr>
          <w:rFonts w:ascii="Times New Roman" w:hAnsi="Times New Roman"/>
          <w:sz w:val="20"/>
        </w:rPr>
      </w:pPr>
      <w:r>
        <w:rPr>
          <w:rFonts w:ascii="Times New Roman" w:hAnsi="Times New Roman"/>
          <w:sz w:val="20"/>
        </w:rPr>
        <w:t xml:space="preserve">(k) Neither the Company nor, to the knowledge of the Company, any officer, director, employee, or agent of the Company has been convicted of any crime or engaged in any conduct that has resulted, or would reasonably be expected to result, in debarment under applicable Law, including, without limitation, 21 U.S.C. § 335a, or exclusion under 42 U.S.C. § 1320a-7, or any other statutory provision. Neither the Company nor, to the knowledge of the Company, any officer, director, employee, or agent the Company, has been excluded from participation in any federal health care program or convicted of any crime or engaged in any conduct for which such Person could be excluded from participating in any federal health care program under Section 1128 of the Social Security Act of 1935, as amended, or any similar Health Care Law or program. </w:t>
      </w:r>
    </w:p>
    <w:p>
      <w:pPr>
        <w:pStyle w:val="TextBody"/>
        <w:bidi w:val="0"/>
        <w:spacing w:before="240" w:after="0"/>
        <w:jc w:val="left"/>
        <w:rPr>
          <w:rFonts w:ascii="Times New Roman" w:hAnsi="Times New Roman"/>
          <w:sz w:val="20"/>
        </w:rPr>
      </w:pPr>
      <w:r>
        <w:rPr>
          <w:rFonts w:ascii="Times New Roman" w:hAnsi="Times New Roman"/>
          <w:sz w:val="20"/>
        </w:rPr>
        <w:t xml:space="preserve">Section 4.12 </w:t>
      </w:r>
      <w:r>
        <w:rPr>
          <w:rFonts w:ascii="Times New Roman" w:hAnsi="Times New Roman"/>
          <w:sz w:val="20"/>
          <w:u w:val="single"/>
        </w:rPr>
        <w:t>Benefit Plans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4.12(a)</w:t>
      </w:r>
      <w:r>
        <w:rPr>
          <w:rFonts w:ascii="Times New Roman" w:hAnsi="Times New Roman"/>
          <w:sz w:val="20"/>
        </w:rPr>
        <w:t xml:space="preserve"> of the Company Disclosure Letter contains a true, correct and complete list of each material Company Plan. </w:t>
      </w:r>
    </w:p>
    <w:p>
      <w:pPr>
        <w:pStyle w:val="TextBody"/>
        <w:bidi w:val="0"/>
        <w:spacing w:before="120" w:after="0"/>
        <w:jc w:val="left"/>
        <w:rPr>
          <w:rFonts w:ascii="Times New Roman" w:hAnsi="Times New Roman"/>
          <w:sz w:val="20"/>
        </w:rPr>
      </w:pPr>
      <w:r>
        <w:rPr>
          <w:rFonts w:ascii="Times New Roman" w:hAnsi="Times New Roman"/>
          <w:sz w:val="20"/>
        </w:rPr>
        <w:t>(b) The Company has provided or made available to Parent a current, accurate and complete copy of each material Company Plan, or if such Company Plan is not in written form, a written summary of all of the material terms of such Company Plan. With respect to each Company Plan, the Company has furnished or made available to Parent a current, accurate and complete copy of, to the extent applicable: (i) all documents embodying or governing such Company Plan and any related trust agreement or other funding instrument, (ii) the most recent determination letter of the Internal Revenue Service (the “</w:t>
      </w:r>
      <w:r>
        <w:rPr>
          <w:rFonts w:ascii="Times New Roman" w:hAnsi="Times New Roman"/>
          <w:sz w:val="20"/>
          <w:u w:val="single"/>
        </w:rPr>
        <w:t>IRS</w:t>
      </w:r>
      <w:r>
        <w:rPr>
          <w:rFonts w:ascii="Times New Roman" w:hAnsi="Times New Roman"/>
          <w:sz w:val="20"/>
        </w:rPr>
        <w:t xml:space="preserve">”), (iii) any summary plan description, summary of material modifications, and other similar material written communications (or a written description of any material oral communications) to the employees of the Company or its Subsidiaries concerning the extent of the benefits provided under a Company Plan, (iv) all non-routine correspondence to and from any governmental agency, and (v) for the three most recent years and as applicable (A) the Form 5500 and attached schedules, (B) audited financial statements, (C) nondiscrimination testing results and (D) actuarial valuation reports. </w:t>
      </w:r>
    </w:p>
    <w:p>
      <w:pPr>
        <w:pStyle w:val="TextBody"/>
        <w:bidi w:val="0"/>
        <w:spacing w:before="120" w:after="0"/>
        <w:jc w:val="left"/>
        <w:rPr>
          <w:rFonts w:ascii="Times New Roman" w:hAnsi="Times New Roman"/>
          <w:sz w:val="20"/>
        </w:rPr>
      </w:pPr>
      <w:r>
        <w:rPr>
          <w:rFonts w:ascii="Times New Roman" w:hAnsi="Times New Roman"/>
          <w:sz w:val="20"/>
        </w:rPr>
        <w:t>(c) Neither the Company, its Subsidiaries or any member of their “</w:t>
      </w:r>
      <w:r>
        <w:rPr>
          <w:rFonts w:ascii="Times New Roman" w:hAnsi="Times New Roman"/>
          <w:sz w:val="20"/>
          <w:u w:val="single"/>
        </w:rPr>
        <w:t>Controlled Group</w:t>
      </w:r>
      <w:r>
        <w:rPr>
          <w:rFonts w:ascii="Times New Roman" w:hAnsi="Times New Roman"/>
          <w:sz w:val="20"/>
        </w:rPr>
        <w:t xml:space="preserve">” (defined as any organization which is, or at any applicable time was, a member of a controlled, affiliated or otherwise related group of entities within the meaning of Sections 414(b), (c), (m) or (o) of the Code or Section 4001(b)(1) of ERISA) has ever sponsored, maintained, contributed to or been required to contribute to or incurred any liability (contingent or otherwise) with respect to: (i) a Multiemployer Plan, (ii) an “employee pension benefit plan” (within the meaning of Section 3(2) of ERISA) that is subject to Title IV of ERISA or Section 412 of the Code or Section 302 of ERISA, (iii) any “multiple employer plan” as defined in Section 413 of the Code or Section 210 of ERISA, (iv) a “funded welfare benefit plan” within the meaning of Section 419 of the Code or (v) any “multiple employer welfare arrangement” (as such term is defined in Section 3(40) of ERISA), and neither the Company nor any of its Subsidiaries or any member of their Controlled Group has ever incurred any liability under Title IV of ERISA that has not been paid in full.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With respect to the Company Plans: </w:t>
      </w:r>
    </w:p>
    <w:p>
      <w:pPr>
        <w:pStyle w:val="TextBody"/>
        <w:bidi w:val="0"/>
        <w:spacing w:before="120" w:after="0"/>
        <w:jc w:val="left"/>
        <w:rPr>
          <w:rFonts w:ascii="Times New Roman" w:hAnsi="Times New Roman"/>
          <w:sz w:val="20"/>
        </w:rPr>
      </w:pPr>
      <w:r>
        <w:rPr>
          <w:rFonts w:ascii="Times New Roman" w:hAnsi="Times New Roman"/>
          <w:sz w:val="20"/>
        </w:rPr>
        <w:t xml:space="preserve">(i) each Company Plan is and has been established, operated, and administered in all material respects with its terms and materially complies in form and in operation with the applicable provisions of ERISA and the Code and all other applicable legal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(ii) no Company Plan is, or within the past six years has been, the subject of an application or filing under a government sponsored amnesty, voluntary compliance, or similar program, or been the subject of any self-correction under any such program; </w:t>
      </w:r>
    </w:p>
    <w:p>
      <w:pPr>
        <w:pStyle w:val="TextBody"/>
        <w:bidi w:val="0"/>
        <w:spacing w:before="120" w:after="0"/>
        <w:jc w:val="left"/>
        <w:rPr>
          <w:rFonts w:ascii="Times New Roman" w:hAnsi="Times New Roman"/>
          <w:sz w:val="20"/>
        </w:rPr>
      </w:pPr>
      <w:r>
        <w:rPr>
          <w:rFonts w:ascii="Times New Roman" w:hAnsi="Times New Roman"/>
          <w:sz w:val="20"/>
        </w:rPr>
        <w:t xml:space="preserve">(iii) each Company Plan intended to be qualified under Section 401(a) of the Code has received a favorable determination, advisory and/or opinion letter, as applicable, from the IRS that it is so qualified and nothing has occurred to the knowledge of the Company since the date of such letter that would reasonably be expected to cause the loss of the sponsor’s ability to rely upon such letter, and nothing has occurred to the knowledge of the Company that would reasonably be expected to result in the loss of the qualified status of such Company Plan; </w:t>
      </w:r>
    </w:p>
    <w:p>
      <w:pPr>
        <w:pStyle w:val="TextBody"/>
        <w:bidi w:val="0"/>
        <w:spacing w:before="120" w:after="0"/>
        <w:jc w:val="left"/>
        <w:rPr>
          <w:rFonts w:ascii="Times New Roman" w:hAnsi="Times New Roman"/>
          <w:sz w:val="20"/>
        </w:rPr>
      </w:pPr>
      <w:r>
        <w:rPr>
          <w:rFonts w:ascii="Times New Roman" w:hAnsi="Times New Roman"/>
          <w:sz w:val="20"/>
        </w:rPr>
        <w:t>(iv) there is no material Action (including any investigation, audit or other administrative proceeding) by the Department of Labor, the Pension Benefit Guaranty Corporation (the “</w:t>
      </w:r>
      <w:r>
        <w:rPr>
          <w:rFonts w:ascii="Times New Roman" w:hAnsi="Times New Roman"/>
          <w:sz w:val="20"/>
          <w:u w:val="single"/>
        </w:rPr>
        <w:t>PBGC</w:t>
      </w:r>
      <w:r>
        <w:rPr>
          <w:rFonts w:ascii="Times New Roman" w:hAnsi="Times New Roman"/>
          <w:sz w:val="20"/>
        </w:rPr>
        <w:t xml:space="preserve">”), the IRS or any other Governmental Entity or by any plan participant or beneficiary pending, or to the knowledge of the Company, threatened, relating to the Company Plans, any fiduciaries thereof with respect to their duties to the Company Plans or the assets of any of the trusts under any of the Company Plans (other than routine claims for benefits); </w:t>
      </w:r>
    </w:p>
    <w:p>
      <w:pPr>
        <w:pStyle w:val="TextBody"/>
        <w:bidi w:val="0"/>
        <w:spacing w:before="120" w:after="0"/>
        <w:jc w:val="left"/>
        <w:rPr>
          <w:rFonts w:ascii="Times New Roman" w:hAnsi="Times New Roman"/>
          <w:sz w:val="20"/>
        </w:rPr>
      </w:pPr>
      <w:r>
        <w:rPr>
          <w:rFonts w:ascii="Times New Roman" w:hAnsi="Times New Roman"/>
          <w:sz w:val="20"/>
        </w:rPr>
        <w:t xml:space="preserve">(v) none of the Company Plans currently provides, or reflects or represents any liability to provide post-termination or retiree welfare benefits to any person for any reason, except as may be required by Section 601, </w:t>
      </w:r>
      <w:r>
        <w:rPr>
          <w:rFonts w:ascii="Times New Roman" w:hAnsi="Times New Roman"/>
          <w:i/>
          <w:sz w:val="20"/>
        </w:rPr>
        <w:t>et seq.</w:t>
      </w:r>
      <w:r>
        <w:rPr>
          <w:rFonts w:ascii="Times New Roman" w:hAnsi="Times New Roman"/>
          <w:sz w:val="20"/>
        </w:rPr>
        <w:t xml:space="preserve"> of ERISA and Section 4980B(b) of the Code or other applicable similar law regarding health care coverage continuation (collectively “</w:t>
      </w:r>
      <w:r>
        <w:rPr>
          <w:rFonts w:ascii="Times New Roman" w:hAnsi="Times New Roman"/>
          <w:sz w:val="20"/>
          <w:u w:val="single"/>
        </w:rPr>
        <w:t>COBRA</w:t>
      </w:r>
      <w:r>
        <w:rPr>
          <w:rFonts w:ascii="Times New Roman" w:hAnsi="Times New Roman"/>
          <w:sz w:val="20"/>
        </w:rPr>
        <w:t xml:space="preserve">”), and none of the Company, its Subsidiaries or any members of their Controlled Group has any liability to provide post-termination or retiree welfare benefits to any person or ever represented, promised or contracted to any employee or former employee of the Company (either individually or to Company employees as a group) or any other person that such employee(s) or other person would be provided with post-termination or retiree welfare benefits, except to the extent required by statute or except with respect to a contractual obligation to reimburse any premiums such person may pay in order to obtain health coverage under COBRA; </w:t>
      </w:r>
    </w:p>
    <w:p>
      <w:pPr>
        <w:pStyle w:val="TextBody"/>
        <w:bidi w:val="0"/>
        <w:spacing w:before="120" w:after="0"/>
        <w:jc w:val="left"/>
        <w:rPr>
          <w:rFonts w:ascii="Times New Roman" w:hAnsi="Times New Roman"/>
          <w:sz w:val="20"/>
        </w:rPr>
      </w:pPr>
      <w:r>
        <w:rPr>
          <w:rFonts w:ascii="Times New Roman" w:hAnsi="Times New Roman"/>
          <w:sz w:val="20"/>
        </w:rPr>
        <w:t xml:space="preserve">(vi) all payments and/or contributions required to have been timely made with respect to all Company Plans either have been made or have been accrued in accordance with the terms of the applicable Company Plan and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(vii) each Company Plan is subject exclusively to United States Law; </w:t>
      </w:r>
    </w:p>
    <w:p>
      <w:pPr>
        <w:pStyle w:val="TextBody"/>
        <w:bidi w:val="0"/>
        <w:spacing w:before="120" w:after="0"/>
        <w:jc w:val="left"/>
        <w:rPr>
          <w:rFonts w:ascii="Times New Roman" w:hAnsi="Times New Roman"/>
          <w:sz w:val="20"/>
        </w:rPr>
      </w:pPr>
      <w:r>
        <w:rPr>
          <w:rFonts w:ascii="Times New Roman" w:hAnsi="Times New Roman"/>
          <w:sz w:val="20"/>
        </w:rPr>
        <w:t xml:space="preserve">(viii) the execution and delivery of this Agreement, the Company Stockholder Approval, and the consummation of the Merger will not, either alone or in combination with any other event, (A) entitle any current or former employee, officer, director or consultant of the Company or any Subsidiary to severance pay, unemployment compensation or any other similar termination payment, (B) accelerate the time of payment or vesting, or increase the amount of or otherwise enhance any benefit due any such employee, officer, director or consultant, or (C) trigger the forgiveness of any indebtedness of any such employee, officer, director or consultant;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Neither the Company nor any of its Subsidiaries is a party to any agreement, contract, arrangement or plan (including any Company Plan) that may reasonably be expected to result, separately or in the aggregate, in connection with the transactions contemplated by this Agreement (either alone or in combination with any other events), in the payment of any “parachute payments” within the meaning of Section 280G of the Code. There is no agreement, plan or other arrangement to which the Company or any Subsidiary is a party or by which the Company or any Subsidiary is otherwise bound to compensate any person in respect of Taxes or other liabilities incurred with respect to Section 409A or 4999 of the Code. </w:t>
      </w:r>
    </w:p>
    <w:p>
      <w:pPr>
        <w:pStyle w:val="TextBody"/>
        <w:bidi w:val="0"/>
        <w:spacing w:before="120" w:after="0"/>
        <w:jc w:val="left"/>
        <w:rPr>
          <w:rFonts w:ascii="Times New Roman" w:hAnsi="Times New Roman"/>
          <w:sz w:val="20"/>
        </w:rPr>
      </w:pPr>
      <w:r>
        <w:rPr>
          <w:rFonts w:ascii="Times New Roman" w:hAnsi="Times New Roman"/>
          <w:sz w:val="20"/>
        </w:rPr>
        <w:t xml:space="preserve">(f) Each Company Plan that is a “nonqualified deferred compensation plan” within the meaning of Section 409A of the Code (or any comparable or similar provision of state, local, or foreign Law) complies in both form and operation in all material respects with the requirements of Section 409A of the Code (or any comparable or similar provision of state, local, or foreign Law) and all applicable IRS guidance issued with respect thereto (and has so complied for the entire period during which Section 409A of the Code has applied to such Company Plan) so that no amount paid or payable pursuant to any such Company Plan is subject to any additional Tax or interest under Section 409A of the Code (or any comparable or similar provision of state, local, or foreign Law). The per share exercise price of each Company Option is no less than the fair market value of a share of Company Common Stock on the date of grant of such Company Option, determined in a manner consistent with Section 409A of the Code, and no payment to be made under any Company Plan is, or to the knowledge of the Company, will be, subject to the penalties of Section 409A(a)(1) of the Code. </w:t>
      </w:r>
    </w:p>
    <w:p>
      <w:pPr>
        <w:pStyle w:val="TextBody"/>
        <w:bidi w:val="0"/>
        <w:spacing w:before="120" w:after="0"/>
        <w:jc w:val="left"/>
        <w:rPr>
          <w:rFonts w:ascii="Times New Roman" w:hAnsi="Times New Roman"/>
          <w:sz w:val="20"/>
        </w:rPr>
      </w:pPr>
      <w:r>
        <w:rPr>
          <w:rFonts w:ascii="Times New Roman" w:hAnsi="Times New Roman"/>
          <w:sz w:val="20"/>
        </w:rPr>
        <w:t xml:space="preserve">(g) No Company Plan provides major medical health or long-term disability benefits that are not fully insured through an insurance contract. </w:t>
      </w:r>
    </w:p>
    <w:p>
      <w:pPr>
        <w:pStyle w:val="TextBody"/>
        <w:bidi w:val="0"/>
        <w:spacing w:before="240" w:after="0"/>
        <w:jc w:val="left"/>
        <w:rPr>
          <w:rFonts w:ascii="Times New Roman" w:hAnsi="Times New Roman"/>
          <w:sz w:val="20"/>
        </w:rPr>
      </w:pPr>
      <w:r>
        <w:rPr>
          <w:rFonts w:ascii="Times New Roman" w:hAnsi="Times New Roman"/>
          <w:sz w:val="20"/>
        </w:rPr>
        <w:t xml:space="preserve">Section 4.13 </w:t>
      </w:r>
      <w:r>
        <w:rPr>
          <w:rFonts w:ascii="Times New Roman" w:hAnsi="Times New Roman"/>
          <w:sz w:val="20"/>
          <w:u w:val="single"/>
        </w:rPr>
        <w:t>Labor and Employment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and each of its Subsidiaries are and, since January 1, 2023, have been in compliance in all material respects with all applicable Laws relating to labor or employment matters, including those relating to employment practices, terms and conditions of employment, collective bargaining, disability, immigration, health and safety, wages, hours and benefits, non-discrimination in employment, workers’ compensation, the collection and payment of withholding and/or payroll Taxes and similar Taxes, unemployment compensation, equal employment opportunity, discrimination, harassment, employee and contractor classification, restrictive covenants, pay equity, information privacy and security, and continuation coverage with respect to group health plans. Since January 1, 2023, there has not been, and as of the date of this Agreement there is not pending or, to the knowledge of the Company, threatened, any labor dispute, work stoppage, labor strike or lockout against the Company or any of its Subsidiaries by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 employee of the Company or any of its Subsidiaries is, or since January 1, 2023 has been, covered by a collective bargaining agreement or similar labor agreement. To the knowledge of the Company, there has not been any activity on behalf of any labor union, labor organization or similar representative group to organize any employees of the Company or any of its Subsidiaries. There are no, and since January 1, 2023 there has not been any: (i) unfair labor practice charges or complaints against the Company or any of its Subsidiaries pending before the National Labor Relations Board or any other labor relations tribunal or authority and to the knowledge of the Company no such representations, claims or petitions are threatened, (ii) representations, claims, or petitions pending before the National Labor Relations Board or any other labor tribunal or (iii) grievances or pending arbitration proceedings against the Company or any of its Subsidiaries that arose out of or under any collective bargaining agreement. </w:t>
      </w:r>
    </w:p>
    <w:p>
      <w:pPr>
        <w:pStyle w:val="TextBody"/>
        <w:bidi w:val="0"/>
        <w:spacing w:before="120" w:after="0"/>
        <w:jc w:val="left"/>
        <w:rPr>
          <w:rFonts w:ascii="Times New Roman" w:hAnsi="Times New Roman"/>
          <w:sz w:val="20"/>
        </w:rPr>
      </w:pPr>
      <w:r>
        <w:rPr>
          <w:rFonts w:ascii="Times New Roman" w:hAnsi="Times New Roman"/>
          <w:sz w:val="20"/>
        </w:rPr>
        <w:t>(c) Since January 1, 2025, (i) neither the Company nor any of its Subsidiaries has effectuated a “plant closing” (as defined in the Worker Adjustment Retraining and Notification Act of 1988, as amended (the “</w:t>
      </w:r>
      <w:r>
        <w:rPr>
          <w:rFonts w:ascii="Times New Roman" w:hAnsi="Times New Roman"/>
          <w:sz w:val="20"/>
          <w:u w:val="single"/>
        </w:rPr>
        <w:t>WARN Act</w:t>
      </w:r>
      <w:r>
        <w:rPr>
          <w:rFonts w:ascii="Times New Roman" w:hAnsi="Times New Roman"/>
          <w:sz w:val="20"/>
        </w:rPr>
        <w:t xml:space="preserve">”)) affecting any site of employment or one or more facilities or operating units within any site of employment or facility, (ii) there has not occurred a “mass layoff” (as defined in the WARN Act) in connection with the Company or any of its Subsidiaries affecting any site of employment or one or more facilities or operating units within any site of employment or facility and (iii) neither the Company nor any of its Subsidiaries has engaged in layoffs or employment terminations sufficient in number to trigger application of any similar state, local or foreign law. </w:t>
      </w:r>
    </w:p>
    <w:p>
      <w:pPr>
        <w:pStyle w:val="TextBody"/>
        <w:bidi w:val="0"/>
        <w:spacing w:before="120" w:after="0"/>
        <w:jc w:val="left"/>
        <w:rPr>
          <w:rFonts w:ascii="Times New Roman" w:hAnsi="Times New Roman"/>
          <w:sz w:val="20"/>
        </w:rPr>
      </w:pPr>
      <w:r>
        <w:rPr>
          <w:rFonts w:ascii="Times New Roman" w:hAnsi="Times New Roman"/>
          <w:sz w:val="20"/>
        </w:rPr>
        <w:t xml:space="preserve">(d) Except as set forth on Section 4.13(d) of the Company Disclosure Letter, with respect to any current or former employee, officer, consultant, or other service provider of the Company, there are no Actions against the Company or any of its Subsidiaries pending, or to the Company’s knowledge, threatened to be brought or filed, in connection with the employment or engagement of any current or former employee, officer, consultant, or service provider of the Company, including, without limitation, any claim relating to employment discrimination, harassment, retaliation, equal pay, employment classification, contractor classification, wages, hours, and benefits, or any other employment related matter arising under applicable Laws, except where such action would not, individually or in the aggregate, result in the Company incurring a material liability. </w:t>
      </w:r>
    </w:p>
    <w:p>
      <w:pPr>
        <w:pStyle w:val="TextBody"/>
        <w:bidi w:val="0"/>
        <w:spacing w:before="120" w:after="0"/>
        <w:jc w:val="left"/>
        <w:rPr>
          <w:rFonts w:ascii="Times New Roman" w:hAnsi="Times New Roman"/>
          <w:sz w:val="20"/>
        </w:rPr>
      </w:pPr>
      <w:r>
        <w:rPr>
          <w:rFonts w:ascii="Times New Roman" w:hAnsi="Times New Roman"/>
          <w:sz w:val="20"/>
        </w:rPr>
        <w:t xml:space="preserve">(e) Except as set forth on Section 4.13(e) of the Company Disclosure Letter or with respect to any Company Plan (which subject is addressed in </w:t>
      </w:r>
      <w:r>
        <w:rPr>
          <w:rFonts w:ascii="Times New Roman" w:hAnsi="Times New Roman"/>
          <w:sz w:val="20"/>
          <w:u w:val="single"/>
        </w:rPr>
        <w:t>Section 4.12</w:t>
      </w:r>
      <w:r>
        <w:rPr>
          <w:rFonts w:ascii="Times New Roman" w:hAnsi="Times New Roman"/>
          <w:sz w:val="20"/>
        </w:rPr>
        <w:t xml:space="preserve"> above), the execution of this Agreement and the consummation of the transactions set forth in or contemplated by this Agreement will not result in any breach or violation of, or cause any payment to be made under, any applicable Laws respecting labor and employment or any collective bargaining agreement to which the Company or any of its Subsidiaries is a party. </w:t>
      </w:r>
    </w:p>
    <w:p>
      <w:pPr>
        <w:pStyle w:val="TextBody"/>
        <w:bidi w:val="0"/>
        <w:spacing w:before="120" w:after="0"/>
        <w:jc w:val="left"/>
        <w:rPr>
          <w:rFonts w:ascii="Times New Roman" w:hAnsi="Times New Roman"/>
          <w:sz w:val="20"/>
        </w:rPr>
      </w:pPr>
      <w:r>
        <w:rPr>
          <w:rFonts w:ascii="Times New Roman" w:hAnsi="Times New Roman"/>
          <w:sz w:val="20"/>
        </w:rPr>
        <w:t xml:space="preserve">(f) Since January 1, 2023, (i) no allegations of harassment or discrimination (with respect to any category protected by applicable law), retaliation on the basis of protected activity (including as a whistleblower) or protected class status in accordance with applicable law, or other misconduct related to the workplace have been made, filed or, to the knowledge of the Company, threatened against or involving the Company or any of its Subsidiaries or any of their respective current directors or officers and (ii) the Company has not entered into any settlement agreement related to allegations of such harassment, discrimination or retaliation by any of their directors, officers or employees described in clause (i) hereof or any independent contractor.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All employees of the Company are employed “at-will” or require no more than 30 days’ notice to terminate. </w:t>
      </w:r>
    </w:p>
    <w:p>
      <w:pPr>
        <w:pStyle w:val="TextBody"/>
        <w:bidi w:val="0"/>
        <w:spacing w:before="240" w:after="0"/>
        <w:jc w:val="left"/>
        <w:rPr>
          <w:rFonts w:ascii="Times New Roman" w:hAnsi="Times New Roman"/>
          <w:sz w:val="20"/>
        </w:rPr>
      </w:pPr>
      <w:r>
        <w:rPr>
          <w:rFonts w:ascii="Times New Roman" w:hAnsi="Times New Roman"/>
          <w:sz w:val="20"/>
        </w:rPr>
        <w:t xml:space="preserve">Section 4.14 </w:t>
      </w:r>
      <w:r>
        <w:rPr>
          <w:rFonts w:ascii="Times New Roman" w:hAnsi="Times New Roman"/>
          <w:sz w:val="20"/>
          <w:u w:val="single"/>
        </w:rPr>
        <w:t>Environmental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individually or in the aggregate, has not had and would not reasonably be expected to have a Material Adverse Effect, (i) the Company and its Subsidiaries have conducted their respective businesses in compliance with all, and have not violated any, applicable Environmental Laws; (ii) the Company and its Subsidiaries have obtained all Permits of all Governmental Entities and any other Person that are required under any Environmental Law; (iii) there has been no release of any Hazardous Substance by the Company or any of its Subsidiaries or any other Person in any manner that has given or would reasonably be expected to give rise to any remedial or investigative obligation, corrective action requirement or liability of the Company or any its Subsidiaries under applicable Environmental Laws; (iv) the Company and its Subsidiaries have not received any claims, notices, demand letters or requests for information (except for such claims, notices, demand letters or requests for information the subject matter of which has been resolved prior to the date of this Agreement) from any federal, state, local, foreign or provincial Governmental Entity or any other Person asserting that the Company or any of its Subsidiaries is in violation of, or liable under, any Environmental Law; (v) no Hazardous Substance has been disposed of, arranged to be disposed of, released or transported in violation of any applicable Environmental Law, or in a manner that has given rise to, or that would reasonably be expected to give rise to, any liability under any Environmental Law, in each case, on, at, under or from any current or former properties or facilities owned or operated by the Company or any of its Subsidiaries or as a result of any operations or activities of the Company or any of its Subsidiaries at any location and, to the knowledge of the Company, Hazardous Substances are not otherwise present at or about any such properties or facilities in amount or condition that has resulted in or would reasonably be expected to result in liability to the Company or any of its Subsidiaries under any Environmental Law; and (vi) neither the Company nor any of its Subsidiaries nor any of their respective properties or facilities are subject to, or are threatened to become subject to, any liabilities relating to any suit, settlement, court order, administrative order, regulatory requirement, judgment or claim asserted or arising under any Environmental Law or any agreement relating to environmental liabilities. </w:t>
      </w:r>
    </w:p>
    <w:p>
      <w:pPr>
        <w:pStyle w:val="TextBody"/>
        <w:bidi w:val="0"/>
        <w:spacing w:before="120" w:after="0"/>
        <w:jc w:val="left"/>
        <w:rPr>
          <w:rFonts w:ascii="Times New Roman" w:hAnsi="Times New Roman"/>
          <w:sz w:val="20"/>
        </w:rPr>
      </w:pPr>
      <w:r>
        <w:rPr>
          <w:rFonts w:ascii="Times New Roman" w:hAnsi="Times New Roman"/>
          <w:sz w:val="20"/>
        </w:rPr>
        <w:t>(b) As used herein, “</w:t>
      </w:r>
      <w:r>
        <w:rPr>
          <w:rFonts w:ascii="Times New Roman" w:hAnsi="Times New Roman"/>
          <w:sz w:val="20"/>
          <w:u w:val="single"/>
        </w:rPr>
        <w:t>Environmental Law</w:t>
      </w:r>
      <w:r>
        <w:rPr>
          <w:rFonts w:ascii="Times New Roman" w:hAnsi="Times New Roman"/>
          <w:sz w:val="20"/>
        </w:rPr>
        <w:t xml:space="preserve">” means any Law relating to (i) the protection, preservation or restoration of the environment (including air, surface water, groundwater, drinking water supply, surface and subsurface soils and strata, wetlands, plant and animal life or any other natural resource) or (ii) the exposure to, or the use, storage, recycling, treatment, generation, transportation, processing, handling, labeling, production, release or disposal of Hazardous Substances. </w:t>
      </w:r>
    </w:p>
    <w:p>
      <w:pPr>
        <w:pStyle w:val="TextBody"/>
        <w:bidi w:val="0"/>
        <w:spacing w:before="120" w:after="0"/>
        <w:jc w:val="left"/>
        <w:rPr>
          <w:rFonts w:ascii="Times New Roman" w:hAnsi="Times New Roman"/>
          <w:sz w:val="20"/>
        </w:rPr>
      </w:pPr>
      <w:r>
        <w:rPr>
          <w:rFonts w:ascii="Times New Roman" w:hAnsi="Times New Roman"/>
          <w:sz w:val="20"/>
        </w:rPr>
        <w:t>(c) As used herein, “</w:t>
      </w:r>
      <w:r>
        <w:rPr>
          <w:rFonts w:ascii="Times New Roman" w:hAnsi="Times New Roman"/>
          <w:sz w:val="20"/>
          <w:u w:val="single"/>
        </w:rPr>
        <w:t>Hazardous Substance</w:t>
      </w:r>
      <w:r>
        <w:rPr>
          <w:rFonts w:ascii="Times New Roman" w:hAnsi="Times New Roman"/>
          <w:sz w:val="20"/>
        </w:rPr>
        <w:t xml:space="preserve">” means any substance listed, defined, designated, classified or regulated as a waste, pollutant or contaminant or as hazardous, toxic, radioactive or dangerous or any other term of similar import under any Environmental Law, including but not limited to petroleum.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4.15 </w:t>
      </w:r>
      <w:r>
        <w:rPr>
          <w:rFonts w:ascii="Times New Roman" w:hAnsi="Times New Roman"/>
          <w:sz w:val="20"/>
          <w:u w:val="single"/>
        </w:rPr>
        <w:t>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and its Subsidiaries have (i) filed all income and other material Tax Returns required to be filed by or on behalf of it (taking into account any applicable extensions thereof) and all such Tax Returns are true, accurate and complete in all material respects; and (ii) paid in full (or caused to be timely paid in full) all material Taxes that are required to be paid by or with respect to it, whether or not such Taxes were shown as due on such Tax Returns. </w:t>
      </w:r>
    </w:p>
    <w:p>
      <w:pPr>
        <w:pStyle w:val="TextBody"/>
        <w:bidi w:val="0"/>
        <w:spacing w:before="120" w:after="0"/>
        <w:jc w:val="left"/>
        <w:rPr>
          <w:rFonts w:ascii="Times New Roman" w:hAnsi="Times New Roman"/>
          <w:sz w:val="20"/>
        </w:rPr>
      </w:pPr>
      <w:r>
        <w:rPr>
          <w:rFonts w:ascii="Times New Roman" w:hAnsi="Times New Roman"/>
          <w:sz w:val="20"/>
        </w:rPr>
        <w:t xml:space="preserve">(b) All material Taxes not yet due and payable by the Company as of the date of the Company Balance Sheet have been, in all respects, properly accrued in accordance with GAAP on the Company Balance Sheet, and the Company Balance Sheet reflects an adequate reserve (in accordance with GAAP) for all material Taxes accrued but unpaid by the Company through the date of the Company Balance Sheet. Since the date of the Company Balance Sheet, neither the Company nor any of its Subsidiaries has incurred, individually or in the aggregate, any liability for Taxes outside the ordinary course of business consistent with past practice other than Taxes incurred in connection with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Neither the Company nor any of its Subsidiaries has executed any waiver of any statute of limitations on, or extended the period for the assessment or collection of, any amount of Tax, in each case that has not since expired. </w:t>
      </w:r>
    </w:p>
    <w:p>
      <w:pPr>
        <w:pStyle w:val="TextBody"/>
        <w:bidi w:val="0"/>
        <w:spacing w:before="120" w:after="0"/>
        <w:jc w:val="left"/>
        <w:rPr>
          <w:rFonts w:ascii="Times New Roman" w:hAnsi="Times New Roman"/>
          <w:sz w:val="20"/>
        </w:rPr>
      </w:pPr>
      <w:r>
        <w:rPr>
          <w:rFonts w:ascii="Times New Roman" w:hAnsi="Times New Roman"/>
          <w:sz w:val="20"/>
        </w:rPr>
        <w:t>(d) No material audits or other investigations, proceedings, claims, assessments or examinations by any Governmental Entity (each, a “</w:t>
      </w:r>
      <w:r>
        <w:rPr>
          <w:rFonts w:ascii="Times New Roman" w:hAnsi="Times New Roman"/>
          <w:sz w:val="20"/>
          <w:u w:val="single"/>
        </w:rPr>
        <w:t>Tax Action</w:t>
      </w:r>
      <w:r>
        <w:rPr>
          <w:rFonts w:ascii="Times New Roman" w:hAnsi="Times New Roman"/>
          <w:sz w:val="20"/>
        </w:rPr>
        <w:t xml:space="preserve">”) with respect to Taxes or any Tax Return of the Company or any of its Subsidiaries are presently in progress or have been asserted, threatened or proposed in writing and have not been satisfied by payment in full, settled or withdrawn, and to the knowledge of the Company, no such Tax Action is being contemplated. No deficiencies or claims for a material amount of Taxes have been claimed, proposed, assessed or asserted in writing against the Company or any of its Subsidiaries by a Governmental Entity, other than any such claim, proposal, assessment or assertion that has been satisfied by payment in full, settled or withdrawn. </w:t>
      </w:r>
    </w:p>
    <w:p>
      <w:pPr>
        <w:pStyle w:val="TextBody"/>
        <w:bidi w:val="0"/>
        <w:spacing w:before="120" w:after="0"/>
        <w:jc w:val="left"/>
        <w:rPr>
          <w:rFonts w:ascii="Times New Roman" w:hAnsi="Times New Roman"/>
          <w:sz w:val="20"/>
        </w:rPr>
      </w:pPr>
      <w:r>
        <w:rPr>
          <w:rFonts w:ascii="Times New Roman" w:hAnsi="Times New Roman"/>
          <w:sz w:val="20"/>
        </w:rPr>
        <w:t xml:space="preserve">(e) Subject to exceptions as would not be material, the Company and its Subsidiaries have timely withheld all Taxes required to have been withheld from payments made (or deemed made) to its employees, independent contractors, creditors, shareholders and other third parties and, to the extent required, such Taxes have been timely paid to the relevant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(f) Neither the Company nor any of its Subsidiaries has engaged in a “listed transaction” as set forth in Treasury Regulations § 1.6011-4(b)(2). </w:t>
      </w:r>
    </w:p>
    <w:p>
      <w:pPr>
        <w:pStyle w:val="TextBody"/>
        <w:bidi w:val="0"/>
        <w:spacing w:before="120" w:after="0"/>
        <w:jc w:val="left"/>
        <w:rPr>
          <w:rFonts w:ascii="Times New Roman" w:hAnsi="Times New Roman"/>
          <w:sz w:val="20"/>
        </w:rPr>
      </w:pPr>
      <w:r>
        <w:rPr>
          <w:rFonts w:ascii="Times New Roman" w:hAnsi="Times New Roman"/>
          <w:sz w:val="20"/>
        </w:rPr>
        <w:t>(g) Neither the Company nor any of its Subsidiaries (i) is a party to or bound by, or has any liability pursuant to, any Tax sharing, allocation, indemnification or similar agreement or obligation, other than any such agreement or obligation which is a customary commercial agreement obligation entered into in the ordinary course of business with vendors, lessors, lenders or the like the primary purpose of which is unrelated to Taxes (each, an “</w:t>
      </w:r>
      <w:r>
        <w:rPr>
          <w:rFonts w:ascii="Times New Roman" w:hAnsi="Times New Roman"/>
          <w:sz w:val="20"/>
          <w:u w:val="single"/>
        </w:rPr>
        <w:t>Ordinary Course Agreement</w:t>
      </w:r>
      <w:r>
        <w:rPr>
          <w:rFonts w:ascii="Times New Roman" w:hAnsi="Times New Roman"/>
          <w:sz w:val="20"/>
        </w:rPr>
        <w:t xml:space="preserve">”); (ii) is or has been a member of a group (other than a group the common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parent of which is the Company) filing a consolidated, combined, affiliated, unitary or similar income Tax Return; (iii) has any liability for the Taxes of any Person (other than the Company or its Subsidiaries) pursuant to Treasury Regulations § 1.1502-6 (or any similar provision of state, local or non-United States Law) as a transferee or successor, by Contract or otherwise by operation of Law; or (iv) is or has been treated as a resident for any income Tax purpose, or as subject to Tax by virtue of having a permanent establishment, an office or fixed place of business, in any country other than the country in which it was or is organized or incorporated. </w:t>
      </w:r>
    </w:p>
    <w:p>
      <w:pPr>
        <w:pStyle w:val="TextBody"/>
        <w:bidi w:val="0"/>
        <w:spacing w:before="120" w:after="0"/>
        <w:jc w:val="left"/>
        <w:rPr>
          <w:rFonts w:ascii="Times New Roman" w:hAnsi="Times New Roman"/>
          <w:sz w:val="20"/>
        </w:rPr>
      </w:pPr>
      <w:r>
        <w:rPr>
          <w:rFonts w:ascii="Times New Roman" w:hAnsi="Times New Roman"/>
          <w:sz w:val="20"/>
        </w:rPr>
        <w:t xml:space="preserve">(h) No private letter rulings, technical advice memoranda, or similar material agreements or rulings have been requested, entered into or issued by any Governmental Entity with respect to the Company or any of its Subsidiaries which rulings remain in effect. </w:t>
      </w:r>
    </w:p>
    <w:p>
      <w:pPr>
        <w:pStyle w:val="TextBody"/>
        <w:bidi w:val="0"/>
        <w:spacing w:before="120" w:after="0"/>
        <w:jc w:val="left"/>
        <w:rPr>
          <w:rFonts w:ascii="Times New Roman" w:hAnsi="Times New Roman"/>
          <w:sz w:val="20"/>
        </w:rPr>
      </w:pPr>
      <w:r>
        <w:rPr>
          <w:rFonts w:ascii="Times New Roman" w:hAnsi="Times New Roman"/>
          <w:sz w:val="20"/>
        </w:rPr>
        <w:t xml:space="preserve">(i) Neither the Company nor any of its Subsidiaries will be required to include any item of income in, or exclude any item of deduction from, taxable income for any taxable period (or portion thereof) ending after the Closing Date as a result of (i) a change in, or use of improper, method of accounting requested or initiated on or prior to the Closing Date, (ii) a “closing agreement” as described in Section 7121 of the Code (or any similar provision of Law) executed on or prior to the Closing Date, (iii) an installment sale or open transaction disposition made on or prior to the Closing Date, (iv) any prepaid amount received or deferred revenue accrued on or prior to the Closing Date, other than in respect of such amounts received in the ordinary course of business or (v) to the Company’s knowledge, an intercompany transaction or excess loss amount described in Treasury Regulations under Section 1502 of the Code (or any corresponding or similar provision of state, local or foreign income Tax Law). </w:t>
      </w:r>
    </w:p>
    <w:p>
      <w:pPr>
        <w:pStyle w:val="TextBody"/>
        <w:bidi w:val="0"/>
        <w:spacing w:before="120" w:after="0"/>
        <w:jc w:val="left"/>
        <w:rPr>
          <w:rFonts w:ascii="Times New Roman" w:hAnsi="Times New Roman"/>
          <w:sz w:val="20"/>
        </w:rPr>
      </w:pPr>
      <w:r>
        <w:rPr>
          <w:rFonts w:ascii="Times New Roman" w:hAnsi="Times New Roman"/>
          <w:sz w:val="20"/>
        </w:rPr>
        <w:t xml:space="preserve">(j) There are no liens for Taxes upon any of the assets of the Company or any of its Subsidiaries other than Liens described in clause (i) of the definition of Permitted Liens. </w:t>
      </w:r>
    </w:p>
    <w:p>
      <w:pPr>
        <w:pStyle w:val="TextBody"/>
        <w:bidi w:val="0"/>
        <w:spacing w:before="120" w:after="0"/>
        <w:jc w:val="left"/>
        <w:rPr>
          <w:rFonts w:ascii="Times New Roman" w:hAnsi="Times New Roman"/>
          <w:sz w:val="20"/>
        </w:rPr>
      </w:pPr>
      <w:r>
        <w:rPr>
          <w:rFonts w:ascii="Times New Roman" w:hAnsi="Times New Roman"/>
          <w:sz w:val="20"/>
        </w:rPr>
        <w:t xml:space="preserve">(k) Neither the Company nor any of its Subsidiaries has distributed stock of another Person or has had its stock distributed by another Person, in a transaction (or series of transactions) that was purported or intended to be governed in whole or in part by Sections 355 or 361 of the Code. </w:t>
      </w:r>
    </w:p>
    <w:p>
      <w:pPr>
        <w:pStyle w:val="TextBody"/>
        <w:bidi w:val="0"/>
        <w:spacing w:before="120" w:after="0"/>
        <w:jc w:val="left"/>
        <w:rPr>
          <w:rFonts w:ascii="Times New Roman" w:hAnsi="Times New Roman"/>
          <w:sz w:val="20"/>
        </w:rPr>
      </w:pPr>
      <w:r>
        <w:rPr>
          <w:rFonts w:ascii="Times New Roman" w:hAnsi="Times New Roman"/>
          <w:sz w:val="20"/>
        </w:rPr>
        <w:t xml:space="preserve">(l) Neither the Company nor any of its Subsidiaries has been a United States real property holding corporation, as defined in Section 897(c)(2) of the Code during the applicable period specified in Section 897(c)(1)(A)(ii) of the Code. </w:t>
      </w:r>
    </w:p>
    <w:p>
      <w:pPr>
        <w:pStyle w:val="TextBody"/>
        <w:bidi w:val="0"/>
        <w:spacing w:before="120" w:after="0"/>
        <w:jc w:val="left"/>
        <w:rPr>
          <w:rFonts w:ascii="Times New Roman" w:hAnsi="Times New Roman"/>
          <w:sz w:val="20"/>
        </w:rPr>
      </w:pPr>
      <w:r>
        <w:rPr>
          <w:rFonts w:ascii="Times New Roman" w:hAnsi="Times New Roman"/>
          <w:sz w:val="20"/>
        </w:rPr>
        <w:t xml:space="preserve">(m) No material claim has been made in writing by any Governmental Entity in a jurisdiction where the Company or any of its Subsidiaries does not currently file a Tax Return of a certain type or pay Taxes of a certain type that the Company is or may be subject to taxation by such jurisdiction of such type. </w:t>
      </w:r>
    </w:p>
    <w:p>
      <w:pPr>
        <w:pStyle w:val="TextBody"/>
        <w:bidi w:val="0"/>
        <w:spacing w:before="120" w:after="0"/>
        <w:jc w:val="left"/>
        <w:rPr>
          <w:rFonts w:ascii="Times New Roman" w:hAnsi="Times New Roman"/>
          <w:sz w:val="20"/>
        </w:rPr>
      </w:pPr>
      <w:r>
        <w:rPr>
          <w:rFonts w:ascii="Times New Roman" w:hAnsi="Times New Roman"/>
          <w:sz w:val="20"/>
        </w:rPr>
        <w:t xml:space="preserve">(n) There are no outstanding shares of Company stock issued in connection with the performance of services (within the meaning of Section 83 of the Code) that immediately prior to the First Effective Time are subject to a substantial risk of forfeiture (as such terms are defined in Section 83 of the Code) for which a valid election under Section 83(b) of the Code has not been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To the Company’s knowledge, neither the Company nor any of its Subsidiaries has been, is, or immediately prior to the First Effective Time will be, treated as an “investment company” within the meaning of Section 368(a)(2)(F) of the Code. </w:t>
      </w:r>
    </w:p>
    <w:p>
      <w:pPr>
        <w:pStyle w:val="TextBody"/>
        <w:bidi w:val="0"/>
        <w:spacing w:before="120" w:after="0"/>
        <w:jc w:val="left"/>
        <w:rPr>
          <w:rFonts w:ascii="Times New Roman" w:hAnsi="Times New Roman"/>
          <w:sz w:val="20"/>
        </w:rPr>
      </w:pPr>
      <w:r>
        <w:rPr>
          <w:rFonts w:ascii="Times New Roman" w:hAnsi="Times New Roman"/>
          <w:sz w:val="20"/>
        </w:rPr>
        <w:t xml:space="preserve">(p) Neither the Company nor any of its Subsidiaries has taken, or failed to take, any action nor knows of any fact or circumstance that, in each case, could reasonably be expected to prevent or impede the Merger from qualifying as a transaction qualifying for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4.15</w:t>
      </w:r>
      <w:r>
        <w:rPr>
          <w:rFonts w:ascii="Times New Roman" w:hAnsi="Times New Roman"/>
          <w:sz w:val="20"/>
        </w:rPr>
        <w:t xml:space="preserve">, where the context permits, each reference to the Company shall include a reference to any person for whose Taxes the Company is liable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4.16 </w:t>
      </w:r>
      <w:r>
        <w:rPr>
          <w:rFonts w:ascii="Times New Roman" w:hAnsi="Times New Roman"/>
          <w:sz w:val="20"/>
          <w:u w:val="single"/>
        </w:rPr>
        <w:t>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4.16(a)</w:t>
      </w:r>
      <w:r>
        <w:rPr>
          <w:rFonts w:ascii="Times New Roman" w:hAnsi="Times New Roman"/>
          <w:sz w:val="20"/>
        </w:rPr>
        <w:t xml:space="preserve"> of the Company Disclosure Letter sets forth each contract that, as of the date of this Agreement, that would constitute a “material contract” (as such term is defined in Item 601(b)(10) of Regulation S-K under the Securities Act), with respect to the Company (assuming the Company were subject to the requirements of the Exchange Act) (all such contracts, in addition to those set forth in </w:t>
      </w:r>
      <w:r>
        <w:rPr>
          <w:rFonts w:ascii="Times New Roman" w:hAnsi="Times New Roman"/>
          <w:sz w:val="20"/>
          <w:u w:val="single"/>
        </w:rPr>
        <w:t>Section 4.16(b)</w:t>
      </w:r>
      <w:r>
        <w:rPr>
          <w:rFonts w:ascii="Times New Roman" w:hAnsi="Times New Roman"/>
          <w:sz w:val="20"/>
        </w:rPr>
        <w:t xml:space="preserve"> of the Company Disclosure Letter, but excluding any Company Plans, “</w:t>
      </w:r>
      <w:r>
        <w:rPr>
          <w:rFonts w:ascii="Times New Roman" w:hAnsi="Times New Roman"/>
          <w:sz w:val="20"/>
          <w:u w:val="single"/>
        </w:rPr>
        <w:t>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4.16(b)</w:t>
      </w:r>
      <w:r>
        <w:rPr>
          <w:rFonts w:ascii="Times New Roman" w:hAnsi="Times New Roman"/>
          <w:sz w:val="20"/>
        </w:rPr>
        <w:t xml:space="preserve"> of the Company Disclosure Letter lists the following contracts, in effect as of the date of this Agreement, which involve payment or receipt by the Company in excess of $500,000 in the aggregate, which for the purposes of this Agreement shall be considered Material Contracts: </w:t>
      </w:r>
    </w:p>
    <w:p>
      <w:pPr>
        <w:pStyle w:val="TextBody"/>
        <w:bidi w:val="0"/>
        <w:spacing w:before="120" w:after="0"/>
        <w:jc w:val="left"/>
        <w:rPr>
          <w:rFonts w:ascii="Times New Roman" w:hAnsi="Times New Roman"/>
          <w:sz w:val="20"/>
        </w:rPr>
      </w:pPr>
      <w:r>
        <w:rPr>
          <w:rFonts w:ascii="Times New Roman" w:hAnsi="Times New Roman"/>
          <w:sz w:val="20"/>
        </w:rPr>
        <w:t xml:space="preserve">(i) each Contract relating to any agreement for indemnification or guaranty not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(ii) each Contract containing (A) any covenant prohibiting the Company or the Surviving Entity from engaging in any line of business or competing with any Person, or limiting the development, manufacture or distribution of the Surviving Entity’s products or services, (B) any most-favored pricing arrangement, (C) any exclusivity provision in favor of a third party, or (D) any non-solicitation provision applicable to the Company, in the case of the foregoing clause (D), which are material to the Company,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(iii) each Contract relating to capital expenditures and requiring payments after the date of this Agreement pursuant to its express terms and not cancelable without penalty; </w:t>
      </w:r>
    </w:p>
    <w:p>
      <w:pPr>
        <w:pStyle w:val="TextBody"/>
        <w:bidi w:val="0"/>
        <w:spacing w:before="120" w:after="0"/>
        <w:jc w:val="left"/>
        <w:rPr>
          <w:rFonts w:ascii="Times New Roman" w:hAnsi="Times New Roman"/>
          <w:sz w:val="20"/>
        </w:rPr>
      </w:pPr>
      <w:r>
        <w:rPr>
          <w:rFonts w:ascii="Times New Roman" w:hAnsi="Times New Roman"/>
          <w:sz w:val="20"/>
        </w:rPr>
        <w:t xml:space="preserve">(iv) each Contract relating to the disposition or acquisition of material assets or any ownership interest in any Person; </w:t>
      </w:r>
    </w:p>
    <w:p>
      <w:pPr>
        <w:pStyle w:val="TextBody"/>
        <w:bidi w:val="0"/>
        <w:spacing w:before="120" w:after="0"/>
        <w:jc w:val="left"/>
        <w:rPr>
          <w:rFonts w:ascii="Times New Roman" w:hAnsi="Times New Roman"/>
          <w:sz w:val="20"/>
        </w:rPr>
      </w:pPr>
      <w:r>
        <w:rPr>
          <w:rFonts w:ascii="Times New Roman" w:hAnsi="Times New Roman"/>
          <w:sz w:val="20"/>
        </w:rPr>
        <w:t xml:space="preserve">(v) each Contract relating to any mortgages, indentures, loans, notes or credit agreements, security agreements or other agreements or instruments relating to the borrowing of money or extension of credit or creating any material Liens with respect to any assets of the Company or any loans or debt obligations with officers or directors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(A) any Contract involving supply or distribution (identifying any that contain exclusivity provisions), (B) any Contract involving provision of services or products with respect to any pre-clinical or clinical development activities of the Company, (C) any Contract involving a dealer, distributor, joint marketing, alliance, joint venture, cooperation, development or other Contract currently in force under which the Company has continuing obligations to develop or market any product, technology or service, or any Contract pursuant to which the Company has continuing obligations to develop any Intellectual Property that will not be owned, in whole or in part, by the Company or (D) any Contract to license any patent, trademark registration, service mark registration, trade name or copyright registration to or from any third party to manufacture or produce any product, service or technology of the Company or any Contract to sell, distribute or commercialize any products or service of the Company, in each case, except for Contracts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(vii) each license or other Contract pursuant to which Company is or may become obligated to make any royalty, milestone or other similar contingent payment; </w:t>
      </w:r>
    </w:p>
    <w:p>
      <w:pPr>
        <w:pStyle w:val="TextBody"/>
        <w:bidi w:val="0"/>
        <w:spacing w:before="120" w:after="0"/>
        <w:jc w:val="left"/>
        <w:rPr>
          <w:rFonts w:ascii="Times New Roman" w:hAnsi="Times New Roman"/>
          <w:sz w:val="20"/>
        </w:rPr>
      </w:pPr>
      <w:r>
        <w:rPr>
          <w:rFonts w:ascii="Times New Roman" w:hAnsi="Times New Roman"/>
          <w:sz w:val="20"/>
        </w:rPr>
        <w:t xml:space="preserve">(viii) each Contract with any Person, including any financial advisor, broker, finder, investment banker or other Person, providing advisory services to the Company in connection with the transactions contemplated hereby; and </w:t>
      </w:r>
    </w:p>
    <w:p>
      <w:pPr>
        <w:pStyle w:val="TextBody"/>
        <w:bidi w:val="0"/>
        <w:spacing w:before="120" w:after="0"/>
        <w:jc w:val="left"/>
        <w:rPr>
          <w:rFonts w:ascii="Times New Roman" w:hAnsi="Times New Roman"/>
          <w:sz w:val="20"/>
        </w:rPr>
      </w:pPr>
      <w:r>
        <w:rPr>
          <w:rFonts w:ascii="Times New Roman" w:hAnsi="Times New Roman"/>
          <w:sz w:val="20"/>
        </w:rPr>
        <w:t xml:space="preserve">(ix) each Contract relating to leases of real properties with respect to which the Company directly or indirectly holds a valid leasehold interest as well as any other real estate that is in the possession of or leased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(c) (i) Each Material Contract is valid and binding on the Company, and to the knowledge of the Company, each other party thereto, and is in full force and effect and enforceable in accordance with its terms; and (ii) as of the date of this Agreement, the Company has not receive any written notice of any material default under any Material Contract by the Company or of any event or condition that has occurred that constitutes, or, after notice or lapse of time or both, would constitute, a material default on the part of the Company. The Company has made available to Parent true and complete copies of all Material Contracts, including all amendments thereto. Except as set forth in </w:t>
      </w:r>
      <w:r>
        <w:rPr>
          <w:rFonts w:ascii="Times New Roman" w:hAnsi="Times New Roman"/>
          <w:sz w:val="20"/>
          <w:u w:val="single"/>
        </w:rPr>
        <w:t>Section 4.16</w:t>
      </w:r>
      <w:r>
        <w:rPr>
          <w:rFonts w:ascii="Times New Roman" w:hAnsi="Times New Roman"/>
          <w:sz w:val="20"/>
        </w:rPr>
        <w:t xml:space="preserve"> of the Company Disclosure Letter, there are no Material Contracts that are not in written form. </w:t>
      </w:r>
    </w:p>
    <w:p>
      <w:pPr>
        <w:pStyle w:val="TextBody"/>
        <w:bidi w:val="0"/>
        <w:spacing w:before="240" w:after="0"/>
        <w:jc w:val="left"/>
        <w:rPr>
          <w:rFonts w:ascii="Times New Roman" w:hAnsi="Times New Roman"/>
          <w:sz w:val="20"/>
        </w:rPr>
      </w:pPr>
      <w:r>
        <w:rPr>
          <w:rFonts w:ascii="Times New Roman" w:hAnsi="Times New Roman"/>
          <w:sz w:val="20"/>
        </w:rPr>
        <w:t xml:space="preserve">Section 4.17 </w:t>
      </w:r>
      <w:r>
        <w:rPr>
          <w:rFonts w:ascii="Times New Roman" w:hAnsi="Times New Roman"/>
          <w:sz w:val="20"/>
          <w:u w:val="single"/>
        </w:rPr>
        <w:t>Insurance</w:t>
      </w:r>
      <w:r>
        <w:rPr>
          <w:rFonts w:ascii="Times New Roman" w:hAnsi="Times New Roman"/>
          <w:sz w:val="20"/>
        </w:rPr>
        <w:t xml:space="preserve">. Each of the Company and its Subsidiaries is covered by valid and currently effective insurance policies issued in favor of the Company or its Subsidiaries that are customary and adequate for companies of similar size in the industries and locations in which the Company and its Subsidiaries operate. </w:t>
      </w:r>
      <w:r>
        <w:rPr>
          <w:rFonts w:ascii="Times New Roman" w:hAnsi="Times New Roman"/>
          <w:sz w:val="20"/>
          <w:u w:val="single"/>
        </w:rPr>
        <w:t>Section 4.17</w:t>
      </w:r>
      <w:r>
        <w:rPr>
          <w:rFonts w:ascii="Times New Roman" w:hAnsi="Times New Roman"/>
          <w:sz w:val="20"/>
        </w:rPr>
        <w:t xml:space="preserve"> of the Company Disclosure Letter sets forth, as of the date hereof, a true and complete list of all material insurance policies issued in favor of the Company or any of its Subsidiaries, or pursuant to which the Company or any of its Subsidiaries is a named insured or otherwise a beneficiary, as well as any historic incurrence-based policies still in force. With respect to each such insurance policy, (a) such policy is in full force and effect and all premiums due thereon have been paid, (b) neither the Company nor any of its Subsidiaries is in breach or default, and has not taken any action or failed to take any action which (with or without notice or lapse of time, or both) would constitute such a breach or default, or would permit termination or modification of, any such policy and (c) to the knowledge of the Company, no insurer issuing any such policy has been declared insolvent or placed in receivership, conservatorship or liquidation. No notice of cancellation or termination has been received with respect to any such policy, nor will any such cancellation or termination result from the consummation of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4.18 </w:t>
      </w:r>
      <w:r>
        <w:rPr>
          <w:rFonts w:ascii="Times New Roman" w:hAnsi="Times New Roman"/>
          <w:sz w:val="20"/>
          <w:u w:val="single"/>
        </w:rPr>
        <w:t>Properties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Company or one of its Subsidiaries has good and valid title to, or in the case of leased property and leased tangible assets, a valid leasehold interest in, all of its real properties and tangible assets that are necessary for the Company and its Subsidiaries to conduct their respective businesses as currently conducted, free and clear of all Liens other than (i) Liens for Taxes and assessments not yet due and payable or the amount or validity of which is being contested in good faith by appropriate proceedings, (ii) mechanics’, workmen’s, repairmen’s, warehousemen’s and carriers’ Liens arising in the ordinary course of business of the Company and its Subsidiaries consistent with past practice and (iii) any such matters of record, Liens and other imperfections of title that do not, individually or in the aggregate, materially impair the continued ownership, use and operation of the assets to which they relate in the business of the Company and its Subsidiaries as currently conducted (“</w:t>
      </w:r>
      <w:r>
        <w:rPr>
          <w:rFonts w:ascii="Times New Roman" w:hAnsi="Times New Roman"/>
          <w:sz w:val="20"/>
          <w:u w:val="single"/>
        </w:rPr>
        <w:t>Permitted Liens</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 Except as has not had and would not reasonably be expected to have, individually or in the aggregate, a Material Adverse Effect, the tangible personal property currently used in the operation of the business of the Company and its Subsidiaries is in good working order (reasonable wear and tear excepted). </w:t>
      </w:r>
    </w:p>
    <w:p>
      <w:pPr>
        <w:pStyle w:val="TextBody"/>
        <w:bidi w:val="0"/>
        <w:spacing w:before="120" w:after="0"/>
        <w:jc w:val="left"/>
        <w:rPr>
          <w:rFonts w:ascii="Times New Roman" w:hAnsi="Times New Roman"/>
          <w:sz w:val="20"/>
        </w:rPr>
      </w:pPr>
      <w:r>
        <w:rPr>
          <w:rFonts w:ascii="Times New Roman" w:hAnsi="Times New Roman"/>
          <w:sz w:val="20"/>
        </w:rPr>
        <w:t xml:space="preserve">(b) Each of the Company and its Subsidiaries has complied with the terms of all leases to which it is a party, and all such leases are in full force and effect, except for any such noncompliance or failure to be in full force and effect that, individually or in the aggregate, has not had and would not reasonably be expected to have a Material Adverse Effect. Each of the Company and its Subsidiaries enjoys peaceful and undisturbed possession under all such leases, except for any such failure to do so that, individually or in the aggregate, has not had and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4.18(c)</w:t>
      </w:r>
      <w:r>
        <w:rPr>
          <w:rFonts w:ascii="Times New Roman" w:hAnsi="Times New Roman"/>
          <w:sz w:val="20"/>
        </w:rPr>
        <w:t xml:space="preserve"> of the Company Disclosure Letter sets forth a true and complete list of (i) all real property owned by the Company or any of its Subsidiaries and (ii) all real property leased for the benefit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(d) This </w:t>
      </w:r>
      <w:r>
        <w:rPr>
          <w:rFonts w:ascii="Times New Roman" w:hAnsi="Times New Roman"/>
          <w:sz w:val="20"/>
          <w:u w:val="single"/>
        </w:rPr>
        <w:t>Section 4.18</w:t>
      </w:r>
      <w:r>
        <w:rPr>
          <w:rFonts w:ascii="Times New Roman" w:hAnsi="Times New Roman"/>
          <w:sz w:val="20"/>
        </w:rPr>
        <w:t xml:space="preserve"> does not relate to intellectual property, which is the subject of </w:t>
      </w:r>
      <w:r>
        <w:rPr>
          <w:rFonts w:ascii="Times New Roman" w:hAnsi="Times New Roman"/>
          <w:sz w:val="20"/>
          <w:u w:val="single"/>
        </w:rPr>
        <w:t>Section 4.19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4.19 </w:t>
      </w:r>
      <w:r>
        <w:rPr>
          <w:rFonts w:ascii="Times New Roman" w:hAnsi="Times New Roman"/>
          <w:sz w:val="20"/>
          <w:u w:val="single"/>
        </w:rPr>
        <w:t>Intellectual Property; Privacy and Security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4.19(a)</w:t>
      </w:r>
      <w:r>
        <w:rPr>
          <w:rFonts w:ascii="Times New Roman" w:hAnsi="Times New Roman"/>
          <w:sz w:val="20"/>
        </w:rPr>
        <w:t xml:space="preserve"> of the Company Disclosure Letter accurately identifies (i) all contracts pursuant to which any Intellectual Property is licensed to the Company or any of its Subsidiaries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the products and services of the Company or any of its Subsidiaries, (B) any Intellectual Property licensed on a nonexclusive basis ancillary to the purchase or use of equipment, reagents or other materials, (C) any confidential information provided under confidentiality agreements and (D) agreements between the Company or any of its Subsidiaries and its employees in the Company’s standard form thereof), (ii) whether such contract involves the Company Registered IP licensed to the Company or any of its Subsidiaries and (iii) whether the license or licenses granted to the Company or any of its Subsidiaries are exclusive or nonexclusive.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4.19(b)</w:t>
      </w:r>
      <w:r>
        <w:rPr>
          <w:rFonts w:ascii="Times New Roman" w:hAnsi="Times New Roman"/>
          <w:sz w:val="20"/>
        </w:rPr>
        <w:t xml:space="preserve"> if the Company Disclosure Letter accurately identifies each of the Company’s contracts pursuant to which any Person has been granted any license or covenant not sue under, or otherwise has received or acquired any right (whether or not currently exercisable) or interest in, any Company Registered IP (other than (i) any confidential information provided under confidentiality agreements and (ii) any Company Registered IP nonexclusively licensed to academic collaborators, suppliers, distributors, manufacturers, service providers or the like for the sole purpose of enabling such academic collaborator, supplier, manufacturer or service provider to provide services for the Company’s benefit). </w:t>
      </w:r>
    </w:p>
    <w:p>
      <w:pPr>
        <w:pStyle w:val="TextBody"/>
        <w:bidi w:val="0"/>
        <w:spacing w:before="120" w:after="0"/>
        <w:jc w:val="left"/>
        <w:rPr>
          <w:rFonts w:ascii="Times New Roman" w:hAnsi="Times New Roman"/>
          <w:sz w:val="20"/>
        </w:rPr>
      </w:pPr>
      <w:r>
        <w:rPr>
          <w:rFonts w:ascii="Times New Roman" w:hAnsi="Times New Roman"/>
          <w:sz w:val="20"/>
        </w:rPr>
        <w:t xml:space="preserve">(c) To the knowledge of the Company, the Company Registered IP constitutes all Intellectual Property necessary for the Company to conduct its business as currently conducted;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representation is not a representation with respect to non-infringement of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(d) The Company and its Subsidiaries have taken commercially reasonable measures to maintain the confidentiality of all information that constitutes or constituted a material Trade Secret of the Company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(e) Except as, individually or in the aggregate, has not had and would not reasonably be expected to have a Material Adverse Effect, (i) to the knowledge of the Company, the conduct of the businesses of the Company and its Subsidiaries, including the manufacture, marketing, offering for sale, sale, importation, use or intended use or other disposal of any product as currently sold or under development by Company or any of its Subsidiaries, has not infringed, misappropriated or diluted, and does not infringe, misappropriate or dilute, any Intellectual Property of any Person, (ii) neither the Company nor any of its Subsidiaries have received any written notice or claim asserting or suggesting that any such infringement, misappropriation, or dilution is or may be occurring or has or may have occurred and (iii) to the knowledge of the Company, no Person is infringing, misappropriating, or diluting in any material respect any Company Registered IP. </w:t>
      </w:r>
    </w:p>
    <w:p>
      <w:pPr>
        <w:pStyle w:val="TextBody"/>
        <w:bidi w:val="0"/>
        <w:spacing w:before="120" w:after="0"/>
        <w:jc w:val="left"/>
        <w:rPr>
          <w:rFonts w:ascii="Times New Roman" w:hAnsi="Times New Roman"/>
          <w:sz w:val="20"/>
        </w:rPr>
      </w:pPr>
      <w:r>
        <w:rPr>
          <w:rFonts w:ascii="Times New Roman" w:hAnsi="Times New Roman"/>
          <w:sz w:val="20"/>
        </w:rPr>
        <w:t>(f) The Company and its Subsidiaries have taken commercially reasonable steps designed to protect the security of the computer and information technology systems used or held for use by the Company or any of its Subsidiaries in the operation of its business as currently conducted (the “</w:t>
      </w:r>
      <w:r>
        <w:rPr>
          <w:rFonts w:ascii="Times New Roman" w:hAnsi="Times New Roman"/>
          <w:sz w:val="20"/>
          <w:u w:val="single"/>
        </w:rPr>
        <w:t>IT Systems</w:t>
      </w:r>
      <w:r>
        <w:rPr>
          <w:rFonts w:ascii="Times New Roman" w:hAnsi="Times New Roman"/>
          <w:sz w:val="20"/>
        </w:rPr>
        <w:t xml:space="preserve">”), and protect the confidentiality and security of the information stored or contained therein or transmitted thereby. The IT Systems are adequate for, and operate and perform in all material respects as required in connection with, the operation of the businesses of the Company and its Subsidiaries as currently conducted, and since January 1, 2023 (i) there has been no material unauthorized or improper use, loss, access, transmittal, modification or corruption of any such information or data (including any ransomware or cyber-extortion event) and (ii) there have been no material failures, crashes, or viruses affecting the IT Systems. Except as would not reasonably be expected to result in a Material Adverse Effect, the Company and its Subsidiaries maintain commercially reasonable backup, business continuity and disaster recovery plans and procedures with respect to the IT Systems, and neither the Company nor any of its Subsidiaries has paid any ransom or made any other payment to any threat actor in connection with any actual or threatened ransomware or cyber-extortion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 To the knowledge of Company, the Company and its Subsidiaries have since January 1, 2023 complied in all material respects with all applicable Laws, published privacy policies and contractual obligations relating to privacy, data protection, and the collection, retention, protection, security and use of information that alone or in combination with other information can be used to identify an individual, household or device, or that otherwise constitutes “personal data,” “personal information,” “personally identifiable information,” or any similar term under any applicable Law (“</w:t>
      </w:r>
      <w:r>
        <w:rPr>
          <w:rFonts w:ascii="Times New Roman" w:hAnsi="Times New Roman"/>
          <w:sz w:val="20"/>
          <w:u w:val="single"/>
        </w:rPr>
        <w:t>Personal Information</w:t>
      </w:r>
      <w:r>
        <w:rPr>
          <w:rFonts w:ascii="Times New Roman" w:hAnsi="Times New Roman"/>
          <w:sz w:val="20"/>
        </w:rPr>
        <w:t>”) collected, used, or held for use by the Company or any of its Subsidiaries (collectively, “</w:t>
      </w:r>
      <w:r>
        <w:rPr>
          <w:rFonts w:ascii="Times New Roman" w:hAnsi="Times New Roman"/>
          <w:sz w:val="20"/>
          <w:u w:val="single"/>
        </w:rPr>
        <w:t>Privacy Laws</w:t>
      </w:r>
      <w:r>
        <w:rPr>
          <w:rFonts w:ascii="Times New Roman" w:hAnsi="Times New Roman"/>
          <w:sz w:val="20"/>
        </w:rPr>
        <w:t>”). Since January 1, 2023, no material claims have been asserted or, to the knowledge of the Company, threatened in writing against the Company or any of its Subsidiaries alleging a violation of any Person’s privacy or Personal Information. Neither this Agreement nor the consummation of the transactions contemplated hereby will materially breach or otherwise violate any Privacy Laws. The Company and its Subsidiaries have taken commercially reasonable steps designed to protect the Personal Information collected, used or held for use by the Company or any of its Subsidiaries against loss and unauthorized access, use, modification or disclosure, or other misuse. The Company and its Subsidiaries have contractually obligated all vendors, processors, service providers and other Persons, in each case, that collects, uses or otherwise processes Personal Information by or for the Company or any of its Subsidiaries (“</w:t>
      </w:r>
      <w:r>
        <w:rPr>
          <w:rFonts w:ascii="Times New Roman" w:hAnsi="Times New Roman"/>
          <w:sz w:val="20"/>
          <w:u w:val="single"/>
        </w:rPr>
        <w:t>Data Processors</w:t>
      </w:r>
      <w:r>
        <w:rPr>
          <w:rFonts w:ascii="Times New Roman" w:hAnsi="Times New Roman"/>
          <w:sz w:val="20"/>
        </w:rPr>
        <w:t xml:space="preserve">”) to comply with applicable Privacy Laws and to take reasonable measures to protect Personal Information from unauthorized, access, use or disclosure. To the knowledge of the Company, no Data Processors have failed to comply with Privacy Laws with respect to the Personal Information processed on behalf of the Company or its Subsidiaries. </w:t>
      </w:r>
    </w:p>
    <w:p>
      <w:pPr>
        <w:pStyle w:val="TextBody"/>
        <w:bidi w:val="0"/>
        <w:spacing w:before="120" w:after="0"/>
        <w:jc w:val="left"/>
        <w:rPr>
          <w:rFonts w:ascii="Times New Roman" w:hAnsi="Times New Roman"/>
          <w:sz w:val="20"/>
        </w:rPr>
      </w:pPr>
      <w:r>
        <w:rPr>
          <w:rFonts w:ascii="Times New Roman" w:hAnsi="Times New Roman"/>
          <w:sz w:val="20"/>
        </w:rPr>
        <w:t>(h) Since January 1, 2023, to the knowledge of the Company, neither Company nor any of its Subsidiaries has (A) experienced any material Security Incident, (B) been required under any applicable Privacy Law or contractual obligation to notify any Person or Governmental Entity of any Security Incident, or made any such notification, or (C) received any written notice, request, complaint, subpoena, audit, inquiry or investigation from any Governmental Entity relating to the processing of Personal Information by or on behalf of the Company or any of its Subsidiaries or the Company’s or any of its Subsidiaries’ compliance with any Privacy Law. For purposes of this Agreement, “</w:t>
      </w:r>
      <w:r>
        <w:rPr>
          <w:rFonts w:ascii="Times New Roman" w:hAnsi="Times New Roman"/>
          <w:sz w:val="20"/>
          <w:u w:val="single"/>
        </w:rPr>
        <w:t>Security Incident</w:t>
      </w:r>
      <w:r>
        <w:rPr>
          <w:rFonts w:ascii="Times New Roman" w:hAnsi="Times New Roman"/>
          <w:sz w:val="20"/>
        </w:rPr>
        <w:t xml:space="preserve">” means any unauthorized, accidental or unlawful access to, or acquisition, use, loss, destruction, modification, corruption or disclosure of, any Personal Information or any other confidential information or confidential data stored or contained in, or transmitted by, the IT Systems, or the Company IT Systems, as applicable, including any ransomware or cyber-extortion event. The Company and its Subsidiaries have obtained all consents, authorizations and permissions from, and provided all notices to, individuals required in all material respects under applicable Privacy Laws for the collection, use, transfer and other processing of Personal Information as currently conducted by or on behalf of the Company and its Subsidiaries, and no such consent, authorization or permission has been withdrawn in a manner that would materially impair the conduct of the businesses of the Company and its Subsidiaries. To the knowledge of the Company, all transfers of Personal Information by or on behalf of the Company or any of its Subsidiaries across national borders have been made in compliance in all material respects with applicable Privacy Laws, including pursuant to valid cross-border data transfer mechanisms where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To the knowledge of the Company, no government funding, facilities or resources of a university, college, other educational institution or research center or funding from third parties was used in the development of Company Owned IP or any Intellectual Property, exclusively licensed to the Company or any of its Subsidiaries, and no Governmental Entity, university, college, other educational institution or research center has, to the knowledge of the Company, any claim or right in or to such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(j) Except as set forth on </w:t>
      </w:r>
      <w:r>
        <w:rPr>
          <w:rFonts w:ascii="Times New Roman" w:hAnsi="Times New Roman"/>
          <w:sz w:val="20"/>
          <w:u w:val="single"/>
        </w:rPr>
        <w:t>Section 4.19(j)</w:t>
      </w:r>
      <w:r>
        <w:rPr>
          <w:rFonts w:ascii="Times New Roman" w:hAnsi="Times New Roman"/>
          <w:sz w:val="20"/>
        </w:rPr>
        <w:t xml:space="preserve"> of the Company Disclosure Letter, the execution, delivery and performance by the Company of this Agreement, and the consummation of the transactions contemplated hereby, will not result in the loss of, or give rise to any right of any third party to terminate or modify any of the rights or obligations of the Company or any of its Subsidiaries under any agreement under which the Company or any of its Subsidiaries grants to any Person, or any Person grants to the Company or any of its Subsidiaries, a license or right under or with respect to any Intellectual Property that is material to any of the businesses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4.20 </w:t>
      </w:r>
      <w:r>
        <w:rPr>
          <w:rFonts w:ascii="Times New Roman" w:hAnsi="Times New Roman"/>
          <w:sz w:val="20"/>
          <w:u w:val="single"/>
        </w:rPr>
        <w:t>State Takeover Statutes</w:t>
      </w:r>
      <w:r>
        <w:rPr>
          <w:rFonts w:ascii="Times New Roman" w:hAnsi="Times New Roman"/>
          <w:sz w:val="20"/>
        </w:rPr>
        <w:t>. As of the date hereof and at all times on or prior to the First Effective Time, the Company Board has taken all actions so that the restrictions applicable to business combinations contained in Section 203 of the DGCL are, and will be, inapplicable to the execution, delivery and performance of this Agreement and the timely consummation of the Merger and the other transactions contemplated hereby and will not restrict, impair or delay the ability of Parent or Merger Subs, after the First Effective Time, to vote or otherwise exercise all rights as a stockholder of the Company. No other “moratorium,” “fair price,” “business combination,” “control share acquisition” or similar provision of any state anti-takeover Law (collectively, “</w:t>
      </w:r>
      <w:r>
        <w:rPr>
          <w:rFonts w:ascii="Times New Roman" w:hAnsi="Times New Roman"/>
          <w:sz w:val="20"/>
          <w:u w:val="single"/>
        </w:rPr>
        <w:t>Takeover Laws</w:t>
      </w:r>
      <w:r>
        <w:rPr>
          <w:rFonts w:ascii="Times New Roman" w:hAnsi="Times New Roman"/>
          <w:sz w:val="20"/>
        </w:rPr>
        <w:t xml:space="preserve">”) or any similar anti-takeover provision in the Company Charter or Company Bylaws is, or at the First Effective Time will be, applicable to this Agreement, the Merger or any of the other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4.21 </w:t>
      </w:r>
      <w:r>
        <w:rPr>
          <w:rFonts w:ascii="Times New Roman" w:hAnsi="Times New Roman"/>
          <w:sz w:val="20"/>
          <w:u w:val="single"/>
        </w:rPr>
        <w:t>No Rights Plan</w:t>
      </w:r>
      <w:r>
        <w:rPr>
          <w:rFonts w:ascii="Times New Roman" w:hAnsi="Times New Roman"/>
          <w:sz w:val="20"/>
        </w:rPr>
        <w:t xml:space="preserve">. There is no stockholder rights plan, “poison pill” anti-takeover plan or other similar device in effect to which the Company or any of its Subsidiaries is a party or is otherwise bound. </w:t>
      </w:r>
    </w:p>
    <w:p>
      <w:pPr>
        <w:pStyle w:val="TextBody"/>
        <w:bidi w:val="0"/>
        <w:spacing w:before="240" w:after="0"/>
        <w:jc w:val="left"/>
        <w:rPr>
          <w:rFonts w:ascii="Times New Roman" w:hAnsi="Times New Roman"/>
          <w:sz w:val="20"/>
        </w:rPr>
      </w:pPr>
      <w:r>
        <w:rPr>
          <w:rFonts w:ascii="Times New Roman" w:hAnsi="Times New Roman"/>
          <w:sz w:val="20"/>
        </w:rPr>
        <w:t xml:space="preserve">Section 4.22 </w:t>
      </w:r>
      <w:r>
        <w:rPr>
          <w:rFonts w:ascii="Times New Roman" w:hAnsi="Times New Roman"/>
          <w:sz w:val="20"/>
          <w:u w:val="single"/>
        </w:rPr>
        <w:t>Related Party Transactions</w:t>
      </w:r>
      <w:r>
        <w:rPr>
          <w:rFonts w:ascii="Times New Roman" w:hAnsi="Times New Roman"/>
          <w:sz w:val="20"/>
        </w:rPr>
        <w:t xml:space="preserve">. Except as set forth on </w:t>
      </w:r>
      <w:r>
        <w:rPr>
          <w:rFonts w:ascii="Times New Roman" w:hAnsi="Times New Roman"/>
          <w:sz w:val="20"/>
          <w:u w:val="single"/>
        </w:rPr>
        <w:t>Section 4.22</w:t>
      </w:r>
      <w:r>
        <w:rPr>
          <w:rFonts w:ascii="Times New Roman" w:hAnsi="Times New Roman"/>
          <w:sz w:val="20"/>
        </w:rPr>
        <w:t xml:space="preserve"> of the Company Disclosure Letter, since January 1, 2024 through the date of this Agreement, there have been no transactions, agreements, arrangements or understandings between the Company or any of its Subsidiaries, on the one hand, and the Affiliates of the Company or any of its Subsidiaries, on the other hand that would be required to be disclosed under Item 404 of Regulation S-K under the Securities Act (assuming the Company and its Subsidiaries were subject to the requirements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4.23 </w:t>
      </w:r>
      <w:r>
        <w:rPr>
          <w:rFonts w:ascii="Times New Roman" w:hAnsi="Times New Roman"/>
          <w:sz w:val="20"/>
          <w:u w:val="single"/>
        </w:rPr>
        <w:t>Certain Payments</w:t>
      </w:r>
      <w:r>
        <w:rPr>
          <w:rFonts w:ascii="Times New Roman" w:hAnsi="Times New Roman"/>
          <w:sz w:val="20"/>
        </w:rPr>
        <w:t>. For the five (5) years immediately preceding the date hereof, neither the Company nor any of its Subsidiaries nor any of their respective directors, executives or employees, or to the knowledge of the Company, representatives or agents (in each case, while acting for or on behalf of the Company or any of its Subsidiaries) (a) has used or is using any funds for any illegal contributions, gifts, entertainment or other unlawful expenses relating to political activity, (b) has used or is using any funds for any direct or indirect unlawful payments to any foreign or domestic governmental officials or employees, (c) has violated or is violating any provision of the Foreign Corrupt Practices Act of 1977, as amended (“</w:t>
      </w:r>
      <w:r>
        <w:rPr>
          <w:rFonts w:ascii="Times New Roman" w:hAnsi="Times New Roman"/>
          <w:sz w:val="20"/>
          <w:u w:val="single"/>
        </w:rPr>
        <w:t>FCPA</w:t>
      </w:r>
      <w:r>
        <w:rPr>
          <w:rFonts w:ascii="Times New Roman" w:hAnsi="Times New Roman"/>
          <w:sz w:val="20"/>
        </w:rPr>
        <w:t xml:space="preserve">”), (d) has established or maintained, or is maintaining, any unlawful fund of corporate monies or other properties, or (e) has made any bribe, unlawful rebate, payoff, influence payment, kickback or other unlawful payment of any nature. To the Company’s knowledge, neither the Company nor any of its Subsidiaries nor any of their respective directors, executives, representatives, agents or employees (in each case, in their capacities as such) are the subject of any allegation, voluntary disclosure, investigation, prosecution or other enforcement action related to the FCPA or any other applicable anti-corruption or anti-bribery Law. </w:t>
      </w:r>
    </w:p>
    <w:p>
      <w:pPr>
        <w:pStyle w:val="TextBody"/>
        <w:bidi w:val="0"/>
        <w:spacing w:before="240" w:after="0"/>
        <w:jc w:val="left"/>
        <w:rPr>
          <w:rFonts w:ascii="Times New Roman" w:hAnsi="Times New Roman"/>
          <w:sz w:val="20"/>
        </w:rPr>
      </w:pPr>
      <w:r>
        <w:rPr>
          <w:rFonts w:ascii="Times New Roman" w:hAnsi="Times New Roman"/>
          <w:sz w:val="20"/>
        </w:rPr>
        <w:t xml:space="preserve">Section 4.24 </w:t>
      </w:r>
      <w:r>
        <w:rPr>
          <w:rFonts w:ascii="Times New Roman" w:hAnsi="Times New Roman"/>
          <w:sz w:val="20"/>
          <w:u w:val="single"/>
        </w:rPr>
        <w:t>Trade Laws</w:t>
      </w:r>
      <w:r>
        <w:rPr>
          <w:rFonts w:ascii="Times New Roman" w:hAnsi="Times New Roman"/>
          <w:sz w:val="20"/>
        </w:rPr>
        <w:t>. Neither the Company nor any of its Subsidiaries nor any of their respective directors, executives, employees, or to the knowledge of the Company, representatives or agents is a Sanctioned Person. Since April 24, 2019, the Company and its Subsidiaries are and have been in compliance with all applicable import, export control, anti-boycott and economic and trade sanctions Laws, including the Export Administration Regulations, the International Traffic in Arms Regulations, the regulations administered by U.S. Customs and Border Protection, the sanctions regulations administered by the Office of Foreign Assets Control of the U.S. Department of the Treasury and the U.S. Department of State (the “</w:t>
      </w:r>
      <w:r>
        <w:rPr>
          <w:rFonts w:ascii="Times New Roman" w:hAnsi="Times New Roman"/>
          <w:sz w:val="20"/>
          <w:u w:val="single"/>
        </w:rPr>
        <w:t>Trade Laws</w:t>
      </w:r>
      <w:r>
        <w:rPr>
          <w:rFonts w:ascii="Times New Roman" w:hAnsi="Times New Roman"/>
          <w:sz w:val="20"/>
        </w:rPr>
        <w:t>”) and have obtained, satisfied the requirements of or are otherwise qualified to rely upon all necessary import and export licenses, consents, notices, waivers, approvals, orders, registrations, declarations or other authorizations, and made any filings with any Governmental Entity, in each case required for (i) the import, export, reexport or transfer of products, services, software or technologies and (ii) releases of technology or software to foreign nationals (the “</w:t>
      </w:r>
      <w:r>
        <w:rPr>
          <w:rFonts w:ascii="Times New Roman" w:hAnsi="Times New Roman"/>
          <w:sz w:val="20"/>
          <w:u w:val="single"/>
        </w:rPr>
        <w:t>Trade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4.25 </w:t>
      </w:r>
      <w:r>
        <w:rPr>
          <w:rFonts w:ascii="Times New Roman" w:hAnsi="Times New Roman"/>
          <w:sz w:val="20"/>
          <w:u w:val="single"/>
        </w:rPr>
        <w:t>CFIUS</w:t>
      </w:r>
      <w:r>
        <w:rPr>
          <w:rFonts w:ascii="Times New Roman" w:hAnsi="Times New Roman"/>
          <w:sz w:val="20"/>
        </w:rPr>
        <w:t xml:space="preserve">. Company is not a “foreign person” within the meaning of the Defense Production Act of 1950, as amended, including all implementing regulations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4.26 </w:t>
      </w:r>
      <w:r>
        <w:rPr>
          <w:rFonts w:ascii="Times New Roman" w:hAnsi="Times New Roman"/>
          <w:sz w:val="20"/>
          <w:u w:val="single"/>
        </w:rPr>
        <w:t>Outbound Investment</w:t>
      </w:r>
      <w:r>
        <w:rPr>
          <w:rFonts w:ascii="Times New Roman" w:hAnsi="Times New Roman"/>
          <w:sz w:val="20"/>
        </w:rPr>
        <w:t>. The Company either is (i) not a “person of a country of concern”; or (ii) not engaged in any “covered activity,” as these terms are defined in 31 C.F.R. Part 850, as implemented or revised from time to time (the “</w:t>
      </w:r>
      <w:r>
        <w:rPr>
          <w:rFonts w:ascii="Times New Roman" w:hAnsi="Times New Roman"/>
          <w:sz w:val="20"/>
          <w:u w:val="single"/>
        </w:rPr>
        <w:t>Outbound Investment Security Program</w:t>
      </w:r>
      <w:r>
        <w:rPr>
          <w:rFonts w:ascii="Times New Roman" w:hAnsi="Times New Roman"/>
          <w:sz w:val="20"/>
        </w:rPr>
        <w:t xml:space="preserve">”). The Company has no current intention of becoming a “person of a country of concern” that engages in any “covered activity.” The Company is not, and does not currently intend to become, a person that directly or indirectly holds a board seat or a voting or equity interest in, or any contractual power to direct or cause the direction of the management or policies of, any “covered foreign person” as defined in the Outbound Investment Security Program. </w:t>
      </w:r>
    </w:p>
    <w:p>
      <w:pPr>
        <w:pStyle w:val="TextBody"/>
        <w:bidi w:val="0"/>
        <w:spacing w:before="240" w:after="0"/>
        <w:jc w:val="left"/>
        <w:rPr>
          <w:rFonts w:ascii="Times New Roman" w:hAnsi="Times New Roman"/>
          <w:sz w:val="20"/>
        </w:rPr>
      </w:pPr>
      <w:r>
        <w:rPr>
          <w:rFonts w:ascii="Times New Roman" w:hAnsi="Times New Roman"/>
          <w:sz w:val="20"/>
        </w:rPr>
        <w:t xml:space="preserve">Section 4.27 </w:t>
      </w:r>
      <w:r>
        <w:rPr>
          <w:rFonts w:ascii="Times New Roman" w:hAnsi="Times New Roman"/>
          <w:sz w:val="20"/>
          <w:u w:val="single"/>
        </w:rPr>
        <w:t>Data Security Program</w:t>
      </w:r>
      <w:r>
        <w:rPr>
          <w:rFonts w:ascii="Times New Roman" w:hAnsi="Times New Roman"/>
          <w:sz w:val="20"/>
        </w:rPr>
        <w:t>. The Company is not a “covered person” as that term is defined in Executive Order 14117 and rules and regulations issued thereunder, including 28 C.F.R. Part 202, as implemented or amended from time to time (the “</w:t>
      </w:r>
      <w:r>
        <w:rPr>
          <w:rFonts w:ascii="Times New Roman" w:hAnsi="Times New Roman"/>
          <w:sz w:val="20"/>
          <w:u w:val="single"/>
        </w:rPr>
        <w:t>DSP</w:t>
      </w:r>
      <w:r>
        <w:rPr>
          <w:rFonts w:ascii="Times New Roman" w:hAnsi="Times New Roman"/>
          <w:sz w:val="20"/>
        </w:rPr>
        <w:t xml:space="preserve">”). Since April 8, 2025, the Company has not engaged in or directed any “covered data transaction,” as that term is defined in the DSP, except in full compliance with the DSP.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4.28 </w:t>
      </w:r>
      <w:r>
        <w:rPr>
          <w:rFonts w:ascii="Times New Roman" w:hAnsi="Times New Roman"/>
          <w:sz w:val="20"/>
          <w:u w:val="single"/>
        </w:rPr>
        <w:t>Brokers</w:t>
      </w:r>
      <w:r>
        <w:rPr>
          <w:rFonts w:ascii="Times New Roman" w:hAnsi="Times New Roman"/>
          <w:sz w:val="20"/>
        </w:rPr>
        <w:t xml:space="preserve">. No broker, investment banker, financial advisor or other Person, other than as set forth on </w:t>
      </w:r>
      <w:r>
        <w:rPr>
          <w:rFonts w:ascii="Times New Roman" w:hAnsi="Times New Roman"/>
          <w:sz w:val="20"/>
          <w:u w:val="single"/>
        </w:rPr>
        <w:t>Section 4.28</w:t>
      </w:r>
      <w:r>
        <w:rPr>
          <w:rFonts w:ascii="Times New Roman" w:hAnsi="Times New Roman"/>
          <w:sz w:val="20"/>
        </w:rPr>
        <w:t xml:space="preserve"> of the Company Disclosure Letter, the fees and expenses of which will be paid by the Company or any of its Subsidiaries, or following the First Effective Time, Parent is entitled to any broker’s, finder’s, financial advisor’s or other similar fee or commission in connection with the transactions contemplated by this Agreement based upon arrangements made by or on behalf of the Company, any of its Subsidiaries or any of its Affiliates. The Company has furnished to Parent a true and complete copy of any Contract between the Company or any of its Subsidiaries and any Person identified on </w:t>
      </w:r>
      <w:r>
        <w:rPr>
          <w:rFonts w:ascii="Times New Roman" w:hAnsi="Times New Roman"/>
          <w:sz w:val="20"/>
          <w:u w:val="single"/>
        </w:rPr>
        <w:t>Section 4.28</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Section 4.29 </w:t>
      </w:r>
      <w:r>
        <w:rPr>
          <w:rFonts w:ascii="Times New Roman" w:hAnsi="Times New Roman"/>
          <w:sz w:val="20"/>
          <w:u w:val="single"/>
        </w:rPr>
        <w:t>Subscription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has delivered to Parent and Merger Subs, correct and complete copies of all definitive agreements related to the Concurrent Investment, including the Subscription Agreement. The Subscription Agreement has not been amended or modified prior to the date of this Agreement and as of the date hereof, the respective obligations and commitments contained in the Subscription Agreement have not been withdrawn or rescinded in any respect. </w:t>
      </w:r>
    </w:p>
    <w:p>
      <w:pPr>
        <w:pStyle w:val="TextBody"/>
        <w:bidi w:val="0"/>
        <w:spacing w:before="120" w:after="0"/>
        <w:jc w:val="left"/>
        <w:rPr>
          <w:rFonts w:ascii="Times New Roman" w:hAnsi="Times New Roman"/>
          <w:sz w:val="20"/>
        </w:rPr>
      </w:pPr>
      <w:r>
        <w:rPr>
          <w:rFonts w:ascii="Times New Roman" w:hAnsi="Times New Roman"/>
          <w:sz w:val="20"/>
        </w:rPr>
        <w:t xml:space="preserve">(b) As of the date hereof, the Subscription Agreement is in full force and effect and is the legal, valid, binding and enforceable obligation of the Company, and, to the knowledge of the Company, each of the Concurrent Investment Investors. There are no conditions precedent or other contingencies related to the funding of the full amount of the Concurrent Investment, other than as expressly set forth in the Subscription Agreement. As of the date hereof, no event has occurred which, with or without notice, lapse of time or both, would reasonably be expected to constitute a default or breach on the part of the Company or, to the knowledge of the Company, any Concurrent Investment Investor under the Subscription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4.30 </w:t>
      </w:r>
      <w:r>
        <w:rPr>
          <w:rFonts w:ascii="Times New Roman" w:hAnsi="Times New Roman"/>
          <w:sz w:val="20"/>
          <w:u w:val="single"/>
        </w:rPr>
        <w:t>No Other Representations and Warranties</w:t>
      </w:r>
      <w:r>
        <w:rPr>
          <w:rFonts w:ascii="Times New Roman" w:hAnsi="Times New Roman"/>
          <w:sz w:val="20"/>
        </w:rPr>
        <w:t xml:space="preserve">. Except for the representations and warranties contained in </w:t>
      </w:r>
      <w:r>
        <w:rPr>
          <w:rFonts w:ascii="Times New Roman" w:hAnsi="Times New Roman"/>
          <w:sz w:val="20"/>
          <w:u w:val="single"/>
        </w:rPr>
        <w:t>Article V</w:t>
      </w:r>
      <w:r>
        <w:rPr>
          <w:rFonts w:ascii="Times New Roman" w:hAnsi="Times New Roman"/>
          <w:sz w:val="20"/>
        </w:rPr>
        <w:t xml:space="preserve">, the Company acknowledges and agrees that none of Parent, Merger Sub or any other Person on behalf of Parent or Merger Sub makes any other express or implied representation or warranty whatsoever, and specifically (but without limiting the generality of the foregoing) that none of Parent, its Subsidiaries or any other Person on behalf of Parent or Merger Sub makes any representation or warranty with respect to any projections or forecasts delivered or made available to the Company or any of its Representatives of future revenues, results of operations (or any component thereof), cash flows or financial condition (or any component thereof) of Parent (including any such projections or forecasts made available to the Company and Representatives in certain “data rooms” or management presentations in expectation of the transactions contemplated by this Agreement), and the Company has not relied on any such information or any representation or warranty not set forth in </w:t>
      </w:r>
      <w:r>
        <w:rPr>
          <w:rFonts w:ascii="Times New Roman" w:hAnsi="Times New Roman"/>
          <w:sz w:val="20"/>
          <w:u w:val="single"/>
        </w:rPr>
        <w:t>Article V</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PARENT AND MERGER SUB </w:t>
      </w:r>
    </w:p>
    <w:p>
      <w:pPr>
        <w:pStyle w:val="TextBody"/>
        <w:bidi w:val="0"/>
        <w:spacing w:before="240" w:after="0"/>
        <w:jc w:val="left"/>
        <w:rPr>
          <w:rFonts w:ascii="Times New Roman" w:hAnsi="Times New Roman"/>
          <w:sz w:val="20"/>
        </w:rPr>
      </w:pPr>
      <w:r>
        <w:rPr>
          <w:rFonts w:ascii="Times New Roman" w:hAnsi="Times New Roman"/>
          <w:sz w:val="20"/>
        </w:rPr>
        <w:t xml:space="preserve">Except (a) as disclosed in the Parent SEC Documents at least three Business Days prior to the date of this Agreement and that is reasonably apparent on the face of such disclosure to be applicable to the representation and warranty set forth herein (other than any disclosures contained or referenced therein under the captions “Risk Factors,” “Forward-Looking Statements,” “Quantitative and Qualitative Disclosures About Market Risk,” and any other disclosures contained or referenced therein of information, factors, or risks that are predictive, cautionary,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forward-looking in nature); or (b) as set forth in the corresponding section or subsection of the disclosure letter delivered by Parent to the Company (the “</w:t>
      </w:r>
      <w:r>
        <w:rPr>
          <w:rFonts w:ascii="Times New Roman" w:hAnsi="Times New Roman"/>
          <w:sz w:val="20"/>
          <w:u w:val="single"/>
        </w:rPr>
        <w:t>Parent Disclosure Letter</w:t>
      </w:r>
      <w:r>
        <w:rPr>
          <w:rFonts w:ascii="Times New Roman" w:hAnsi="Times New Roman"/>
          <w:sz w:val="20"/>
        </w:rPr>
        <w:t xml:space="preserve">”) (it being agreed that the disclosure of any information in a particular section or subsection of the Parent Disclosure Letter shall be deemed disclosure of such information with respect to any other section or subsection of this Agreement to which the relevance of such information is readily apparent on its face), each of Parent and Merger Sub represent and warrant to the Company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Organization, Standing and Power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Each of Parent and Merger Sub is a corporation duly organized, validly existing and in good standing under the Laws of the jurisdiction of its incorporation. Each of Parent and Merger Sub (x) has all requisite corporate or similar power and authority to own, lease and operate its properties and to carry on its business as now being conducted and (y) is duly qualified or licensed to do business and is in good standing in each jurisdiction in which the nature of its business or the ownership, leasing or operation of its properties makes such qualification or licensing necessary, except in the case of clause (y), where the failure to be so qualified or licensed or in good standing, individually or in the aggregate, has not had and would not reasonably be expected to have a Parent Material Adverse Effect. For purposes of this Agreement, “</w:t>
      </w:r>
      <w:r>
        <w:rPr>
          <w:rFonts w:ascii="Times New Roman" w:hAnsi="Times New Roman"/>
          <w:sz w:val="20"/>
          <w:u w:val="single"/>
        </w:rPr>
        <w:t>Parent Material Adverse Effect</w:t>
      </w:r>
      <w:r>
        <w:rPr>
          <w:rFonts w:ascii="Times New Roman" w:hAnsi="Times New Roman"/>
          <w:sz w:val="20"/>
        </w:rPr>
        <w:t xml:space="preserve">” means any event, change, circumstance, occurrence, effect or state of facts that (A) is or would reasonably be expected to be materially adverse to the business, assets, liabilities, financial condition, or results of operations of Parent and its Subsidiaries, taken as a whole, or (B) materially impairs the ability of Parent or Merger Sub to consummate the Merger or any of the other transactions contemplated by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clause (A) only, Parent Material Adverse Effect shall not include any event, change, circumstance, occurrence, effect or state of facts to the extent resulting from (1) changes or conditions generally affecting the industries in which Parent and its Subsidiaries operate, or the economy or the financial, debt, banking, capital, credit or securities markets, in the United States, including effects on such industries, economy or markets resulting from any regulatory and political conditions or developments in general, (2) the outbreak or escalation of war or acts of terrorism or any natural disasters, acts of God or comparable events, epidemic, pandemic or disease outbreak (including the COVID-19 virus) or any worsening of the foregoing, or any declaration of martial law, quarantine or similar directive, policy or guidance or Law or other action by any Governmental Entity in response thereto, (3) changes in Law or GAAP, or the interpretation or enforcement thereof, (4) the public announcement or pendency of this Agreement, or (5) any specific action taken (or omitted to be taken) by Parent at or with the express written consent of the Company; </w:t>
      </w:r>
      <w:r>
        <w:rPr>
          <w:rFonts w:ascii="Times New Roman" w:hAnsi="Times New Roman"/>
          <w:sz w:val="20"/>
          <w:u w:val="single"/>
        </w:rPr>
        <w:t>provided</w:t>
      </w:r>
      <w:r>
        <w:rPr>
          <w:rFonts w:ascii="Times New Roman" w:hAnsi="Times New Roman"/>
          <w:sz w:val="20"/>
        </w:rPr>
        <w:t xml:space="preserve">, that, with respect to clauses (1), (2) and (3), the impact of such event, change, circumstance, occurrence, effect or state of facts is not disproportionately adverse to Parent and its Subsidiaries, as compared to other participants in the industries in which Parent and its Subsidiaries operate. </w:t>
      </w:r>
    </w:p>
    <w:p>
      <w:pPr>
        <w:pStyle w:val="TextBody"/>
        <w:bidi w:val="0"/>
        <w:spacing w:before="120" w:after="0"/>
        <w:jc w:val="left"/>
        <w:rPr>
          <w:rFonts w:ascii="Times New Roman" w:hAnsi="Times New Roman"/>
          <w:sz w:val="20"/>
        </w:rPr>
      </w:pPr>
      <w:r>
        <w:rPr>
          <w:rFonts w:ascii="Times New Roman" w:hAnsi="Times New Roman"/>
          <w:sz w:val="20"/>
        </w:rPr>
        <w:t xml:space="preserve">(b) Parent has previously made available to the Company true and complete copies of the Certificate of Incorporation and bylaws of each of Parent, each of its Subsidiaries, and Merger Sub, in each case, as amended to the date of this Agreement, and each as so delivered is in full force and effect. None of Parent, its Subsidiaries, or Merger Sub is in violation of any provision of their respective Certificate of Incorporation or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Capital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authorized capital stock of Parent consists of 200,000,000 shares of Parent Common Stock and 5,000,000 shares of preferred stock, par value $0.0001 per share, of Parent (the “</w:t>
      </w:r>
      <w:r>
        <w:rPr>
          <w:rFonts w:ascii="Times New Roman" w:hAnsi="Times New Roman"/>
          <w:sz w:val="20"/>
          <w:u w:val="single"/>
        </w:rPr>
        <w:t>Parent Preferred Stock</w:t>
      </w:r>
      <w:r>
        <w:rPr>
          <w:rFonts w:ascii="Times New Roman" w:hAnsi="Times New Roman"/>
          <w:sz w:val="20"/>
        </w:rPr>
        <w:t>”). As of the close of business on August 13, 2026 (the “</w:t>
      </w:r>
      <w:r>
        <w:rPr>
          <w:rFonts w:ascii="Times New Roman" w:hAnsi="Times New Roman"/>
          <w:sz w:val="20"/>
          <w:u w:val="single"/>
        </w:rPr>
        <w:t>Measurement Date</w:t>
      </w:r>
      <w:r>
        <w:rPr>
          <w:rFonts w:ascii="Times New Roman" w:hAnsi="Times New Roman"/>
          <w:sz w:val="20"/>
        </w:rPr>
        <w:t xml:space="preserve">”), (i) 76,297,257 shares of Parent Common Stock (excluding treasury shares) were issued and outstanding, all of which were validly issued, fully paid and nonassessable (which term means that no further sums are required to be paid by the holders thereof in connection with the issue of such shares) and were free of preemptive rights, (ii) no shares of Parent Common Stock were held in treasury, (iii) an aggregate of 11,063,949 shares of Parent Common Stock were subject to the exercise of outstanding Parent Options, (iv) 17,523 shares of Parent Common Stock were subject to outstanding Parent Restricted Stock Unit Awards, and (v) no shares of Parent Preferred Stock were issued and outstanding or held in treasury. Except as set forth above in this </w:t>
      </w:r>
      <w:r>
        <w:rPr>
          <w:rFonts w:ascii="Times New Roman" w:hAnsi="Times New Roman"/>
          <w:sz w:val="20"/>
          <w:u w:val="single"/>
        </w:rPr>
        <w:t>Section 5.2(a)</w:t>
      </w:r>
      <w:r>
        <w:rPr>
          <w:rFonts w:ascii="Times New Roman" w:hAnsi="Times New Roman"/>
          <w:sz w:val="20"/>
        </w:rPr>
        <w:t xml:space="preserve">, Parent does not have any outstanding bonds, debentures, notes or other obligations having the right to vote (or convertible into, or exchangeable or exercisable for, securities having the right to vote) with the stockholders of Parent or any of its Subsidiaries on any matter. Except as set forth above in this </w:t>
      </w:r>
      <w:r>
        <w:rPr>
          <w:rFonts w:ascii="Times New Roman" w:hAnsi="Times New Roman"/>
          <w:sz w:val="20"/>
          <w:u w:val="single"/>
        </w:rPr>
        <w:t>Section 5.2(a)</w:t>
      </w:r>
      <w:r>
        <w:rPr>
          <w:rFonts w:ascii="Times New Roman" w:hAnsi="Times New Roman"/>
          <w:sz w:val="20"/>
        </w:rPr>
        <w:t xml:space="preserve"> and except for changes since the close of business on the Measurement Date resulting from the exercise of any options as described above, as of the Measurement Date, there are no outstanding (A) shares of capital stock or other voting securities or equity interests of Parent or any of its Subsidiaries, (B) securities of Parent or any of its Subsidiaries convertible into or exchangeable or exercisable for shares of capital stock of Parent or any of its Subsidiaries or other voting securities or equity interests of Parent or any of its Subsidiaries, (C) stock appreciation rights, “phantom” stock rights, performance units, interests in or rights to the ownership or earnings of Parent or any of its Subsidiaries or other equity equivalent or equity-based awards or rights, (D) subscriptions, options, warrants, calls, commitments, Contracts or other rights to acquire from Parent or any of its Subsidiaries, or obligations of Parent or any of its Subsidiaries to issue, any shares of capital stock of Parent or any of its Subsidiaries, voting securities, equity interests or securities convertible into or exchangeable or exercisable for capital stock or other voting securities or equity interests of Parent or any of its Subsidiaries or rights or interests described in the preceding clause (C), or (E) obligations of Parent or any of its Subsidiaries to repurchase, redeem or otherwise acquire any such securities or to issue, grant, deliver or sell, or cause to be issued, granted, delivered or sold, any such securities. There are no stockholder agreements, voting trusts or other agreements or understandings to which Parent or any of its Subsidiaries is a party or of which Parent has knowledge with respect to the holding, voting, registration, redemption, repurchase or disposition of, or that restricts the transfer of, any capital stock or other voting securities or equity interests of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(b) The authorized capital stock of First Merger Sub consists of 1,000 shares of common stock, par value $0.001 per share, of which 1,000 shares are issued and outstanding, all of which shares are beneficially owned by Parent. </w:t>
      </w:r>
    </w:p>
    <w:p>
      <w:pPr>
        <w:pStyle w:val="TextBody"/>
        <w:bidi w:val="0"/>
        <w:spacing w:before="120" w:after="0"/>
        <w:jc w:val="left"/>
        <w:rPr>
          <w:rFonts w:ascii="Times New Roman" w:hAnsi="Times New Roman"/>
          <w:sz w:val="20"/>
        </w:rPr>
      </w:pPr>
      <w:r>
        <w:rPr>
          <w:rFonts w:ascii="Times New Roman" w:hAnsi="Times New Roman"/>
          <w:sz w:val="20"/>
        </w:rPr>
        <w:t xml:space="preserve">(c) (b) The authorized limited liability company interests of Second Merger Sub consist of 1,000 common units, of which 1,000 common units are issued and outstanding, all of which are beneficially owned by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shares of Parent Common Stock to be issued pursuant to the Merger will be duly authorized, validly issued, fully paid and nonassessable and not subject to any preemptive rights.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Subsidiaries</w:t>
      </w:r>
      <w:r>
        <w:rPr>
          <w:rFonts w:ascii="Times New Roman" w:hAnsi="Times New Roman"/>
          <w:sz w:val="20"/>
        </w:rPr>
        <w:t xml:space="preserve">. </w:t>
      </w:r>
      <w:r>
        <w:rPr>
          <w:rFonts w:ascii="Times New Roman" w:hAnsi="Times New Roman"/>
          <w:sz w:val="20"/>
          <w:u w:val="single"/>
        </w:rPr>
        <w:t>Section 5.3</w:t>
      </w:r>
      <w:r>
        <w:rPr>
          <w:rFonts w:ascii="Times New Roman" w:hAnsi="Times New Roman"/>
          <w:sz w:val="20"/>
        </w:rPr>
        <w:t xml:space="preserve"> of the Parent Disclosure Letter sets forth a true and complete list of each Subsidiary of Parent, including is jurisdiction of incorporation or formation. Each of Parent’s Subsidiaries (i) is an entity duly organized, validly existing and in good standing under the Laws of the jurisdiction of its organization, (ii) has all requisite corporate or similar power and authority to own, lease and operate its properties and to carry on its business as now being conducted and (iii) is duly qualified or licensed to do business and is in good standing in each jurisdiction in which the nature of its business or the ownership, leasing or operations of its properties makes such qualification or licensing necessary, except in the case of clause (iii), where the failure to be so qualified or licensed or in good standing, individually or in the aggregate, has not had and would not reasonably be expected to have a Parent Material Adverse Effect. All outstanding shares of capital stock and other voting securities or equity interests of each such Subsidiary are owned directly by Parent, free and clear of all Liens. Except for the capital stock of, or other equity or voting interests in, its Subsidiaries, Parent does not own, directly or indirectly, any equity, membership interest, partnership interest, joint venture interest, or other equity or voting interest in, or any interest convertible into, exercisable or exchangeable for any of the foregoing, nor is it under any current or prospective obligation to form or participate in, provide funds to, make any loan, capital contribution, guarantee, credit enhancement or other investment in, or assume any liability or obligation of, any Person. Merger Sub was formed solely for the purpose of engaging in the Merger and the other transactions contemplated hereby and has engaged in no business other than in connection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Authority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Each of Parent and Merger Sub has all necessary corporate power and authority to execute, deliver and perform its obligations under this Agreement and to consummate the Merger and the other transactions contemplated hereby, including the issuance of the shares of Parent Common Stock to the holders of Company capital stock as Merger Consideration (the “</w:t>
      </w:r>
      <w:r>
        <w:rPr>
          <w:rFonts w:ascii="Times New Roman" w:hAnsi="Times New Roman"/>
          <w:sz w:val="20"/>
          <w:u w:val="single"/>
        </w:rPr>
        <w:t>Parent Common Stock Issuance</w:t>
      </w:r>
      <w:r>
        <w:rPr>
          <w:rFonts w:ascii="Times New Roman" w:hAnsi="Times New Roman"/>
          <w:sz w:val="20"/>
        </w:rPr>
        <w:t>”). The execution, delivery and performance of this Agreement by Parent and Merger Sub and the consummation by Parent and Merger Sub of the Merger and the other transactions contemplated hereby have been duly authorized by all necessary corporate action on the part of Parent and Merger Sub and no other corporate proceedings on the part of Parent or Merger Sub are necessary to approve this Agreement or to consummate the Merger and the other transactions contemplated hereby, subject to (i) obtaining the approval of the Nasdaq Issuance Proposal and the Reverse Stock Split Proposal by the holders of a majority of the votes cast for such proposals (collectively, the “</w:t>
      </w:r>
      <w:r>
        <w:rPr>
          <w:rFonts w:ascii="Times New Roman" w:hAnsi="Times New Roman"/>
          <w:sz w:val="20"/>
          <w:u w:val="single"/>
        </w:rPr>
        <w:t>Parent Stockholder Approval</w:t>
      </w:r>
      <w:r>
        <w:rPr>
          <w:rFonts w:ascii="Times New Roman" w:hAnsi="Times New Roman"/>
          <w:sz w:val="20"/>
        </w:rPr>
        <w:t xml:space="preserve">”) and (ii) the approval of this Agreement by Parent as the sole stockholder of Merger Sub. This Agreement has been duly executed and delivered by Parent and Merger Sub and, assuming the due authorization, execution and delivery by the Company, constitutes a valid and binding obligation of each of Parent and Merger Sub, enforceable against each of Parent and Merger Sub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Parent Board, at a meeting duly called and held at which all directors of Parent were present, duly adopted resolutions unanimously (i) determining that the terms of this Agreement, the Merger and the other transactions contemplated hereby are fair to, advisable and in the best interests of Parent and its stockholders, (ii) approving and declaring advisable this Agreement and the transactions contemplated hereby, including the Merger, the issuance of shares of Parent Common Stock to the stockholders of the Company pursuant to the terms of this Agreement, the Concurrent Investment, the Pre-Closing Cash Dividend and the Parent Support Agreements, (iii) determining to submit the Parent Board Recommendation to the stockholders of Parent, and (iv) determining to approve and recommend the Parent Stockholder Proposal to the stockholders of Parent as promptly as practicable after the form of the Reverse Stock Split Proposal is mutually agreed to by Parent and the Company. The board of directors of Merger Sub (by unanimous written consent) has unanimously: (x) determined that the transactions contemplated hereby are fair to, advisable, and in the best interests of Merger Sub and its sole stockholder, (y) deemed advisable and approved this Agreement and the transactions contemplated hereby and (z) determined to recommend, upon the terms and subject to the conditions set forth in this Agreement, that the stockholder of Merger Sub vote to adopt this Agreement and thereby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(c) The Parent Stockholder Approval is the only vote of the holders of any class or series of the Parent Common Stock or other securities required in connection with the consummation of the Merger and the other transactions contemplated hereby, including the Parent Common Stock Issuance. Other than the Parent Stockholder Approval, no vote of the holders of any class or series of the Parent Common Stock or other securities is required in connection with the consummation of any of the transactions contemplated hereby to be consummated by Parent. </w:t>
      </w:r>
    </w:p>
    <w:p>
      <w:pPr>
        <w:pStyle w:val="TextBody"/>
        <w:bidi w:val="0"/>
        <w:spacing w:before="240" w:after="0"/>
        <w:jc w:val="left"/>
        <w:rPr>
          <w:rFonts w:ascii="Times New Roman" w:hAnsi="Times New Roman"/>
          <w:sz w:val="20"/>
        </w:rPr>
      </w:pPr>
      <w:r>
        <w:rPr>
          <w:rFonts w:ascii="Times New Roman" w:hAnsi="Times New Roman"/>
          <w:sz w:val="20"/>
        </w:rPr>
        <w:t xml:space="preserve">Section 5.5 </w:t>
      </w:r>
      <w:r>
        <w:rPr>
          <w:rFonts w:ascii="Times New Roman" w:hAnsi="Times New Roman"/>
          <w:sz w:val="20"/>
          <w:u w:val="single"/>
        </w:rPr>
        <w:t>No Conflict; Consents and Approvals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Section 5.5(a)</w:t>
      </w:r>
      <w:r>
        <w:rPr>
          <w:rFonts w:ascii="Times New Roman" w:hAnsi="Times New Roman"/>
          <w:sz w:val="20"/>
        </w:rPr>
        <w:t xml:space="preserve"> of the Parent Disclosure Letter, the execution, delivery and performance of this Agreement by each of Parent and Merger Sub does not, and the consummation of the Merger and the other transactions contemplated hereby and compliance by each of Parent and Merger Sub with the provisions hereof will not, conflict with, or result in any violation or breach of, or default (with or without notice or lapse of time, or both) under, or give rise to a right of, or result in, termination, cancellation, modification or acceleration of any obligation or to the loss of a benefit under, or result in the creation of any Lien in or upon any of the properties, assets or rights of Parent or Merger Sub under, or give rise to any increased, additional, accelerated or guaranteed rights or entitlements under, or require any consent, waiver or approval of any Person pursuant to, any provision of (i) the Certificate of Incorporation or bylaws of Parent or Merger Sub, (ii) any Parent Material Contract to which Parent or Merger Sub is a party by which Parent, Merger Sub or any of their respective properties or assets may be bound, or (iii) subject to the governmental filings and other matters referred to in </w:t>
      </w:r>
      <w:r>
        <w:rPr>
          <w:rFonts w:ascii="Times New Roman" w:hAnsi="Times New Roman"/>
          <w:sz w:val="20"/>
          <w:u w:val="single"/>
        </w:rPr>
        <w:t>Section 5.5(b)</w:t>
      </w:r>
      <w:r>
        <w:rPr>
          <w:rFonts w:ascii="Times New Roman" w:hAnsi="Times New Roman"/>
          <w:sz w:val="20"/>
        </w:rPr>
        <w:t xml:space="preserve">, any material Law or any rule or regulation of Nasdaq applicable to Parent or Merger Sub or by which Parent, Merger Sub or any of their respective properties or assets may be bound, except as, in the case of clauses (ii) and (iii), as individually or in the aggregate, has not had and would not reasonably be expected to have a Parent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 consent, approval, order or authorization of, or registration, declaration, filing with or notice to, any Governmental Entity is required by or with respect to Parent or Merger Sub in connection with the execution, delivery and performance of this Agreement by Parent or Merger Sub or the consummation by Parent or Merger Sub of the Merger and the other transactions contemplated hereby or compliance with the provisions hereof, except for (i) the filing of the pre-merger notification report under the HSR Act, (ii) the filing with the SEC of such reports under Section 13(a) or 15(d) of the Exchange Act, as may be required in connection with this Agreement and the transactions contemplated hereby, (iii) such other filings and reports as may be required pursuant to the applicable requirements of the Securities Act, the Exchange Act and any other applicable state or federal securities, takeover and “blue sky” laws, (iv) the filing of the Certificate of Merger with the Delaware Secretary of State as required by the DGCL, (v) any filings required under the rules and regulations of Nasdaq and (vi) such consents, approvals, orders, authorizations, registrations, declarations, filings or notices the failure of which to be obtained or made, individually or in the aggregate, have not had and would not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5.6 </w:t>
      </w:r>
      <w:r>
        <w:rPr>
          <w:rFonts w:ascii="Times New Roman" w:hAnsi="Times New Roman"/>
          <w:sz w:val="20"/>
          <w:u w:val="single"/>
        </w:rPr>
        <w:t>SEC Reports; Financial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Parent has filed with or furnished to the SEC on a timely basis true and complete copies of all forms, reports, schedules, statements and other documents required to be filed with or furnished to the SEC by Parent since January 1, 2026 (all such documents, together with all exhibits and schedules to the foregoing materials and all information incorporated therein by reference, the “</w:t>
      </w:r>
      <w:r>
        <w:rPr>
          <w:rFonts w:ascii="Times New Roman" w:hAnsi="Times New Roman"/>
          <w:sz w:val="20"/>
          <w:u w:val="single"/>
        </w:rPr>
        <w:t>Parent SEC Documents</w:t>
      </w:r>
      <w:r>
        <w:rPr>
          <w:rFonts w:ascii="Times New Roman" w:hAnsi="Times New Roman"/>
          <w:sz w:val="20"/>
        </w:rPr>
        <w:t>”). As of their respective filing dates (or, if amended or superseded by a filing prior to the date of this Agreement, then on the date of such filing), the Parent SEC Documents complied in all material respects with the applicable requirements of the Securities Act, the Exchange Act and the Sarbanes-Oxley Act of 2002 (the “</w:t>
      </w:r>
      <w:r>
        <w:rPr>
          <w:rFonts w:ascii="Times New Roman" w:hAnsi="Times New Roman"/>
          <w:sz w:val="20"/>
          <w:u w:val="single"/>
        </w:rPr>
        <w:t>Sarbanes-Oxley Act</w:t>
      </w:r>
      <w:r>
        <w:rPr>
          <w:rFonts w:ascii="Times New Roman" w:hAnsi="Times New Roman"/>
          <w:sz w:val="20"/>
        </w:rPr>
        <w:t xml:space="preserve">”), as the case may be, including, in each case, the rules and regulations promulgated thereunder, and none of the Parent SEC Documents contained any untrue statement of a material fact or omitted to state a material fact required to be stated therein or necessary in order to make the statements therein, in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(b) The financial statements (including the related notes and schedules thereto) included (or incorporated by reference) in the Parent SEC Documents (i) have been prepared in a manner consistent with the books and records of Parent, (ii) have been prepared in accordance with GAAP (except, in the case of unaudited statements, as permitted by Form 10-Q of the SEC) applied on a consistent basis during the periods involved (except as may be indicated in the notes thereto), (iii) comply as to form in all material respects with applicable accounting requirements and the published rules and regulations of the SEC with respect thereto and (iv) fairly present in all material respects the consolidated financial position of Parent as of the dates thereof and their respective consolidated results of operations and cash flows for the periods then ended (subject, in the case of unaudited statements, to normal and recurring year-end audit adjustments that were not, or are not expected to be, material in amount), all in accordance with GAAP and the applicable rules and regulations promulgated by the SEC. Since January 1, 2026, Parent has not made any change in the accounting practices or policies applied in the preparation of its financial statements, except as required by GAAP, SEC rule or policy or applicable Law. The books and records of Parent have been, and are being, maintained in all material respects in accordance with GAAP (to the extent applicable) and any other applicable legal and accounting requirements and reflect only actual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Parent has established and maintains disclosure controls and procedures (as defined in Rules 13a-15(e) and 15d-15(e) under the Exchange Act). Such disclosure controls and procedures are designed to ensure that information relating to Parent required to be disclosed in Parent’s periodic and current reports under the Exchange Act, is made known to Parent’s principal executive officer and principal financial officer by others within those entities to allow timely decisions regarding required disclosures as required under the Exchange Act. The chief executive officer and chief financial officer of Parent have evaluated the effectiveness of Parent’s disclosure controls and procedures and, to the extent required by applicable Law, presented in any applicable Parent SEC Document that is a report on Form 10-K or Form 10-Q, or any amendment thereto, its conclusions about the effectiveness of the disclosure controls and procedures as of the end of the period covered by such report or amendment based on such evaluation. </w:t>
      </w:r>
    </w:p>
    <w:p>
      <w:pPr>
        <w:pStyle w:val="TextBody"/>
        <w:bidi w:val="0"/>
        <w:spacing w:before="120" w:after="0"/>
        <w:jc w:val="left"/>
        <w:rPr>
          <w:rFonts w:ascii="Times New Roman" w:hAnsi="Times New Roman"/>
          <w:sz w:val="20"/>
        </w:rPr>
      </w:pPr>
      <w:r>
        <w:rPr>
          <w:rFonts w:ascii="Times New Roman" w:hAnsi="Times New Roman"/>
          <w:sz w:val="20"/>
        </w:rPr>
        <w:t xml:space="preserve">(d) Parent has established and maintains a system of internal control over financial reporting (as defined in Rules 13a-15(f) and 15d-15(f) under the Exchange Act) which is effective in providing reasonable assurance regarding the reliability of Parent’s financial reporting and the preparation of Parent’s financial statements for external purposes in accordance with GAAP. Parent has disclosed, based on its most recent evaluation of Parent’s internal control over financial reporting prior to the date hereof, to Parent’s auditors and audit committee (i) any significant deficiencies and material weaknesses in the design or operation of Parent’s internal control over financial reporting which are reasonably likely to adversely affect Parent’s ability to record, process, summarize and report financial information and (ii) any fraud, whether or not material, that involves management or other employees who have a significant role in Parent’s internal control over financial reporting. A true, correct and complete summary of any such disclosures made by management to Parent’s auditors and audit committee is set forth as </w:t>
      </w:r>
      <w:r>
        <w:rPr>
          <w:rFonts w:ascii="Times New Roman" w:hAnsi="Times New Roman"/>
          <w:sz w:val="20"/>
          <w:u w:val="single"/>
        </w:rPr>
        <w:t>Section 5.6(d)</w:t>
      </w:r>
      <w:r>
        <w:rPr>
          <w:rFonts w:ascii="Times New Roman" w:hAnsi="Times New Roman"/>
          <w:sz w:val="20"/>
        </w:rPr>
        <w:t xml:space="preserve"> of Parent Disclosure Letter. </w:t>
      </w:r>
    </w:p>
    <w:p>
      <w:pPr>
        <w:pStyle w:val="TextBody"/>
        <w:bidi w:val="0"/>
        <w:spacing w:before="120" w:after="0"/>
        <w:jc w:val="left"/>
        <w:rPr>
          <w:rFonts w:ascii="Times New Roman" w:hAnsi="Times New Roman"/>
          <w:sz w:val="20"/>
        </w:rPr>
      </w:pPr>
      <w:r>
        <w:rPr>
          <w:rFonts w:ascii="Times New Roman" w:hAnsi="Times New Roman"/>
          <w:sz w:val="20"/>
        </w:rPr>
        <w:t xml:space="preserve">(e) Since January 1, 2026, (i) neither Parent nor, to the knowledge of Parent, any of its directors, officers, employees, auditors, accountants or representatives has received or otherwise had or obtained knowledge of any material complaint, allegation, assertion or claim, whether written or oral, regarding the accounting or auditing practices, procedures, methodologies or methods of Parent or its internal accounting controls, including any material complaint, allegation, assertion or claim that Parent has engaged in questionable accounting or auditing practices and (ii) no attorney representing Parent, whether or not employed by Parent, has reported evidence of a material violation of securities Laws, breach of fiduciary duty or similar violation by Parent or any of its officers, directors, employees or agents to the Parent Board or any committee thereof or to any director or officer of Parent. </w:t>
      </w:r>
    </w:p>
    <w:p>
      <w:pPr>
        <w:pStyle w:val="TextBody"/>
        <w:bidi w:val="0"/>
        <w:spacing w:before="120" w:after="0"/>
        <w:jc w:val="left"/>
        <w:rPr>
          <w:rFonts w:ascii="Times New Roman" w:hAnsi="Times New Roman"/>
          <w:sz w:val="20"/>
        </w:rPr>
      </w:pPr>
      <w:r>
        <w:rPr>
          <w:rFonts w:ascii="Times New Roman" w:hAnsi="Times New Roman"/>
          <w:sz w:val="20"/>
        </w:rPr>
        <w:t xml:space="preserve">(f) As of the date of this Agreement, there are no outstanding or unresolved comments in the comment letters received from the SEC staff with respect to the Parent SEC Documents. To the knowledge of Parent, none of the Parent SEC Documents is subject to ongoing review or outstanding SEC comment or investigation. </w:t>
      </w:r>
    </w:p>
    <w:p>
      <w:pPr>
        <w:pStyle w:val="TextBody"/>
        <w:bidi w:val="0"/>
        <w:spacing w:before="120" w:after="0"/>
        <w:jc w:val="left"/>
        <w:rPr>
          <w:rFonts w:ascii="Times New Roman" w:hAnsi="Times New Roman"/>
          <w:sz w:val="20"/>
        </w:rPr>
      </w:pPr>
      <w:r>
        <w:rPr>
          <w:rFonts w:ascii="Times New Roman" w:hAnsi="Times New Roman"/>
          <w:sz w:val="20"/>
        </w:rPr>
        <w:t xml:space="preserve">(g) Parent is not a party to, or has any commitment to become a party to, any joint venture, off balance sheet partnership or any similar Contract (including any Contract or arrangement relating to any transaction or relationship between or among Parent, on the one hand, and any unconsolidated Affiliate, including any structured finance, special purpose or limited purpose entity or Person, on the other hand, or any “off balance sheet arrangements” (as defined in Item 303(a) of Regulation S K under the Exchange Act)), where the result, purpose or intended effect of such Contract is to avoid disclosure of any material transaction involving, or material liabilities of, Parent in Parent’s published financial statements or other Parent SEC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Parent is in compliance in all material respects with (i) the provisions of the Sarbanes-Oxley Act and (ii) the rules and regulations of Nasdaq, in each case, that are applicable to Parent. </w:t>
      </w:r>
    </w:p>
    <w:p>
      <w:pPr>
        <w:pStyle w:val="TextBody"/>
        <w:bidi w:val="0"/>
        <w:spacing w:before="240" w:after="0"/>
        <w:jc w:val="left"/>
        <w:rPr>
          <w:rFonts w:ascii="Times New Roman" w:hAnsi="Times New Roman"/>
          <w:sz w:val="20"/>
        </w:rPr>
      </w:pPr>
      <w:r>
        <w:rPr>
          <w:rFonts w:ascii="Times New Roman" w:hAnsi="Times New Roman"/>
          <w:sz w:val="20"/>
        </w:rPr>
        <w:t xml:space="preserve">Section 5.7 </w:t>
      </w:r>
      <w:r>
        <w:rPr>
          <w:rFonts w:ascii="Times New Roman" w:hAnsi="Times New Roman"/>
          <w:sz w:val="20"/>
          <w:u w:val="single"/>
        </w:rPr>
        <w:t>No Undisclosed Liabilities</w:t>
      </w:r>
      <w:r>
        <w:rPr>
          <w:rFonts w:ascii="Times New Roman" w:hAnsi="Times New Roman"/>
          <w:sz w:val="20"/>
        </w:rPr>
        <w:t xml:space="preserve">. Neither Parent nor any of its Subsidiaries has any liabilities or obligations of any nature, whether accrued, absolute, contingent or otherwise, known or unknown, whether due or to become due and whether or not required to be recorded or reflected on a balance sheet under GAAP, except (a) to the extent specifically and adequately accrued or reserved against in the unaudited balance sheet of Parent as at June 30, 2026 included in the -Parent SEC Documents (without giving effect to any amendment thereto filed on or after the date hereof) and (b) for liabilities and obligations incurred in the ordinary course of business consistent with past practice (none of which is a liability for a breach or default under any contract, breach of warranty, tort, infringement, misappropriation or violation of law) since June 30, 2026 that are not individually or in the aggregate material to Parent. </w:t>
      </w:r>
    </w:p>
    <w:p>
      <w:pPr>
        <w:pStyle w:val="TextBody"/>
        <w:bidi w:val="0"/>
        <w:spacing w:before="240" w:after="0"/>
        <w:jc w:val="left"/>
        <w:rPr>
          <w:rFonts w:ascii="Times New Roman" w:hAnsi="Times New Roman"/>
          <w:sz w:val="20"/>
        </w:rPr>
      </w:pPr>
      <w:r>
        <w:rPr>
          <w:rFonts w:ascii="Times New Roman" w:hAnsi="Times New Roman"/>
          <w:sz w:val="20"/>
        </w:rPr>
        <w:t xml:space="preserve">Section 5.8 </w:t>
      </w:r>
      <w:r>
        <w:rPr>
          <w:rFonts w:ascii="Times New Roman" w:hAnsi="Times New Roman"/>
          <w:sz w:val="20"/>
          <w:u w:val="single"/>
        </w:rPr>
        <w:t>Absence of Certain Changes or Events</w:t>
      </w:r>
      <w:r>
        <w:rPr>
          <w:rFonts w:ascii="Times New Roman" w:hAnsi="Times New Roman"/>
          <w:sz w:val="20"/>
        </w:rPr>
        <w:t xml:space="preserve">. Except as set forth in </w:t>
      </w:r>
      <w:r>
        <w:rPr>
          <w:rFonts w:ascii="Times New Roman" w:hAnsi="Times New Roman"/>
          <w:sz w:val="20"/>
          <w:u w:val="single"/>
        </w:rPr>
        <w:t>Section 5.8</w:t>
      </w:r>
      <w:r>
        <w:rPr>
          <w:rFonts w:ascii="Times New Roman" w:hAnsi="Times New Roman"/>
          <w:sz w:val="20"/>
        </w:rPr>
        <w:t xml:space="preserve"> of the Parent Disclosure Letter, since December 31, 2025, (i) except in connection with the execution of this Agreement and the consummation of the transactions contemplated hereby, Parent and its Subsidiaries have conducted their business only in the ordinary course consistent with past practice; (ii) there has not been any change, event or development or prospective change, event or development that, individually or in the aggregate, has had or would reasonably be expected to have a Material Adverse Effect; and (iii) neither Parent nor any of its Subsidiaries has: </w:t>
      </w:r>
    </w:p>
    <w:p>
      <w:pPr>
        <w:pStyle w:val="TextBody"/>
        <w:bidi w:val="0"/>
        <w:spacing w:before="120" w:after="0"/>
        <w:jc w:val="left"/>
        <w:rPr>
          <w:rFonts w:ascii="Times New Roman" w:hAnsi="Times New Roman"/>
          <w:sz w:val="20"/>
        </w:rPr>
      </w:pPr>
      <w:r>
        <w:rPr>
          <w:rFonts w:ascii="Times New Roman" w:hAnsi="Times New Roman"/>
          <w:sz w:val="20"/>
        </w:rPr>
        <w:t xml:space="preserve">(a) (i) declared, set aside or paid any dividends on, or made any other distributions (whether in cash, stock or property) in respect of, any of its capital stock or other equity interests, other than the Pre-Closing Cash Dividend, (ii) purchased, redeemed or otherwise acquired shares of capital stock or other equity interests of Parent or any of its Subsidiaries or any options, warrants, or rights to acquire any such shares or other equity interests, or (iii) split, combined, reclassified or otherwise amended the terms of any of its capital stock or other equity interests or issued or authorized the issuance of any other securities in respect of, in lieu of or in substitution for shares of its capital stock or other equity interests; </w:t>
      </w:r>
    </w:p>
    <w:p>
      <w:pPr>
        <w:pStyle w:val="TextBody"/>
        <w:bidi w:val="0"/>
        <w:spacing w:before="120" w:after="0"/>
        <w:jc w:val="left"/>
        <w:rPr>
          <w:rFonts w:ascii="Times New Roman" w:hAnsi="Times New Roman"/>
          <w:sz w:val="20"/>
        </w:rPr>
      </w:pPr>
      <w:r>
        <w:rPr>
          <w:rFonts w:ascii="Times New Roman" w:hAnsi="Times New Roman"/>
          <w:sz w:val="20"/>
        </w:rPr>
        <w:t xml:space="preserve">(b) amended or otherwise changed, or authorized or proposed to amend or otherwise change, its certificate of incorporation or by-laws (or similar organizational documents); </w:t>
      </w:r>
    </w:p>
    <w:p>
      <w:pPr>
        <w:pStyle w:val="TextBody"/>
        <w:bidi w:val="0"/>
        <w:spacing w:before="120" w:after="0"/>
        <w:jc w:val="left"/>
        <w:rPr>
          <w:rFonts w:ascii="Times New Roman" w:hAnsi="Times New Roman"/>
          <w:sz w:val="20"/>
        </w:rPr>
      </w:pPr>
      <w:r>
        <w:rPr>
          <w:rFonts w:ascii="Times New Roman" w:hAnsi="Times New Roman"/>
          <w:sz w:val="20"/>
        </w:rPr>
        <w:t xml:space="preserve">(c) adopted or entered into a plan of complete or partial liquidation, dissolution, restructuring, recapitalization or reorganization; or </w:t>
      </w:r>
    </w:p>
    <w:p>
      <w:pPr>
        <w:pStyle w:val="TextBody"/>
        <w:bidi w:val="0"/>
        <w:spacing w:before="120" w:after="0"/>
        <w:jc w:val="left"/>
        <w:rPr>
          <w:rFonts w:ascii="Times New Roman" w:hAnsi="Times New Roman"/>
          <w:sz w:val="20"/>
        </w:rPr>
      </w:pPr>
      <w:r>
        <w:rPr>
          <w:rFonts w:ascii="Times New Roman" w:hAnsi="Times New Roman"/>
          <w:sz w:val="20"/>
        </w:rPr>
        <w:t xml:space="preserve">(d) changed its financial or Tax accounting methods, principles or practices, except insofar as may have been required by a change in GAAP or applicable Law, or revalued any of its material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5.9 </w:t>
      </w:r>
      <w:r>
        <w:rPr>
          <w:rFonts w:ascii="Times New Roman" w:hAnsi="Times New Roman"/>
          <w:sz w:val="20"/>
          <w:u w:val="single"/>
        </w:rPr>
        <w:t>Litigation</w:t>
      </w:r>
      <w:r>
        <w:rPr>
          <w:rFonts w:ascii="Times New Roman" w:hAnsi="Times New Roman"/>
          <w:sz w:val="20"/>
        </w:rPr>
        <w:t xml:space="preserve">. There is no Action (or basis therefor) pending or, to the knowledge of Parent, threatened against or affecting Parent or any of its Subsidiaries, any of its properties or assets, or any present or former officer, director or employee of Parent or any of its Subsidiaries in such individual’s capacity as such, other than any Action that (a) does not involve an amount in controversy in excess of $100,000 and (b) does not seek injunctive or other non-monetary relief. Neither Parent nor any of its Subsidiaries nor any of their respective properties or assets is subject to any outstanding judgment, order, injunction, rule or decree of any Governmental Entity. There is no Action pending or, to the knowledge of Parent, threatened seeking to prevent, hinder, modify, delay or challenge the Merger or any of the other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Compliance with Law</w:t>
      </w:r>
      <w:r>
        <w:rPr>
          <w:rFonts w:ascii="Times New Roman" w:hAnsi="Times New Roman"/>
          <w:sz w:val="20"/>
        </w:rPr>
        <w:t xml:space="preserve">. Parent and each of its Subsidiaries are and have been in compliance in all material respects with all Laws applicable to its businesses, operations, properties or assets. Neither Parent nor any of its Subsidiaries has received, since January 1, 2023, a notice or other written communication alleging or relating to a possible material violation of any Law applicable to its business, operations, properties, assets or Parent Products (as defined below). Parent and each of its Subsidiaries have in effect all material Permits of all Governmental Entities necessary or advisable for it to own, lease or operate its properties and assets and to carry on its business and operations as now conducted, and there has occurred no violation of, default (with or without notice or lapse of time or both) under or event giving to others any right of revocation, non-renewal, adverse modification or cancellation of, with or without notice or lapse of time or both, any such Permit, nor would any such revocation, non-renewal, adverse modification or cancellation result from the consummation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Health Care Regulatory Matters</w:t>
      </w:r>
      <w:r>
        <w:rPr>
          <w:rFonts w:ascii="Times New Roman" w:hAnsi="Times New Roman"/>
          <w:sz w:val="20"/>
        </w:rPr>
        <w:t xml:space="preserve">. Except as set forth in </w:t>
      </w:r>
      <w:r>
        <w:rPr>
          <w:rFonts w:ascii="Times New Roman" w:hAnsi="Times New Roman"/>
          <w:sz w:val="20"/>
          <w:u w:val="single"/>
        </w:rPr>
        <w:t>Section 5.11</w:t>
      </w:r>
      <w:r>
        <w:rPr>
          <w:rFonts w:ascii="Times New Roman" w:hAnsi="Times New Roman"/>
          <w:sz w:val="20"/>
        </w:rPr>
        <w:t xml:space="preserve"> of the Parent Disclosure Letter: </w:t>
      </w:r>
    </w:p>
    <w:p>
      <w:pPr>
        <w:pStyle w:val="TextBody"/>
        <w:bidi w:val="0"/>
        <w:spacing w:before="120" w:after="0"/>
        <w:jc w:val="left"/>
        <w:rPr>
          <w:rFonts w:ascii="Times New Roman" w:hAnsi="Times New Roman"/>
          <w:sz w:val="20"/>
        </w:rPr>
      </w:pPr>
      <w:r>
        <w:rPr>
          <w:rFonts w:ascii="Times New Roman" w:hAnsi="Times New Roman"/>
          <w:sz w:val="20"/>
        </w:rPr>
        <w:t xml:space="preserve">(a) Parent, and to the knowledge of Parent, each of its directors, officers, management employees, and agents (while acting in such capacity) is, and at all times prior hereto was, in material compliance with all Health Care Laws to the extent applicable to Parent or any of its products or activities. To the knowledge of Parent, there are no facts or circumstances that reasonably would be expected to give rise to any material liability under any Health Care Laws. </w:t>
      </w:r>
    </w:p>
    <w:p>
      <w:pPr>
        <w:pStyle w:val="TextBody"/>
        <w:bidi w:val="0"/>
        <w:spacing w:before="120" w:after="0"/>
        <w:jc w:val="left"/>
        <w:rPr>
          <w:rFonts w:ascii="Times New Roman" w:hAnsi="Times New Roman"/>
          <w:sz w:val="20"/>
        </w:rPr>
      </w:pPr>
      <w:r>
        <w:rPr>
          <w:rFonts w:ascii="Times New Roman" w:hAnsi="Times New Roman"/>
          <w:sz w:val="20"/>
        </w:rPr>
        <w:t xml:space="preserve">(b) Neither Parent nor any of its Subsidiaries is party to any material corporate integrity agreements, monitoring agreements, consent decrees, settlement orders, or similar agreements with or imposed by any Governmental Entity. </w:t>
      </w:r>
    </w:p>
    <w:p>
      <w:pPr>
        <w:pStyle w:val="TextBody"/>
        <w:bidi w:val="0"/>
        <w:spacing w:before="120" w:after="0"/>
        <w:jc w:val="left"/>
        <w:rPr>
          <w:rFonts w:ascii="Times New Roman" w:hAnsi="Times New Roman"/>
          <w:sz w:val="20"/>
        </w:rPr>
      </w:pPr>
      <w:r>
        <w:rPr>
          <w:rFonts w:ascii="Times New Roman" w:hAnsi="Times New Roman"/>
          <w:sz w:val="20"/>
        </w:rPr>
        <w:t>(c) All applications, notifications, submissions, information, claims, reports and statistical analyses, and other data and conclusions derived therefrom, utilized as the basis for or submitted in connection with any and all requests for a Permit from the FDA or other Governmental Entity relating to products that are regulated under Health Care Laws, including biological candidates, compounds or products being researched, tested, stored, developed, labeled, manufactured, packed, imported, exported and/or distributed by Parent or any of its Subsidiaries (“</w:t>
      </w:r>
      <w:r>
        <w:rPr>
          <w:rFonts w:ascii="Times New Roman" w:hAnsi="Times New Roman"/>
          <w:sz w:val="20"/>
          <w:u w:val="single"/>
        </w:rPr>
        <w:t>Parent Products</w:t>
      </w:r>
      <w:r>
        <w:rPr>
          <w:rFonts w:ascii="Times New Roman" w:hAnsi="Times New Roman"/>
          <w:sz w:val="20"/>
        </w:rPr>
        <w:t xml:space="preserve">”), including, without limitation, investigational new drug applications, when submitted to the FDA or other Governmental Entity were true, complete and correct in all material respects as of the date of submission and any necessary or required updates, changes, corrections or modification to such applications, submissions, information and data have been submitted to the FDA or other Governmental Entity. Parent does not have knowledge of any facts or circumstances that would be reasonably likely to lead to the revocation, suspension, limitation, or cancellation of a Permit required under Health Care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All preclinical studies and clinical trials conducted by or, to the knowledge of Parent, on behalf of Parent in respect of a Parent Product for submission to the FDA or other Governmental Entity have been since January 1, 2020, and if still pending are being, conducted in material compliance with research protocols and all applicable Health Care Laws, including, but not limited to, the FDCA and its applicable implementing regulations at 21 C.F.R. Parts 50, 54, 56, 58, 312, 314 and 812. No clinical trial conducted by or on behalf of Parent has been conducted using any clinical investigators who have been disqualified. Except as set forth on </w:t>
      </w:r>
      <w:r>
        <w:rPr>
          <w:rFonts w:ascii="Times New Roman" w:hAnsi="Times New Roman"/>
          <w:sz w:val="20"/>
          <w:u w:val="single"/>
        </w:rPr>
        <w:t>Section 5.11(d)</w:t>
      </w:r>
      <w:r>
        <w:rPr>
          <w:rFonts w:ascii="Times New Roman" w:hAnsi="Times New Roman"/>
          <w:sz w:val="20"/>
        </w:rPr>
        <w:t xml:space="preserve"> of the Parent Disclosure Letter, no clinical trial conducted by or on behalf of the Company has been terminated or suspended prior to completion, and no clinical investigator that has participated or is participating in, or institutional review board that has or has had jurisdiction over, a clinical trial conducted by or on behalf of Parent has placed a clinical hold order on, or otherwise terminated, delayed or suspended, such a clinical trial at a clinical research site based on an actual or alleged lack of safety or efficacy of any Parent Product or a failure to conduct such clinical trial in compliance with applicable Health Care Laws. </w:t>
      </w:r>
    </w:p>
    <w:p>
      <w:pPr>
        <w:pStyle w:val="TextBody"/>
        <w:bidi w:val="0"/>
        <w:spacing w:before="120" w:after="0"/>
        <w:jc w:val="left"/>
        <w:rPr>
          <w:rFonts w:ascii="Times New Roman" w:hAnsi="Times New Roman"/>
          <w:sz w:val="20"/>
        </w:rPr>
      </w:pPr>
      <w:r>
        <w:rPr>
          <w:rFonts w:ascii="Times New Roman" w:hAnsi="Times New Roman"/>
          <w:sz w:val="20"/>
        </w:rPr>
        <w:t xml:space="preserve">(e) All manufacturing operations conducted by or, to the knowledge of Parent, for the benefit of Parent have been and are being conducted in material compliance with all Permits under applicable Health Care Laws, all applicable provisions of the FDA’s current good manufacturing practice (cGMP) regulations at 21 C.F.R. Parts 210-211 and Parts 600 and 610 and FDA’s Quality Management System (QMS) regulations at 21 C.F.R. Part 820, and all comparable foreign regulatory requirements of any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(f) Parent has not received any written communication that relates to an alleged violation or non-compliance with any Health Care Laws, including any notification of any pending or threatened claim, suit, proceeding, hearing, enforcement, investigation, arbitration, import detention or refusal, FDA Warning Letter or Untitled Letter, or any action by a Governmental Entity relating to any Health Care Laws. All Warning Letters, Form-483 observations, or comparable findings from other Governmental Entities listed in </w:t>
      </w:r>
      <w:r>
        <w:rPr>
          <w:rFonts w:ascii="Times New Roman" w:hAnsi="Times New Roman"/>
          <w:sz w:val="20"/>
          <w:u w:val="single"/>
        </w:rPr>
        <w:t>Section 5.11(f)</w:t>
      </w:r>
      <w:r>
        <w:rPr>
          <w:rFonts w:ascii="Times New Roman" w:hAnsi="Times New Roman"/>
          <w:sz w:val="20"/>
        </w:rPr>
        <w:t xml:space="preserve"> of the Parent Disclosure Letter have been resolved to the satisfaction of the applicable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(g) There have been no seizures, withdrawals, recalls, detentions, or suspensions of manufacturing, testing, or distribution relating to the Parent Products required or requested by a Governmental Entity, or other Safety Notices. All Safety Notices listed in </w:t>
      </w:r>
      <w:r>
        <w:rPr>
          <w:rFonts w:ascii="Times New Roman" w:hAnsi="Times New Roman"/>
          <w:sz w:val="20"/>
          <w:u w:val="single"/>
        </w:rPr>
        <w:t>Section 5.11(g)</w:t>
      </w:r>
      <w:r>
        <w:rPr>
          <w:rFonts w:ascii="Times New Roman" w:hAnsi="Times New Roman"/>
          <w:sz w:val="20"/>
        </w:rPr>
        <w:t xml:space="preserve"> of the Parent Disclosure Letter have been resolved to the satisfaction of the applicable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(h) Except as set forth in </w:t>
      </w:r>
      <w:r>
        <w:rPr>
          <w:rFonts w:ascii="Times New Roman" w:hAnsi="Times New Roman"/>
          <w:sz w:val="20"/>
          <w:u w:val="single"/>
        </w:rPr>
        <w:t>Section 5.11(h)</w:t>
      </w:r>
      <w:r>
        <w:rPr>
          <w:rFonts w:ascii="Times New Roman" w:hAnsi="Times New Roman"/>
          <w:sz w:val="20"/>
        </w:rPr>
        <w:t xml:space="preserve"> of the Parent Disclosure Letter, there are no unresolved Safety Notices, and to the knowledge Parent, there are no facts or circumstances that would be reasonably likely to result in a Safety Notice with respect to the Parent Products or a termination or suspension of developing and testing of any of the Parent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Neither Parent, nor, to the knowledge of Parent, any officer, director, employee, or agent of Parent has made an untrue statement of a material fact or fraudulent or misleading statement to a Governmental Entity, failed to disclose a material fact required to be disclosed to a Governmental Entity, or committed an act, made a statement, or failed to make a statement that would reasonably be expected to provide a basis for the FDA to invoke its FDA Ethics Policy. None of the aforementioned is or has been under investigation resulting from any allegedly untrue, fraudulent, misleading, or false statement or omission, including data fraud, or had any action pending or threatened relating to the FDA Ethics Policy. </w:t>
      </w:r>
    </w:p>
    <w:p>
      <w:pPr>
        <w:pStyle w:val="TextBody"/>
        <w:bidi w:val="0"/>
        <w:spacing w:before="120" w:after="0"/>
        <w:jc w:val="left"/>
        <w:rPr>
          <w:rFonts w:ascii="Times New Roman" w:hAnsi="Times New Roman"/>
          <w:sz w:val="20"/>
        </w:rPr>
      </w:pPr>
      <w:r>
        <w:rPr>
          <w:rFonts w:ascii="Times New Roman" w:hAnsi="Times New Roman"/>
          <w:sz w:val="20"/>
        </w:rPr>
        <w:t xml:space="preserve">(j) All reports, documents, claims, Permits and notices required to be filed, maintained or furnished to the FDA or any Governmental Entity by Parent have been so filed, maintained or furnished, except where failure to file, maintain or furnish such reports, documents, claims, Permits or notices have not had and would not reasonably be expected to have, individually or in the aggregate, a Material Adverse Effect. All such reports, documents, claims, Permits and notices were true and complete in all material respects on the date filed (or were corrected in or supplemented by a subsequent filing). </w:t>
      </w:r>
    </w:p>
    <w:p>
      <w:pPr>
        <w:pStyle w:val="TextBody"/>
        <w:bidi w:val="0"/>
        <w:spacing w:before="120" w:after="0"/>
        <w:jc w:val="left"/>
        <w:rPr>
          <w:rFonts w:ascii="Times New Roman" w:hAnsi="Times New Roman"/>
          <w:sz w:val="20"/>
        </w:rPr>
      </w:pPr>
      <w:r>
        <w:rPr>
          <w:rFonts w:ascii="Times New Roman" w:hAnsi="Times New Roman"/>
          <w:sz w:val="20"/>
        </w:rPr>
        <w:t xml:space="preserve">(k) Neither Parent nor, to the knowledge of Parent, any officer, director, employee, or agent of Parent has been convicted of any crime or engaged in any conduct that has resulted, or would reasonably be expected to result, in debarment under applicable Law, including, without limitation, 21 U.S.C. § 335a, or exclusion under 42 U.S.C. § 1320a-7, or any other statutory provision or similar law applicable in other jurisdictions in which the Parent Products are sold or intended to be sold. Neither Parent nor, to the knowledge of Parent, any officer, director, employee, or agent of Parent, has been excluded from participation in any federal health care program or convicted of any crime or engaged in any conduct for which such Person could be excluded from participating in any federal health care program under Section 1128 of the Social Security Act of 1935, as amended, or any similar Health Care Law or program. </w:t>
      </w:r>
    </w:p>
    <w:p>
      <w:pPr>
        <w:pStyle w:val="TextBody"/>
        <w:bidi w:val="0"/>
        <w:spacing w:before="240" w:after="0"/>
        <w:jc w:val="left"/>
        <w:rPr>
          <w:rFonts w:ascii="Times New Roman" w:hAnsi="Times New Roman"/>
          <w:sz w:val="20"/>
        </w:rPr>
      </w:pPr>
      <w:r>
        <w:rPr>
          <w:rFonts w:ascii="Times New Roman" w:hAnsi="Times New Roman"/>
          <w:sz w:val="20"/>
        </w:rPr>
        <w:t xml:space="preserve">Section 5.12 </w:t>
      </w:r>
      <w:r>
        <w:rPr>
          <w:rFonts w:ascii="Times New Roman" w:hAnsi="Times New Roman"/>
          <w:sz w:val="20"/>
          <w:u w:val="single"/>
        </w:rPr>
        <w:t>Benefit Plans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5.12(a)</w:t>
      </w:r>
      <w:r>
        <w:rPr>
          <w:rFonts w:ascii="Times New Roman" w:hAnsi="Times New Roman"/>
          <w:sz w:val="20"/>
        </w:rPr>
        <w:t xml:space="preserve"> of the Parent Disclosure Letter contains a true, correct and complete list of each material Parent Plan. </w:t>
      </w:r>
    </w:p>
    <w:p>
      <w:pPr>
        <w:pStyle w:val="TextBody"/>
        <w:bidi w:val="0"/>
        <w:spacing w:before="120" w:after="0"/>
        <w:jc w:val="left"/>
        <w:rPr>
          <w:rFonts w:ascii="Times New Roman" w:hAnsi="Times New Roman"/>
          <w:sz w:val="20"/>
        </w:rPr>
      </w:pPr>
      <w:r>
        <w:rPr>
          <w:rFonts w:ascii="Times New Roman" w:hAnsi="Times New Roman"/>
          <w:sz w:val="20"/>
        </w:rPr>
        <w:t xml:space="preserve">(b) Parent has provided or made available to the Company a current, accurate and complete copy of each material Parent Plan, or if such Parent Plan is not in written form, a written summary of all of the material terms of such Parent Plan. With respect to each Parent Plan, Parent has furnished or made available to the Company a current, accurate and complete copy of, to the extent applicable: (i) all documents embodying or governing such Parent Plan and any related trust agreement or other funding instrument, (ii) the most recent determination letter of the IRS, (iii) any summary plan description, summary of material modifications, and other similar material written communications (or a written description of any material oral communications) to the employees of Parent or its Subsidiaries concerning the extent of the benefits provided under a Parent Plan, (iv) all non-routine correspondence to and from any governmental agency, and (v) for the three most recent years and as applicable (A) the Form 5500 and attached schedules, (B) audited financial statements, (C) nondiscrimination testing results and (D) actuarial valuation reports.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Neither Parent, its Subsidiaries or any member of their Controlled Group has ever sponsored, maintained, contributed to, or been required to contribute to or incurred any liability (contingent or otherwise) with respect to: (i) a Multiemployer Plan, (ii) an “employee pension benefit plan” (within the meaning of Section 3(2) of ERISA) that is subject to Title IV of ERISA or Section 412 of the Code or Section 302 of ERISA, (iii) any “multiple employer plan” as defined in Section 413 of the Code or Section 210 of ERISA, (iv) a “funded welfare benefit plan” within the meaning of Section 419 of the Code or (v) any “multiple employer welfare arrangement” (as such term is defined in Section 3(40) of ERISA), and neither Parent nor any of its Subsidiaries or any member of their Controlled Group has ever incurred any liability under Title IV of ERISA that has not been paid in full. </w:t>
      </w:r>
    </w:p>
    <w:p>
      <w:pPr>
        <w:pStyle w:val="TextBody"/>
        <w:bidi w:val="0"/>
        <w:spacing w:before="120" w:after="0"/>
        <w:jc w:val="left"/>
        <w:rPr>
          <w:rFonts w:ascii="Times New Roman" w:hAnsi="Times New Roman"/>
          <w:sz w:val="20"/>
        </w:rPr>
      </w:pPr>
      <w:r>
        <w:rPr>
          <w:rFonts w:ascii="Times New Roman" w:hAnsi="Times New Roman"/>
          <w:sz w:val="20"/>
        </w:rPr>
        <w:t xml:space="preserve">(d) With respect to the Parent Plans: </w:t>
      </w:r>
    </w:p>
    <w:p>
      <w:pPr>
        <w:pStyle w:val="TextBody"/>
        <w:bidi w:val="0"/>
        <w:spacing w:before="120" w:after="0"/>
        <w:jc w:val="left"/>
        <w:rPr>
          <w:rFonts w:ascii="Times New Roman" w:hAnsi="Times New Roman"/>
          <w:sz w:val="20"/>
        </w:rPr>
      </w:pPr>
      <w:r>
        <w:rPr>
          <w:rFonts w:ascii="Times New Roman" w:hAnsi="Times New Roman"/>
          <w:sz w:val="20"/>
        </w:rPr>
        <w:t xml:space="preserve">(i) each Parent Plan is and has been established, operated and administered in all material respects with its terms and materially complies in form and in operation with the applicable provisions of ERISA and the Code and all other applicable legal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(ii) no Parent Plan is, or within the past six years has been, the subject of an application or filing under a government sponsored amnesty, voluntary compliance, or similar program, or been the subject of any self-correction under any such program; </w:t>
      </w:r>
    </w:p>
    <w:p>
      <w:pPr>
        <w:pStyle w:val="TextBody"/>
        <w:bidi w:val="0"/>
        <w:spacing w:before="120" w:after="0"/>
        <w:jc w:val="left"/>
        <w:rPr>
          <w:rFonts w:ascii="Times New Roman" w:hAnsi="Times New Roman"/>
          <w:sz w:val="20"/>
        </w:rPr>
      </w:pPr>
      <w:r>
        <w:rPr>
          <w:rFonts w:ascii="Times New Roman" w:hAnsi="Times New Roman"/>
          <w:sz w:val="20"/>
        </w:rPr>
        <w:t xml:space="preserve">(iii) each Parent Plan intended to be qualified under Section 401(a) of the Code has received a favorable determination, advisory and/or opinion letter, as applicable, from the IRS that it is so qualified and nothing has occurred to the knowledge of Parent since the date of such letter that would reasonably be expected to cause the loss of the sponsor’s ability to rely upon such letter, and nothing has occurred to the knowledge of Parent that would reasonably be expected to result in the loss of the qualified status of such Parent Plan; </w:t>
      </w:r>
    </w:p>
    <w:p>
      <w:pPr>
        <w:pStyle w:val="TextBody"/>
        <w:bidi w:val="0"/>
        <w:spacing w:before="120" w:after="0"/>
        <w:jc w:val="left"/>
        <w:rPr>
          <w:rFonts w:ascii="Times New Roman" w:hAnsi="Times New Roman"/>
          <w:sz w:val="20"/>
        </w:rPr>
      </w:pPr>
      <w:r>
        <w:rPr>
          <w:rFonts w:ascii="Times New Roman" w:hAnsi="Times New Roman"/>
          <w:sz w:val="20"/>
        </w:rPr>
        <w:t xml:space="preserve">(iv) there is no material Action (including any investigation, audit or other administrative proceeding) by the Department of Labor, the PBGC, the IRS or any other Governmental Entity or by any plan participant or beneficiary pending, or to the knowledge of Parent, threatened, relating to the Parent Plans, any fiduciaries thereof with respect to their duties to Parent Plans or the assets of any of the trusts under any of Parent Plans (other than routine claims for benefits); </w:t>
      </w:r>
    </w:p>
    <w:p>
      <w:pPr>
        <w:pStyle w:val="TextBody"/>
        <w:bidi w:val="0"/>
        <w:spacing w:before="120" w:after="0"/>
        <w:jc w:val="left"/>
        <w:rPr>
          <w:rFonts w:ascii="Times New Roman" w:hAnsi="Times New Roman"/>
          <w:sz w:val="20"/>
        </w:rPr>
      </w:pPr>
      <w:r>
        <w:rPr>
          <w:rFonts w:ascii="Times New Roman" w:hAnsi="Times New Roman"/>
          <w:sz w:val="20"/>
        </w:rPr>
        <w:t xml:space="preserve">(v) none of the Parent Plans currently provides, or reflects or represents any liability to provide post-termination or retiree welfare benefits to any person for any reason, except as may be required by COBRA, and none of Parent, its Subsidiaries or any members of their Controlled Group has any liability to provide post-termination or retiree welfare benefits to any person or ever represented, promised or contracted to any employee or former employee of Parent (either individually or to Parent employees as a group) or any other person that such employee(s) or other person would be provided with post-termination or retiree welfare benefits, except to the extent required by statute or except with respect to a contractual obligation to reimburse any premiums such person may pay in order to obtain health coverage under COBRA; </w:t>
      </w:r>
    </w:p>
    <w:p>
      <w:pPr>
        <w:pStyle w:val="TextBody"/>
        <w:bidi w:val="0"/>
        <w:spacing w:before="120" w:after="0"/>
        <w:jc w:val="left"/>
        <w:rPr>
          <w:rFonts w:ascii="Times New Roman" w:hAnsi="Times New Roman"/>
          <w:sz w:val="20"/>
        </w:rPr>
      </w:pPr>
      <w:r>
        <w:rPr>
          <w:rFonts w:ascii="Times New Roman" w:hAnsi="Times New Roman"/>
          <w:sz w:val="20"/>
        </w:rPr>
        <w:t xml:space="preserve">(vi) all payments and/or contributions required to have been timely made with respect to all Parent Plans either have been made or have been accrued in accordance with the terms of the applicable Parent Plan and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(vii) each Parent Plan is subject exclusively to United States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the execution and delivery of this Agreement, the Parent Stockholder Approval, and the consummation of the Merger will not, either alone or in combination with any other event, (A) entitle any current or former employee, officer, director or consultant of Parent or any Subsidiary to severance pay, unemployment compensation or any other similar termination payment, (B) accelerate the time of payment or vesting, or increase the amount of or otherwise enhance any benefit due any such employee, officer, director or consultant, (C) trigger the forgiveness of any indebtedness of any such employee, officer, director or consultant, (D) restrict the rights of the Parent or any Subsidiary to amend or terminate any Parent Plan, or (E) otherwise result in any additional compensation obligation of the Parent or any Subsidiary; </w:t>
      </w:r>
    </w:p>
    <w:p>
      <w:pPr>
        <w:pStyle w:val="TextBody"/>
        <w:bidi w:val="0"/>
        <w:spacing w:before="120" w:after="0"/>
        <w:jc w:val="left"/>
        <w:rPr>
          <w:rFonts w:ascii="Times New Roman" w:hAnsi="Times New Roman"/>
          <w:sz w:val="20"/>
        </w:rPr>
      </w:pPr>
      <w:r>
        <w:rPr>
          <w:rFonts w:ascii="Times New Roman" w:hAnsi="Times New Roman"/>
          <w:sz w:val="20"/>
        </w:rPr>
        <w:t xml:space="preserve">(e) Neither Parent nor any of its Subsidiaries is a party to any agreement, contract, arrangement or plan (including any Parent Plan) that may reasonably be expected to result, separately or in the aggregate, in connection with the transactions contemplated by this Agreement (either alone or in combination with any other events), in the payment of any “parachute payments” within the meaning of Section 280G of the Code. There is no agreement, plan or other arrangement to which Parent or any Subsidiary is a party or by which Parent or any Subsidiary is otherwise bound to compensate any person in respect of Taxes or other liabilities incurred with respect to Section 409A or 4999 of the Code. </w:t>
      </w:r>
    </w:p>
    <w:p>
      <w:pPr>
        <w:pStyle w:val="TextBody"/>
        <w:bidi w:val="0"/>
        <w:spacing w:before="120" w:after="0"/>
        <w:jc w:val="left"/>
        <w:rPr>
          <w:rFonts w:ascii="Times New Roman" w:hAnsi="Times New Roman"/>
          <w:sz w:val="20"/>
        </w:rPr>
      </w:pPr>
      <w:r>
        <w:rPr>
          <w:rFonts w:ascii="Times New Roman" w:hAnsi="Times New Roman"/>
          <w:sz w:val="20"/>
        </w:rPr>
        <w:t xml:space="preserve">(f) Each Parent Plan that is a “nonqualified deferred compensation plan” within the meaning of Section 409A of the Code (or any comparable or similar provision of state, local, or foreign Law) complies in both form and operation in all material respects with the requirements of Section 409A of the Code (or any comparable or similar provision of state, local, or foreign Law) and all applicable IRS guidance issued with respect thereto (and has so complied for the entire period during which Section 409A of the Code has applied to such Parent Plan) so that no amount paid or payable pursuant to any such Parent Plan is subject to any additional Tax or interest under Section 409A of the Code (or any comparable or similar provision of state, local, or foreign Law) The per share exercise price of each Parent Option is no less than the fair market value of a share of Parent Common Stock on the date of grant of such Parent Option, determined in a manner consistent with Section 409A of the Code, and no payment to be made under any Parent Plan is, or to the knowledge of the Parent, will be, subject to the penalties of Section 409A(a)(1) of the Code. </w:t>
      </w:r>
    </w:p>
    <w:p>
      <w:pPr>
        <w:pStyle w:val="TextBody"/>
        <w:bidi w:val="0"/>
        <w:spacing w:before="120" w:after="0"/>
        <w:jc w:val="left"/>
        <w:rPr>
          <w:rFonts w:ascii="Times New Roman" w:hAnsi="Times New Roman"/>
          <w:sz w:val="20"/>
        </w:rPr>
      </w:pPr>
      <w:r>
        <w:rPr>
          <w:rFonts w:ascii="Times New Roman" w:hAnsi="Times New Roman"/>
          <w:sz w:val="20"/>
        </w:rPr>
        <w:t xml:space="preserve">(g) No Parent Plan provides major medical health or long-term disability benefits that are not fully insured through an insurance contract. </w:t>
      </w:r>
    </w:p>
    <w:p>
      <w:pPr>
        <w:pStyle w:val="TextBody"/>
        <w:bidi w:val="0"/>
        <w:spacing w:before="240" w:after="0"/>
        <w:jc w:val="left"/>
        <w:rPr>
          <w:rFonts w:ascii="Times New Roman" w:hAnsi="Times New Roman"/>
          <w:sz w:val="20"/>
        </w:rPr>
      </w:pPr>
      <w:r>
        <w:rPr>
          <w:rFonts w:ascii="Times New Roman" w:hAnsi="Times New Roman"/>
          <w:sz w:val="20"/>
        </w:rPr>
        <w:t xml:space="preserve">Section 5.13 </w:t>
      </w:r>
      <w:r>
        <w:rPr>
          <w:rFonts w:ascii="Times New Roman" w:hAnsi="Times New Roman"/>
          <w:sz w:val="20"/>
          <w:u w:val="single"/>
        </w:rPr>
        <w:t>Labor and Employment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Parent and each of its Subsidiaries are and, since January 1, 2023, have been in compliance in all material respects with all applicable Laws relating to labor or employment matters, including those relating to employment practices, terms and conditions of employment, collective bargaining, disability, immigration, health and safety, wages, hours and benefits, non-discrimination in employment, workers’ compensation, the collection and payment of withholding and/or payroll Taxes and similar Taxes, unemployment compensation, equal employment opportunity, discrimination, harassment, employee and contractor classification, restrictive covenants, pay equity, information privacy and security, and continuation coverage with respect to group health plans. Since January 1, 2023, there has not been, and as of the date of this Agreement there is not pending or, to the knowledge of Parent, threatened, any labor dispute, work stoppage, labor strike or lockout against Parent or any of its Subsidiaries by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 employee of Parent or any of its Subsidiaries is, or since January 1, 2023 has been, covered by a collective bargaining agreement or similar labor agreement. To the knowledge of Parent, there has not been any activity on behalf of any labor union, labor organization or similar representative group to organize any employees of Parent or any of its Subsidiaries. There are no and since January 1, 2023 there has not been any: (i) unfair labor practice charges or complaints against Parent or any of its Subsidiaries pending before the National Labor Relations Board or any other labor relations tribunal or authority and to the knowledge of Parent no such representations, claims or petitions are threatened, (ii) representations, claims, or petitions pending before the National Labor Relations Board or any other labor tribunal or (iii) grievances or pending arbitration proceedings against Parent or any of its Subsidiaries that arose out of or under any collective bargaining agreement. </w:t>
      </w:r>
    </w:p>
    <w:p>
      <w:pPr>
        <w:pStyle w:val="TextBody"/>
        <w:bidi w:val="0"/>
        <w:spacing w:before="120" w:after="0"/>
        <w:jc w:val="left"/>
        <w:rPr>
          <w:rFonts w:ascii="Times New Roman" w:hAnsi="Times New Roman"/>
          <w:sz w:val="20"/>
        </w:rPr>
      </w:pPr>
      <w:r>
        <w:rPr>
          <w:rFonts w:ascii="Times New Roman" w:hAnsi="Times New Roman"/>
          <w:sz w:val="20"/>
        </w:rPr>
        <w:t xml:space="preserve">(c) Since January 1, 2025, (i) neither Parent nor any of its Subsidiaries has effectuated a “plant closing” (as defined in the WARN Act) affecting any site of employment or one or more facilities or operating units within any site of employment or facility, (ii) there has not occurred a “mass layoff” (as defined in the WARN Act) in connection with Parent or any of its Subsidiaries affecting any site of employment or one or more facilities or operating units within any site of employment or facility and (iii) neither Parent nor any of its Subsidiaries has engaged in layoffs or employment terminations sufficient in number to trigger application of any similar state, local or foreign law. </w:t>
      </w:r>
    </w:p>
    <w:p>
      <w:pPr>
        <w:pStyle w:val="TextBody"/>
        <w:bidi w:val="0"/>
        <w:spacing w:before="120" w:after="0"/>
        <w:jc w:val="left"/>
        <w:rPr>
          <w:rFonts w:ascii="Times New Roman" w:hAnsi="Times New Roman"/>
          <w:sz w:val="20"/>
        </w:rPr>
      </w:pPr>
      <w:r>
        <w:rPr>
          <w:rFonts w:ascii="Times New Roman" w:hAnsi="Times New Roman"/>
          <w:sz w:val="20"/>
        </w:rPr>
        <w:t xml:space="preserve">(d) Except as set forth on </w:t>
      </w:r>
      <w:r>
        <w:rPr>
          <w:rFonts w:ascii="Times New Roman" w:hAnsi="Times New Roman"/>
          <w:sz w:val="20"/>
          <w:u w:val="single"/>
        </w:rPr>
        <w:t>Section 5.13(d)</w:t>
      </w:r>
      <w:r>
        <w:rPr>
          <w:rFonts w:ascii="Times New Roman" w:hAnsi="Times New Roman"/>
          <w:sz w:val="20"/>
        </w:rPr>
        <w:t xml:space="preserve"> of the Parent Disclosure Letter, with respect to any current or former employee, officer, consultant, or service provider of Parent, there are no Actions against Parent or any of its Subsidiaries pending, or to Parent’s knowledge, threatened to be brought or filed, in connection with the employment or engagement of any current or former employee, officer, consultant, or service provider of Parent, including, without limitation, any claim relating to employment discrimination, harassment, retaliation, equal pay, employment classification, contractor classification, wages, hours, and benefits or any other employment related matter arising under applicable Laws, except where such action would not, individually or in the aggregate, result in Parent incurring a material liability. </w:t>
      </w:r>
    </w:p>
    <w:p>
      <w:pPr>
        <w:pStyle w:val="TextBody"/>
        <w:bidi w:val="0"/>
        <w:spacing w:before="120" w:after="0"/>
        <w:jc w:val="left"/>
        <w:rPr>
          <w:rFonts w:ascii="Times New Roman" w:hAnsi="Times New Roman"/>
          <w:sz w:val="20"/>
        </w:rPr>
      </w:pPr>
      <w:r>
        <w:rPr>
          <w:rFonts w:ascii="Times New Roman" w:hAnsi="Times New Roman"/>
          <w:sz w:val="20"/>
        </w:rPr>
        <w:t xml:space="preserve">(e) Except as set forth on </w:t>
      </w:r>
      <w:r>
        <w:rPr>
          <w:rFonts w:ascii="Times New Roman" w:hAnsi="Times New Roman"/>
          <w:sz w:val="20"/>
          <w:u w:val="single"/>
        </w:rPr>
        <w:t>Section 5.13(e)</w:t>
      </w:r>
      <w:r>
        <w:rPr>
          <w:rFonts w:ascii="Times New Roman" w:hAnsi="Times New Roman"/>
          <w:sz w:val="20"/>
        </w:rPr>
        <w:t xml:space="preserve"> of the Parent Disclosure Letter or with respect to any Parent Plan (which subject is addressed in </w:t>
      </w:r>
      <w:r>
        <w:rPr>
          <w:rFonts w:ascii="Times New Roman" w:hAnsi="Times New Roman"/>
          <w:sz w:val="20"/>
          <w:u w:val="single"/>
        </w:rPr>
        <w:t>Section 5.12</w:t>
      </w:r>
      <w:r>
        <w:rPr>
          <w:rFonts w:ascii="Times New Roman" w:hAnsi="Times New Roman"/>
          <w:sz w:val="20"/>
        </w:rPr>
        <w:t xml:space="preserve"> above), the execution of this Agreement and the consummation of the transactions set forth in or contemplated by this Agreement will not result in any breach or violation of, or cause any payment to be made under, any applicable Laws respecting labor and employment or any collective bargaining agreement to which Parent or any of its Subsidiaries is a party. </w:t>
      </w:r>
    </w:p>
    <w:p>
      <w:pPr>
        <w:pStyle w:val="TextBody"/>
        <w:bidi w:val="0"/>
        <w:spacing w:before="120" w:after="0"/>
        <w:jc w:val="left"/>
        <w:rPr>
          <w:rFonts w:ascii="Times New Roman" w:hAnsi="Times New Roman"/>
          <w:sz w:val="20"/>
        </w:rPr>
      </w:pPr>
      <w:r>
        <w:rPr>
          <w:rFonts w:ascii="Times New Roman" w:hAnsi="Times New Roman"/>
          <w:sz w:val="20"/>
        </w:rPr>
        <w:t xml:space="preserve">(f) Since January 1, 2023, (i) no allegations of harassment or discrimination (with respect to any category protected by applicable law), retaliation on the basis of protected activity (including as a whistleblower) or protected class status in accordance with applicable law, or other misconduct related to the workplace have been made, filed or, to the knowledge of Parent, threatened against or involving Parent or any of its Subsidiaries or any of their respective current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directors or officers, (ii) to the knowledge of Parent, no incidents of any workplace related harassment discrimination, retaliation, or other misconduct have occurred and (iii) Parent has not entered into any settlement agreement related to allegations of such harassment, discrimination, retaliation, or other workplace related misconduct by any of their directors, officers or employees described in clause (i) hereof or any independent contractor. </w:t>
      </w:r>
    </w:p>
    <w:p>
      <w:pPr>
        <w:pStyle w:val="TextBody"/>
        <w:bidi w:val="0"/>
        <w:spacing w:before="120" w:after="0"/>
        <w:jc w:val="left"/>
        <w:rPr>
          <w:rFonts w:ascii="Times New Roman" w:hAnsi="Times New Roman"/>
          <w:sz w:val="20"/>
        </w:rPr>
      </w:pPr>
      <w:r>
        <w:rPr>
          <w:rFonts w:ascii="Times New Roman" w:hAnsi="Times New Roman"/>
          <w:sz w:val="20"/>
        </w:rPr>
        <w:t xml:space="preserve">(g) All employees of Parent are employed “at-will” or require no more than 30 days’ notice to terminate. </w:t>
      </w:r>
    </w:p>
    <w:p>
      <w:pPr>
        <w:pStyle w:val="TextBody"/>
        <w:bidi w:val="0"/>
        <w:spacing w:before="240" w:after="0"/>
        <w:jc w:val="left"/>
        <w:rPr>
          <w:rFonts w:ascii="Times New Roman" w:hAnsi="Times New Roman"/>
          <w:sz w:val="20"/>
        </w:rPr>
      </w:pPr>
      <w:r>
        <w:rPr>
          <w:rFonts w:ascii="Times New Roman" w:hAnsi="Times New Roman"/>
          <w:sz w:val="20"/>
        </w:rPr>
        <w:t xml:space="preserve">Section 5.14 </w:t>
      </w:r>
      <w:r>
        <w:rPr>
          <w:rFonts w:ascii="Times New Roman" w:hAnsi="Times New Roman"/>
          <w:sz w:val="20"/>
          <w:u w:val="single"/>
        </w:rPr>
        <w:t>Environmental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individually or in the aggregate, has not had and would not reasonably be expected to have a Parent Material Adverse Effect, (i) Parent and its Subsidiaries have conducted its businesses in compliance with all, and have not violated any, applicable Environmental Laws; (ii) Parent and its Subsidiaries have obtained all Permits of all Governmental Entities and any other Person that are required under any Environmental Law; (iii) there has been no release of any Hazardous Substance by Parent or any of its Subsidiaries or any other Person in any manner that has given or would reasonably be expected to give rise to any remedial or investigative obligation, corrective action requirement or liability of Parent or any of its Subsidiaries under applicable Environmental Laws; (iv) Parent and its Subsidiaries have not received any claims, notices, demand letters or requests for information (except for such claims, notices, demand letters or requests for information the subject matter of which has been resolved prior to the date of this Agreement) from any federal, state, local, foreign or provincial Governmental Entity or any other Person asserting that Parent or any of its Subsidiaries is in violation of, or liable under, any Environmental Law; (v) no Hazardous Substance has been disposed of, arranged to be disposed of, released or transported in violation of any applicable Environmental Law, or in a manner that has given rise to, or that would reasonably be expected to give rise to, any liability under any Environmental Law, in each case, on, at, under or from any current or former properties or facilities owned or operated by Parent or any of its Subsidiaries or as a result of any operations or activities of Parent or any of its Subsidiaries at any location and, to the knowledge of Parent, Hazardous Substances are not otherwise present at or about any such properties or facilities in amount or condition that has resulted in or would reasonably be expected to result in liability to Parent or any of its Subsidiaries under any Environmental Law; and (vi) neither Parent or any of its Subsidiaries nor any of their properties or facilities are subject to, or are threatened to become subject to, any liabilities relating to any suit, settlement, court order, administrative order, regulatory requirement, judgment or claim asserted or arising under any Environmental Law or any agreement relating to environmental liabilities. </w:t>
      </w:r>
    </w:p>
    <w:p>
      <w:pPr>
        <w:pStyle w:val="TextBody"/>
        <w:bidi w:val="0"/>
        <w:spacing w:before="240" w:after="0"/>
        <w:jc w:val="left"/>
        <w:rPr>
          <w:rFonts w:ascii="Times New Roman" w:hAnsi="Times New Roman"/>
          <w:sz w:val="20"/>
        </w:rPr>
      </w:pPr>
      <w:r>
        <w:rPr>
          <w:rFonts w:ascii="Times New Roman" w:hAnsi="Times New Roman"/>
          <w:sz w:val="20"/>
        </w:rPr>
        <w:t xml:space="preserve">Section 5.15 </w:t>
      </w:r>
      <w:r>
        <w:rPr>
          <w:rFonts w:ascii="Times New Roman" w:hAnsi="Times New Roman"/>
          <w:sz w:val="20"/>
          <w:u w:val="single"/>
        </w:rPr>
        <w:t>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Parent and its Subsidiaries have (i) filed all income and other material Tax Returns required to be filed by or on behalf of it (taking into account any applicable extensions thereof) and all such Tax Returns are true, accurate and complete in all material respects; and (ii) paid in full (or caused to be timely paid in full) all material Taxes that are required to be paid by or with respect to it, whether or not such Taxes were shown as due on such Tax Returns.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All material Taxes not yet due and payable by Parent as of the date of the balance sheet included in the financial statements (including the related notes and schedules thereto) included (or incorporated by reference) in the Parent SEC Documents have been, in all respects, properly accrued in accordance with GAAP on the financial statements (including the related notes and schedules thereto) included (or incorporated by reference) in the Parent SEC Documents, and such financial statements (including the related notes and schedules thereto) included (or incorporated by reference) in the Parent SEC Documents reflect an adequate reserve (in accordance with GAAP) for all material Taxes accrued but unpaid by Parent through the date of such financial statements. Since the date of financial statements (including the related notes and schedules thereto) included (or incorporated by reference) in the Parent SEC Documents, neither Parent nor any of its Subsidiaries has incurred, individually or in the aggregate, any liability for Taxes outside the ordinary course of business consistent with past practice other than Taxes incurred in connection with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Neither Parent nor any of its Subsidiaries has executed any waiver of any statute of limitations on, or extended the period for the assessment or collection of, any amount of Tax, in each case that has not since expired. </w:t>
      </w:r>
    </w:p>
    <w:p>
      <w:pPr>
        <w:pStyle w:val="TextBody"/>
        <w:bidi w:val="0"/>
        <w:spacing w:before="120" w:after="0"/>
        <w:jc w:val="left"/>
        <w:rPr>
          <w:rFonts w:ascii="Times New Roman" w:hAnsi="Times New Roman"/>
          <w:sz w:val="20"/>
        </w:rPr>
      </w:pPr>
      <w:r>
        <w:rPr>
          <w:rFonts w:ascii="Times New Roman" w:hAnsi="Times New Roman"/>
          <w:sz w:val="20"/>
        </w:rPr>
        <w:t xml:space="preserve">(d) No material Tax Action with respect to Taxes or any Tax Return of Parent or any of its Subsidiaries are presently in progress or have been asserted, threatened or proposed in writing and have not been satisfied by payment in full, settled or withdrawn, and to the knowledge of Parent, no such Tax Action is being contemplated. No deficiencies or claims for a material amount of Taxes have been claimed, proposed, assessed or asserted in writing against Parent or any of its Subsidiaries by a Governmental Entity, other than any such claim, proposal, assessment or assertion that has been satisfied by payment in full, settled or withdrawn. </w:t>
      </w:r>
    </w:p>
    <w:p>
      <w:pPr>
        <w:pStyle w:val="TextBody"/>
        <w:bidi w:val="0"/>
        <w:spacing w:before="120" w:after="0"/>
        <w:jc w:val="left"/>
        <w:rPr>
          <w:rFonts w:ascii="Times New Roman" w:hAnsi="Times New Roman"/>
          <w:sz w:val="20"/>
        </w:rPr>
      </w:pPr>
      <w:r>
        <w:rPr>
          <w:rFonts w:ascii="Times New Roman" w:hAnsi="Times New Roman"/>
          <w:sz w:val="20"/>
        </w:rPr>
        <w:t xml:space="preserve">(e) Subject to exceptions as would not be material, Parent and its Subsidiaries have timely withheld all Taxes required to have been withheld from payments made (or deemed made) to its employees, independent contractors, creditors, shareholders and other third parties and, to the extent required, such Taxes have been timely paid to the relevant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(f) Neither Parent nor any of its Subsidiaries has engaged in a “listed transaction” as set forth in Treasury Regulations § 1.6011-4(b)(2). </w:t>
      </w:r>
    </w:p>
    <w:p>
      <w:pPr>
        <w:pStyle w:val="TextBody"/>
        <w:bidi w:val="0"/>
        <w:spacing w:before="120" w:after="0"/>
        <w:jc w:val="left"/>
        <w:rPr>
          <w:rFonts w:ascii="Times New Roman" w:hAnsi="Times New Roman"/>
          <w:sz w:val="20"/>
        </w:rPr>
      </w:pPr>
      <w:r>
        <w:rPr>
          <w:rFonts w:ascii="Times New Roman" w:hAnsi="Times New Roman"/>
          <w:sz w:val="20"/>
        </w:rPr>
        <w:t xml:space="preserve">(g) Neither Parent nor any of its Subsidiaries (i) is a party to or bound by, or has any liability pursuant to, any Tax sharing, allocation, indemnification or similar agreement or obligation other than any Ordinary Course Agreement; (ii) is or has been a member of a group (other than a group the common parent of which is Parent) filing a consolidated, combined, affiliated, unitary or similar income Tax Return; (iii) has liability for the Taxes of any Person (other than Parent or its Subsidiaries) pursuant to Treasury Regulations § 1.1502-6 (or any similar provision of state, local or non-United States Law) as a transferee or successor, by Contract, or otherwise by operation of Law; or (iv) is or has been treated as a resident for any income Tax purpose, or as subject to Tax by virtue of having a permanent establishment, an office or fixed place of business, in any country other than the country in which it was or is organized or incorporated.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No private letter rulings, technical advice memoranda, or similar material agreements or rulings have been requested, entered into or issued by any Governmental Entity with respect to Parent or any of its Subsidiaries which rulings remain in effect. </w:t>
      </w:r>
    </w:p>
    <w:p>
      <w:pPr>
        <w:pStyle w:val="TextBody"/>
        <w:bidi w:val="0"/>
        <w:spacing w:before="120" w:after="0"/>
        <w:jc w:val="left"/>
        <w:rPr>
          <w:rFonts w:ascii="Times New Roman" w:hAnsi="Times New Roman"/>
          <w:sz w:val="20"/>
        </w:rPr>
      </w:pPr>
      <w:r>
        <w:rPr>
          <w:rFonts w:ascii="Times New Roman" w:hAnsi="Times New Roman"/>
          <w:sz w:val="20"/>
        </w:rPr>
        <w:t xml:space="preserve">(i) Neither Parent nor any of its Subsidiaries will be required to include any item of income in, or exclude any item of deduction from, taxable income for any taxable period (or portion thereof) ending after the Closing Date as a result of (i) a change in, or use of improper, method of accounting requested or initiated on or prior to the Closing Date, (ii) a “closing agreement” as described in Section 7121 of the Code (or any similar provision of Law) executed on or prior to the Closing Date, (iii) an installment sale or open transaction disposition made on or prior to the Closing Date, (iv) any prepaid amount received or deferred revenue accrued on or prior to the Closing Date, other than in respect of such amounts received in the ordinary course of business, or (v) to Parent’s knowledge, an intercompany transaction or excess loss amount described in Treasury Regulations under Section 1502 of the Code (or any corresponding or similar provision of state, local or foreign income Tax Law). </w:t>
      </w:r>
    </w:p>
    <w:p>
      <w:pPr>
        <w:pStyle w:val="TextBody"/>
        <w:bidi w:val="0"/>
        <w:spacing w:before="120" w:after="0"/>
        <w:jc w:val="left"/>
        <w:rPr>
          <w:rFonts w:ascii="Times New Roman" w:hAnsi="Times New Roman"/>
          <w:sz w:val="20"/>
        </w:rPr>
      </w:pPr>
      <w:r>
        <w:rPr>
          <w:rFonts w:ascii="Times New Roman" w:hAnsi="Times New Roman"/>
          <w:sz w:val="20"/>
        </w:rPr>
        <w:t xml:space="preserve">(j) There are no liens for Taxes upon any of the assets of Parent or any of its Subsidiaries other than Liens described in clause (i) of the definition of Permitted Liens. </w:t>
      </w:r>
    </w:p>
    <w:p>
      <w:pPr>
        <w:pStyle w:val="TextBody"/>
        <w:bidi w:val="0"/>
        <w:spacing w:before="120" w:after="0"/>
        <w:jc w:val="left"/>
        <w:rPr>
          <w:rFonts w:ascii="Times New Roman" w:hAnsi="Times New Roman"/>
          <w:sz w:val="20"/>
        </w:rPr>
      </w:pPr>
      <w:r>
        <w:rPr>
          <w:rFonts w:ascii="Times New Roman" w:hAnsi="Times New Roman"/>
          <w:sz w:val="20"/>
        </w:rPr>
        <w:t xml:space="preserve">(k) Neither Parent nor any of its Subsidiaries has distributed stock of another Person or has had its stock distributed by another Person, in a transaction (or series of transactions) that was purported or intended to be governed in whole or in part by Sections 355 or 361 of the Code. </w:t>
      </w:r>
    </w:p>
    <w:p>
      <w:pPr>
        <w:pStyle w:val="TextBody"/>
        <w:bidi w:val="0"/>
        <w:spacing w:before="120" w:after="0"/>
        <w:jc w:val="left"/>
        <w:rPr>
          <w:rFonts w:ascii="Times New Roman" w:hAnsi="Times New Roman"/>
          <w:sz w:val="20"/>
        </w:rPr>
      </w:pPr>
      <w:r>
        <w:rPr>
          <w:rFonts w:ascii="Times New Roman" w:hAnsi="Times New Roman"/>
          <w:sz w:val="20"/>
        </w:rPr>
        <w:t xml:space="preserve">(l) Neither Parent nor any of its Subsidiaries has been a United States real property holding corporation, as defined in Section 897(c)(2) of the Code during the applicable period specified in Section 897(c)(1)(A)(ii) of the Code. </w:t>
      </w:r>
    </w:p>
    <w:p>
      <w:pPr>
        <w:pStyle w:val="TextBody"/>
        <w:bidi w:val="0"/>
        <w:spacing w:before="120" w:after="0"/>
        <w:jc w:val="left"/>
        <w:rPr>
          <w:rFonts w:ascii="Times New Roman" w:hAnsi="Times New Roman"/>
          <w:sz w:val="20"/>
        </w:rPr>
      </w:pPr>
      <w:r>
        <w:rPr>
          <w:rFonts w:ascii="Times New Roman" w:hAnsi="Times New Roman"/>
          <w:sz w:val="20"/>
        </w:rPr>
        <w:t xml:space="preserve">(m) No material claim has been made in writing by any Governmental Entity in a jurisdiction where Parent or any of its Subsidiaries does not currently file a Tax Return of a certain type or pay Taxes of a certain type that Parent is or may be subject to taxation by such jurisdiction of such type. </w:t>
      </w:r>
    </w:p>
    <w:p>
      <w:pPr>
        <w:pStyle w:val="TextBody"/>
        <w:bidi w:val="0"/>
        <w:spacing w:before="120" w:after="0"/>
        <w:jc w:val="left"/>
        <w:rPr>
          <w:rFonts w:ascii="Times New Roman" w:hAnsi="Times New Roman"/>
          <w:sz w:val="20"/>
        </w:rPr>
      </w:pPr>
      <w:r>
        <w:rPr>
          <w:rFonts w:ascii="Times New Roman" w:hAnsi="Times New Roman"/>
          <w:sz w:val="20"/>
        </w:rPr>
        <w:t xml:space="preserve">(n) There are no outstanding shares of Parent stock issued in connection with the performance of services (within the meaning of Section 83 of the Code) that immediately prior to the First Effective Time are subject to a substantial risk of forfeiture (as such terms are defined in Section 83 of the Code) for which a valid election under Section 83(b) of the Code has not been made. </w:t>
      </w:r>
    </w:p>
    <w:p>
      <w:pPr>
        <w:pStyle w:val="TextBody"/>
        <w:bidi w:val="0"/>
        <w:spacing w:before="120" w:after="0"/>
        <w:jc w:val="left"/>
        <w:rPr>
          <w:rFonts w:ascii="Times New Roman" w:hAnsi="Times New Roman"/>
          <w:sz w:val="20"/>
        </w:rPr>
      </w:pPr>
      <w:r>
        <w:rPr>
          <w:rFonts w:ascii="Times New Roman" w:hAnsi="Times New Roman"/>
          <w:sz w:val="20"/>
        </w:rPr>
        <w:t xml:space="preserve">(o) To Parent’s knowledge, neither Parent nor any of its Subsidiaries has been, is, or immediately prior to the First Effective Time will be, treated as an “investment company” within the meaning of Section 368(a)(2)(F) of the Code. </w:t>
      </w:r>
    </w:p>
    <w:p>
      <w:pPr>
        <w:pStyle w:val="TextBody"/>
        <w:bidi w:val="0"/>
        <w:spacing w:before="120" w:after="0"/>
        <w:jc w:val="left"/>
        <w:rPr>
          <w:rFonts w:ascii="Times New Roman" w:hAnsi="Times New Roman"/>
          <w:sz w:val="20"/>
        </w:rPr>
      </w:pPr>
      <w:r>
        <w:rPr>
          <w:rFonts w:ascii="Times New Roman" w:hAnsi="Times New Roman"/>
          <w:sz w:val="20"/>
        </w:rPr>
        <w:t xml:space="preserve">(p) Neither Parent nor any of its Subsidiaries has taken, or failed to take, any action nor knows of any fact or circumstance that, in each case, could reasonably be expected to prevent or impede the Merger from qualifying as a transaction qualifying for the Intended Tax Treatment.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5.15</w:t>
      </w:r>
      <w:r>
        <w:rPr>
          <w:rFonts w:ascii="Times New Roman" w:hAnsi="Times New Roman"/>
          <w:sz w:val="20"/>
        </w:rPr>
        <w:t xml:space="preserve">, where the context permits, each reference to Parent shall include a reference to any person for whose Taxes Parent is liable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5.16 </w:t>
      </w:r>
      <w:r>
        <w:rPr>
          <w:rFonts w:ascii="Times New Roman" w:hAnsi="Times New Roman"/>
          <w:sz w:val="20"/>
          <w:u w:val="single"/>
        </w:rPr>
        <w:t>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for any Parent Plans (which are the subject of </w:t>
      </w:r>
      <w:r>
        <w:rPr>
          <w:rFonts w:ascii="Times New Roman" w:hAnsi="Times New Roman"/>
          <w:sz w:val="20"/>
          <w:u w:val="single"/>
        </w:rPr>
        <w:t>Section 5.12</w:t>
      </w:r>
      <w:r>
        <w:rPr>
          <w:rFonts w:ascii="Times New Roman" w:hAnsi="Times New Roman"/>
          <w:sz w:val="20"/>
        </w:rPr>
        <w:t xml:space="preserve">) and except as set forth in the Parent SEC Documents publicly available prior to the date of this Agreement, Parent is not a party to or bound by any “material contract” (as such term is defined in Item 601(b)(10) of Regulation S-K under the Securities Act) (all such contracts including those set forth in </w:t>
      </w:r>
      <w:r>
        <w:rPr>
          <w:rFonts w:ascii="Times New Roman" w:hAnsi="Times New Roman"/>
          <w:sz w:val="20"/>
          <w:u w:val="single"/>
        </w:rPr>
        <w:t>Section 5.16(b)</w:t>
      </w:r>
      <w:r>
        <w:rPr>
          <w:rFonts w:ascii="Times New Roman" w:hAnsi="Times New Roman"/>
          <w:sz w:val="20"/>
        </w:rPr>
        <w:t xml:space="preserve"> of the Parent Disclosure Letter, “</w:t>
      </w:r>
      <w:r>
        <w:rPr>
          <w:rFonts w:ascii="Times New Roman" w:hAnsi="Times New Roman"/>
          <w:sz w:val="20"/>
          <w:u w:val="single"/>
        </w:rPr>
        <w:t>Parent 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5.16(b)</w:t>
      </w:r>
      <w:r>
        <w:rPr>
          <w:rFonts w:ascii="Times New Roman" w:hAnsi="Times New Roman"/>
          <w:sz w:val="20"/>
        </w:rPr>
        <w:t xml:space="preserve"> of the Parent Disclosure Letter lists the following contracts, which for the purposes of this Agreement shall be considered Parent Material Contracts: </w:t>
      </w:r>
    </w:p>
    <w:p>
      <w:pPr>
        <w:pStyle w:val="TextBody"/>
        <w:bidi w:val="0"/>
        <w:spacing w:before="120" w:after="0"/>
        <w:jc w:val="left"/>
        <w:rPr>
          <w:rFonts w:ascii="Times New Roman" w:hAnsi="Times New Roman"/>
          <w:sz w:val="20"/>
        </w:rPr>
      </w:pPr>
      <w:r>
        <w:rPr>
          <w:rFonts w:ascii="Times New Roman" w:hAnsi="Times New Roman"/>
          <w:sz w:val="20"/>
        </w:rPr>
        <w:t xml:space="preserve">(i) each Contract relating to any agreement for indemnification or guaranty not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(ii) each Contract containing (A) any covenant prohibiting Parent, its Subsidiaries or the Surviving Entity from engaging in any line of business or competing with any Person, or limiting the development, manufacture or distribution of the Surviving Entity’s products or services (B) any most-favored pricing arrangement, (C) any exclusivity provision in favor of a third party or (D) any non-solicitation provision applicable to Parent or its Subsidiaries, in the case of the foregoing clause (D) which are material to Parent or its Subsidiaries, as applicable,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(iii) each Contract relating to capital expenditures and requiring payments after the date of this Agreement pursuant to its express terms and not cancelable without penalty; </w:t>
      </w:r>
    </w:p>
    <w:p>
      <w:pPr>
        <w:pStyle w:val="TextBody"/>
        <w:bidi w:val="0"/>
        <w:spacing w:before="120" w:after="0"/>
        <w:jc w:val="left"/>
        <w:rPr>
          <w:rFonts w:ascii="Times New Roman" w:hAnsi="Times New Roman"/>
          <w:sz w:val="20"/>
        </w:rPr>
      </w:pPr>
      <w:r>
        <w:rPr>
          <w:rFonts w:ascii="Times New Roman" w:hAnsi="Times New Roman"/>
          <w:sz w:val="20"/>
        </w:rPr>
        <w:t xml:space="preserve">(iv) each Contract relating to the disposition or acquisition of material assets or any ownership interest in any Person; </w:t>
      </w:r>
    </w:p>
    <w:p>
      <w:pPr>
        <w:pStyle w:val="TextBody"/>
        <w:bidi w:val="0"/>
        <w:spacing w:before="120" w:after="0"/>
        <w:jc w:val="left"/>
        <w:rPr>
          <w:rFonts w:ascii="Times New Roman" w:hAnsi="Times New Roman"/>
          <w:sz w:val="20"/>
        </w:rPr>
      </w:pPr>
      <w:r>
        <w:rPr>
          <w:rFonts w:ascii="Times New Roman" w:hAnsi="Times New Roman"/>
          <w:sz w:val="20"/>
        </w:rPr>
        <w:t xml:space="preserve">(v) each Contract relating to any mortgages, indentures, loans, notes or credit agreements, security agreements or other agreements or instruments relating to the borrowing of money or extension of credit or creating any material Liens with respect to any assets of the Parent or any of its Subsidiaries or any loans or debt obligations with officers or directors of the Parent; </w:t>
      </w:r>
    </w:p>
    <w:p>
      <w:pPr>
        <w:pStyle w:val="TextBody"/>
        <w:bidi w:val="0"/>
        <w:spacing w:before="120" w:after="0"/>
        <w:jc w:val="left"/>
        <w:rPr>
          <w:rFonts w:ascii="Times New Roman" w:hAnsi="Times New Roman"/>
          <w:sz w:val="20"/>
        </w:rPr>
      </w:pPr>
      <w:r>
        <w:rPr>
          <w:rFonts w:ascii="Times New Roman" w:hAnsi="Times New Roman"/>
          <w:sz w:val="20"/>
        </w:rPr>
        <w:t xml:space="preserve">(vi) each Contract requiring payment by or to the Parent after the date of this Agreement in excess of $100,000 pursuant to its express terms relating to: (A) any Contract involving a dealer, distributor, joint marketing, alliance, joint venture, cooperation, research and/or development (including pre-clinical and clinical research and/or development), material transfer, services (including technical writing and consulting), manufacturing, supply, distribution or other agreement relating to the research, development, testing, labeling, manufacturing, marketing, commercialization, or distribution of any product, technology or service, or any Contract pursuant to which any Intellectual Property is developed by or for Parent or (B) any Contract to license any patent, trademark registration, service mark registration, trade name or copyright registration to or from any third party to research, develop, test, label, manufacture, market, or produce any product, service or technology of the Parent or any Contract to sell, distribute or commercialize any products or services of the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each license or other Contract pursuant to which Parent is or may become obligated to make any royalty, milestone or other similar contingent payment; </w:t>
      </w:r>
    </w:p>
    <w:p>
      <w:pPr>
        <w:pStyle w:val="TextBody"/>
        <w:bidi w:val="0"/>
        <w:spacing w:before="120" w:after="0"/>
        <w:jc w:val="left"/>
        <w:rPr>
          <w:rFonts w:ascii="Times New Roman" w:hAnsi="Times New Roman"/>
          <w:sz w:val="20"/>
        </w:rPr>
      </w:pPr>
      <w:r>
        <w:rPr>
          <w:rFonts w:ascii="Times New Roman" w:hAnsi="Times New Roman"/>
          <w:sz w:val="20"/>
        </w:rPr>
        <w:t xml:space="preserve">(viii) each Contract with any Person, including any financial advisor, broker, finder, investment banker or other Person, providing advisory services to the Parent in connection with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(ix) each Contract relating to leases of real properties with respect to which the Parent directly or indirectly holds a valid leasehold interest as well as any other real estate that is in the possession of or leased by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 each Contract to which the Parent is a party or by which any of its assets and properties is currently bound, which involves annual obligations of payment by, or annual payments to, the Parent in excess of $500,000; </w:t>
      </w:r>
    </w:p>
    <w:p>
      <w:pPr>
        <w:pStyle w:val="TextBody"/>
        <w:bidi w:val="0"/>
        <w:spacing w:before="120" w:after="0"/>
        <w:jc w:val="left"/>
        <w:rPr>
          <w:rFonts w:ascii="Times New Roman" w:hAnsi="Times New Roman"/>
          <w:sz w:val="20"/>
        </w:rPr>
      </w:pPr>
      <w:r>
        <w:rPr>
          <w:rFonts w:ascii="Times New Roman" w:hAnsi="Times New Roman"/>
          <w:sz w:val="20"/>
        </w:rPr>
        <w:t xml:space="preserve">(xi) each Contract with any current or former employee, officer, director or consultant of Parent or any of its Subsidiaries that provides for severance, pay in lieu of notice, retention, change in control, or other separation or termination benefits (other than offer letters or similar agreements entered into in the ordinary course of business that provide solely for at-will employment and do not provide for severance, retention, change in control or other separation or termination benefits); and </w:t>
      </w:r>
    </w:p>
    <w:p>
      <w:pPr>
        <w:pStyle w:val="TextBody"/>
        <w:bidi w:val="0"/>
        <w:spacing w:before="120" w:after="0"/>
        <w:jc w:val="left"/>
        <w:rPr>
          <w:rFonts w:ascii="Times New Roman" w:hAnsi="Times New Roman"/>
          <w:sz w:val="20"/>
        </w:rPr>
      </w:pPr>
      <w:r>
        <w:rPr>
          <w:rFonts w:ascii="Times New Roman" w:hAnsi="Times New Roman"/>
          <w:sz w:val="20"/>
        </w:rPr>
        <w:t xml:space="preserve">(xii) any other Contract that is not terminable at will (without penalty or payment) by the Parent, and that is material to the business or operations of the Parent. </w:t>
      </w:r>
    </w:p>
    <w:p>
      <w:pPr>
        <w:pStyle w:val="TextBody"/>
        <w:bidi w:val="0"/>
        <w:spacing w:before="120" w:after="0"/>
        <w:jc w:val="left"/>
        <w:rPr>
          <w:rFonts w:ascii="Times New Roman" w:hAnsi="Times New Roman"/>
          <w:sz w:val="20"/>
        </w:rPr>
      </w:pPr>
      <w:r>
        <w:rPr>
          <w:rFonts w:ascii="Times New Roman" w:hAnsi="Times New Roman"/>
          <w:sz w:val="20"/>
        </w:rPr>
        <w:t xml:space="preserve">(c) (i) Each Parent Material Contract is valid and binding on Parent, and to the knowledge of Parent, each other party thereto, and is in full force and effect and enforceable in accordance with its terms; and (ii) Parent, and, to the knowledge of Parent, each other party thereto, has performed all material obligations required to be performed by it under each Parent Material Contract; and (iii) as of the date of this Agreement, Parent has not received any written notice of any material default under any Parent Material Contract by Parent or, to the knowledge of Parent, any other party thereto, and no event or condition has occurred that constitutes, or, after notice or lapse of time or both, would constitute, a material default on the part of Parent or, to the knowledge of Parent, any other party thereto under any such Parent Material Contract, nor has Parent received any notice of any such material default, event or condition. Parent has made available to the Company true and complete copies of all Parent Material Contracts, including all amendments thereto. Other than in connection with the Wind-Down Activities, no Person is renegotiating, or has a right pursuant to the terms of any Parent Material Contract to change, any material amount paid or payable by or to Parent under any Parent Material Contract or any other material term or provision of any Parent Material Contract. Except as set forth in </w:t>
      </w:r>
      <w:r>
        <w:rPr>
          <w:rFonts w:ascii="Times New Roman" w:hAnsi="Times New Roman"/>
          <w:sz w:val="20"/>
          <w:u w:val="single"/>
        </w:rPr>
        <w:t>Section 5.16(c)</w:t>
      </w:r>
      <w:r>
        <w:rPr>
          <w:rFonts w:ascii="Times New Roman" w:hAnsi="Times New Roman"/>
          <w:sz w:val="20"/>
        </w:rPr>
        <w:t xml:space="preserve"> of the Parent Disclosure Letter, there are no Parent Material Contracts that are not in written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5.17 </w:t>
      </w:r>
      <w:r>
        <w:rPr>
          <w:rFonts w:ascii="Times New Roman" w:hAnsi="Times New Roman"/>
          <w:sz w:val="20"/>
          <w:u w:val="single"/>
        </w:rPr>
        <w:t>Insurance</w:t>
      </w:r>
      <w:r>
        <w:rPr>
          <w:rFonts w:ascii="Times New Roman" w:hAnsi="Times New Roman"/>
          <w:sz w:val="20"/>
        </w:rPr>
        <w:t xml:space="preserve">. Each of Parent and its Subsidiaries is covered by valid and currently effective insurance policies issued in favor of Parent or its Subsidiaries that are customary and adequate for companies of similar size in the industries and locations in which Parent and its Subsidiaries operate. </w:t>
      </w:r>
      <w:r>
        <w:rPr>
          <w:rFonts w:ascii="Times New Roman" w:hAnsi="Times New Roman"/>
          <w:sz w:val="20"/>
          <w:u w:val="single"/>
        </w:rPr>
        <w:t>Section 5.17</w:t>
      </w:r>
      <w:r>
        <w:rPr>
          <w:rFonts w:ascii="Times New Roman" w:hAnsi="Times New Roman"/>
          <w:sz w:val="20"/>
        </w:rPr>
        <w:t xml:space="preserve"> of the Parent Disclosure Letter sets forth, as of the date hereof, a true and complete list of all material insurance policies issued in favor of Parent or any of its Subsidiaries, or pursuant to which Parent or any of its Subsidiaries is a named insured or otherwise a beneficiary, as well as any historic incurrence-based policies still in force. With respect to each such insurance policy, (a) such policy is in full force and effect and all premiums due thereon have been paid, (b) neither Parent nor any of its Subsidiaries is in breach or default, and has not taken any action or failed to take any action which (with or without notice or lapse of time, or both) would constitute such a breach or default, or would permit termination or modification of, any such policy and (c) to the knowledge of Parent, no insurer issuing any such policy has been declared insolvent or placed in receivership, conservatorship or liquidation. No notice of cancellation or termination has been received with respect to any such policy, nor will any such cancellation or termination result from the consummation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5.18 </w:t>
      </w:r>
      <w:r>
        <w:rPr>
          <w:rFonts w:ascii="Times New Roman" w:hAnsi="Times New Roman"/>
          <w:sz w:val="20"/>
          <w:u w:val="single"/>
        </w:rPr>
        <w:t>Properties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Parent and its Subsidiaries has good and valid title to, or in the case of leased property and leased tangible assets, a valid leasehold interest in, all of its real properties and tangible assets that are necessary for Parent and its Subsidiaries to conduct its businesses as currently conducted, free and clear of all Liens other than Permitted Liens. Except as has not had and would not reasonably be expected to have, individually or in the aggregate, a Parent Material Adverse Effect, the tangible personal property currently used in the operation of the business of Parent and its Subsidiaries is in good working order (reasonable wear and tear excepted). </w:t>
      </w:r>
    </w:p>
    <w:p>
      <w:pPr>
        <w:pStyle w:val="TextBody"/>
        <w:bidi w:val="0"/>
        <w:spacing w:before="120" w:after="0"/>
        <w:jc w:val="left"/>
        <w:rPr>
          <w:rFonts w:ascii="Times New Roman" w:hAnsi="Times New Roman"/>
          <w:sz w:val="20"/>
        </w:rPr>
      </w:pPr>
      <w:r>
        <w:rPr>
          <w:rFonts w:ascii="Times New Roman" w:hAnsi="Times New Roman"/>
          <w:sz w:val="20"/>
        </w:rPr>
        <w:t xml:space="preserve">(b) Each of Parent and its Subsidiaries has complied with the terms of all leases to which it is a party, and all such leases are in full force and effect, except for any such noncompliance or failure to be in full force and effect that, individually or in the aggregate, has not had and would not reasonably be expected to have a Parent Material Adverse Effect. Each of Parent and its Subsidiaries enjoys peaceful and undisturbed possession under all such leases, except for any such failure to do so that, individually or in the aggregate, has not had and would not reasonably be expected to have a Parent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5.18(c)</w:t>
      </w:r>
      <w:r>
        <w:rPr>
          <w:rFonts w:ascii="Times New Roman" w:hAnsi="Times New Roman"/>
          <w:sz w:val="20"/>
        </w:rPr>
        <w:t xml:space="preserve"> of the Parent Disclosure Letter sets forth a true and complete list of (i) all real property owned by Parent or any of its Subsidiaries and (ii) all real property leased for the benefit of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(d) This </w:t>
      </w:r>
      <w:r>
        <w:rPr>
          <w:rFonts w:ascii="Times New Roman" w:hAnsi="Times New Roman"/>
          <w:sz w:val="20"/>
          <w:u w:val="single"/>
        </w:rPr>
        <w:t>Section 5.18</w:t>
      </w:r>
      <w:r>
        <w:rPr>
          <w:rFonts w:ascii="Times New Roman" w:hAnsi="Times New Roman"/>
          <w:sz w:val="20"/>
        </w:rPr>
        <w:t xml:space="preserve"> does not relate to intellectual property, which is the subject of </w:t>
      </w:r>
      <w:r>
        <w:rPr>
          <w:rFonts w:ascii="Times New Roman" w:hAnsi="Times New Roman"/>
          <w:sz w:val="20"/>
          <w:u w:val="single"/>
        </w:rPr>
        <w:t>Section 5.19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5.19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5.19(a)</w:t>
      </w:r>
      <w:r>
        <w:rPr>
          <w:rFonts w:ascii="Times New Roman" w:hAnsi="Times New Roman"/>
          <w:sz w:val="20"/>
        </w:rPr>
        <w:t xml:space="preserve"> of the Parent Disclosure Letter sets forth a true and complete list of all (i) patents and patent applications; (ii) trademark registrations and applications; and (iii) material copyright registrations and applications, in each case owned or licensed by Parent and its Subsidiaries (collectively, “</w:t>
      </w:r>
      <w:r>
        <w:rPr>
          <w:rFonts w:ascii="Times New Roman" w:hAnsi="Times New Roman"/>
          <w:sz w:val="20"/>
          <w:u w:val="single"/>
        </w:rPr>
        <w:t>Parent Registered IP</w:t>
      </w:r>
      <w:r>
        <w:rPr>
          <w:rFonts w:ascii="Times New Roman" w:hAnsi="Times New Roman"/>
          <w:sz w:val="20"/>
        </w:rPr>
        <w:t xml:space="preserve">”) and a true and complete list of all domain names owned or exclusively licensed by Parent and its Subsidiaries. Except as, individually or in the aggregate, has not had and would not reasonably be expected to have a Parent Material Adverse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Effect (i) all of the Parent Registered IP is subsisting and, solely in the case of any Parent Registered IP that is registered or issued and to the knowledge of Parent, valid and enforceable, (ii) no Parent Registered IP, is involved in any interference, reissue, derivation, reexamination, opposition, cancellation or similar proceeding and, to the knowledge of Parent, no such action is threatened with respect to any of the Parent Registered IP and (iii) Parent and its Subsidiaries own exclusively, free and clear of any and all Liens (other than Permitted Liens), all Parent Owned IP, including all Intellectual Property created on behalf of Parent or its Subsidiaries by employees or independent contractors. </w:t>
      </w:r>
    </w:p>
    <w:p>
      <w:pPr>
        <w:pStyle w:val="TextBody"/>
        <w:bidi w:val="0"/>
        <w:spacing w:before="120" w:after="0"/>
        <w:jc w:val="left"/>
        <w:rPr>
          <w:rFonts w:ascii="Times New Roman" w:hAnsi="Times New Roman"/>
          <w:sz w:val="20"/>
        </w:rPr>
      </w:pPr>
      <w:r>
        <w:rPr>
          <w:rFonts w:ascii="Times New Roman" w:hAnsi="Times New Roman"/>
          <w:sz w:val="20"/>
        </w:rPr>
        <w:t xml:space="preserve">(b) Parent and its Subsidiaries have taken commercially reasonable measures to maintain the confidentiality of all information that constitutes or constituted a material Trade Secret of Parent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(c) Except as, individually or in the aggregate, has not had and would not reasonably be expected to have a Parent Material Adverse Effect, (i) to the knowledge of Parent, the conduct of the businesses of Parent and its Subsidiaries, including the manufacture, marketing, offering for sale, sale, importation, use or intended use or other disposal of any product as currently sold or under development by Parent or any of its Subsidiaries, has not infringed, misappropriated or diluted, and does not infringe, misappropriate or dilute, any Intellectual Property of any Person, (ii) neither Parent nor any of its Subsidiaries have received any written notice or claim asserting or suggesting that any such infringement, misappropriation, or dilution is or may be occurring or has or may have occurred and (iii) to the knowledge of Parent, no Person is infringing, misappropriating, or diluting in any material respect any Parent Registered IP. </w:t>
      </w:r>
    </w:p>
    <w:p>
      <w:pPr>
        <w:pStyle w:val="TextBody"/>
        <w:bidi w:val="0"/>
        <w:spacing w:before="120" w:after="0"/>
        <w:jc w:val="left"/>
        <w:rPr>
          <w:rFonts w:ascii="Times New Roman" w:hAnsi="Times New Roman"/>
          <w:sz w:val="20"/>
        </w:rPr>
      </w:pPr>
      <w:r>
        <w:rPr>
          <w:rFonts w:ascii="Times New Roman" w:hAnsi="Times New Roman"/>
          <w:sz w:val="20"/>
        </w:rPr>
        <w:t>(d) Parent and its Subsidiaries have taken commercially reasonable steps designed to protect the security of the computer and information technology systems owned by Parent or any of its Subsidiaries and used in the operation of its business as currently conducted (the “</w:t>
      </w:r>
      <w:r>
        <w:rPr>
          <w:rFonts w:ascii="Times New Roman" w:hAnsi="Times New Roman"/>
          <w:sz w:val="20"/>
          <w:u w:val="single"/>
        </w:rPr>
        <w:t>Parent IT Systems</w:t>
      </w:r>
      <w:r>
        <w:rPr>
          <w:rFonts w:ascii="Times New Roman" w:hAnsi="Times New Roman"/>
          <w:sz w:val="20"/>
        </w:rPr>
        <w:t xml:space="preserve">”) and protect the confidentiality and security of the information stored or contained therein or transmitted thereby. The Parent IT Systems are reasonably adequate for, and operate and perform in all material respects as required in connection with, the operation of the businesses of Parent and its Subsidiaries as currently conducted, and since January 1, 2023, (i) there has been no material unauthorized or improper use, loss, access, transmittal, modification or corruption of any such information or data (including any ransomware or cyber-extortion event) and (ii) there have been no material failures, crashes, or viruses affecting the Parent IT Systems. Except as would not reasonably be expected to result in a Material Adverse Effect, Parent and its Subsidiaries maintain commercially reasonable backup, business continuity and disaster recovery plans and procedures with respect to the Parent IT Systems, and neither Parent nor any of its Subsidiaries has paid any ransom or made any other payment to any threat actor in connection with any actual or threatened ransomware or cyber-extortion event. </w:t>
      </w:r>
    </w:p>
    <w:p>
      <w:pPr>
        <w:pStyle w:val="TextBody"/>
        <w:bidi w:val="0"/>
        <w:spacing w:before="120" w:after="0"/>
        <w:jc w:val="left"/>
        <w:rPr>
          <w:rFonts w:ascii="Times New Roman" w:hAnsi="Times New Roman"/>
          <w:sz w:val="20"/>
        </w:rPr>
      </w:pPr>
      <w:r>
        <w:rPr>
          <w:rFonts w:ascii="Times New Roman" w:hAnsi="Times New Roman"/>
          <w:sz w:val="20"/>
        </w:rPr>
        <w:t xml:space="preserve">(e) To the knowledge of Parent, Parent and its Subsidiaries have since January 1, 2023, complied in all material respects with all applicable Privacy Laws. Since January 1, 2023, no material claims have been asserted or, to the knowledge of Parent, threatened in writing against Parent or any of its Subsidiaries alleging a violation of any Person’s privacy or Personal Information. Neither this Agreement nor the consummation of the transactions contemplated hereby will breach or otherwise violate any Privacy Laws. The Parent and its Subsidiaries have taken commercially reasonable steps designed to protect the Personal Information collected, used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held for use by Parent or any of its Subsidiaries against loss and unauthorized access, use, modification or disclosure, or other misuse. Parent and its Subsidiaries have contractually obligated all Data Processors to comply with applicable Privacy Laws and to take reasonable measures to protect Personal Information from unauthorized, access, use or disclosure. To the knowledge of Parent, no Data Processors have failed to comply with Privacy Laws with respect to the Personal Information processed on behalf of Parent or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(f) To the knowledge of Parent, no government funding, facilities or resources of a university, college, other educational institution or research center or funding from third parties was used in the development of the Parent Owned IP or any Intellectual Property exclusively licensed to Parent or any of its Subsidiaries, and no Governmental Entity, university, college, other educational institution or research center has, to the knowledge of Parent, any claim or right in or to such Intellectual Property. Except as set forth on </w:t>
      </w:r>
      <w:r>
        <w:rPr>
          <w:rFonts w:ascii="Times New Roman" w:hAnsi="Times New Roman"/>
          <w:sz w:val="20"/>
          <w:u w:val="single"/>
        </w:rPr>
        <w:t>Section 5.19(f)</w:t>
      </w:r>
      <w:r>
        <w:rPr>
          <w:rFonts w:ascii="Times New Roman" w:hAnsi="Times New Roman"/>
          <w:sz w:val="20"/>
        </w:rPr>
        <w:t xml:space="preserve"> of the Parent Disclosure Letter, the execution, delivery and performance by Parent of this Agreement, and the consummation of the transactions contemplated hereby, will not result in the loss of, or give rise to any right of any third party to terminate or modify any of the rights or obligations of Parent or any of its Subsidiaries under any agreement under which Parent or any of its Subsidiaries grants to any Person, or any Person grants to Parent or any of its Subsidiaries, a license or right under or with respect to any Intellectual Property that is material to any of the businesses of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(g) Since January 1, 2023, to the knowledge of Parent, neither Parent nor any of its Subsidiaries has (A) experienced any material Security Incident, (B) been required under any applicable Privacy Law or contractual obligation to notify any Person or Governmental Entity of any Security Incident, or made any such notification, or (C) received any written notice, request, complaint, subpoena, audit, inquiry or investigation from any Governmental Entity relating to the processing of Personal Information by or on behalf of Parent or any of its Subsidiaries or Parent’s or any of its Subsidiaries’ compliance with any Privacy Law. Parent and its Subsidiaries have obtained all consents, authorizations and permissions from, and provided all notices to, individuals required in all material respects under applicable Privacy Laws for the collection, use, transfer and other processing of Personal Information as currently conducted by or on behalf of Parent and its Subsidiaries and no such consent, authorization or permission has been withdrawn in a manner that would materially impair the conduct of the businesses of Parent and its Subsidiaries. To the knowledge of Parent, all transfers of Personal Information by or on behalf of Parent or any of its Subsidiaries across national borders have been made in compliance in all material respects with applicable Privacy Laws, including pursuant to valid cross-border data transfer mechanisms where required. </w:t>
      </w:r>
    </w:p>
    <w:p>
      <w:pPr>
        <w:pStyle w:val="TextBody"/>
        <w:bidi w:val="0"/>
        <w:spacing w:before="240" w:after="0"/>
        <w:jc w:val="left"/>
        <w:rPr>
          <w:rFonts w:ascii="Times New Roman" w:hAnsi="Times New Roman"/>
          <w:sz w:val="20"/>
        </w:rPr>
      </w:pPr>
      <w:r>
        <w:rPr>
          <w:rFonts w:ascii="Times New Roman" w:hAnsi="Times New Roman"/>
          <w:sz w:val="20"/>
        </w:rPr>
        <w:t xml:space="preserve">Section 5.20 </w:t>
      </w:r>
      <w:r>
        <w:rPr>
          <w:rFonts w:ascii="Times New Roman" w:hAnsi="Times New Roman"/>
          <w:sz w:val="20"/>
          <w:u w:val="single"/>
        </w:rPr>
        <w:t>Related Party Transactions</w:t>
      </w:r>
      <w:r>
        <w:rPr>
          <w:rFonts w:ascii="Times New Roman" w:hAnsi="Times New Roman"/>
          <w:sz w:val="20"/>
        </w:rPr>
        <w:t xml:space="preserve">. Since January 1, 2024 through the date of this Agreement, there have been no transactions, agreements, arrangements or understandings between Parent or any of its Subsidiaries, on the one hand, and the Affiliates of Parent or any of its Subsidiaries, on the other hand that would be required to be disclosed under Item 404 of Regulation S-K under the Securities Act and that have not been so disclosed in the Parent SEC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5.21 </w:t>
      </w:r>
      <w:r>
        <w:rPr>
          <w:rFonts w:ascii="Times New Roman" w:hAnsi="Times New Roman"/>
          <w:sz w:val="20"/>
          <w:u w:val="single"/>
        </w:rPr>
        <w:t>Certain Payments</w:t>
      </w:r>
      <w:r>
        <w:rPr>
          <w:rFonts w:ascii="Times New Roman" w:hAnsi="Times New Roman"/>
          <w:sz w:val="20"/>
        </w:rPr>
        <w:t xml:space="preserve">. For the five (5) years immediately preceding the date hereof, neither Parent nor any of its Subsidiaries nor any of their respective directors, executives, or employees, or to the knowledge of the Parent, representatives or agents (in each case, while acting for or on behalf of Parent or any of its Subsidiaries) (a) has used or is using any funds for any illegal contributions, gifts, entertainment or other unlawful expenses relating to political activity, (b) has used or is using any funds for any direct or indirect unlawful payments to any foreign or domestic governmental officials or employees, (c) has violated or is violating any provision of the FCPA, (d) has established or maintained, or is maintaining, any unlawful fund of corporate monies or other properties, or (e) has made any bribe, unlawful rebate, payoff, influence payment, kickback or other unlawful payment of any nature. Parent further represents that it has maintained systems of internal controls (including, but not limited to, accounting systems, purchasing systems and billing systems) to promote compliance with the FCPA or any applicable other anti-corruption or anti-bribery Law. To the Parent’s knowledge, neither Parent nor any of its Subsidiaries nor any of their respective directors, executives, representatives, agents or employees (in each case, in their capacities as such) are the subject of any allegation, voluntary disclosure, investigation, prosecution or other enforcement action related to the FCPA or any other anti-corruption Law. </w:t>
      </w:r>
    </w:p>
    <w:p>
      <w:pPr>
        <w:pStyle w:val="TextBody"/>
        <w:bidi w:val="0"/>
        <w:spacing w:before="240" w:after="0"/>
        <w:jc w:val="left"/>
        <w:rPr>
          <w:rFonts w:ascii="Times New Roman" w:hAnsi="Times New Roman"/>
          <w:sz w:val="20"/>
        </w:rPr>
      </w:pPr>
      <w:r>
        <w:rPr>
          <w:rFonts w:ascii="Times New Roman" w:hAnsi="Times New Roman"/>
          <w:sz w:val="20"/>
        </w:rPr>
        <w:t xml:space="preserve">Section 5.22 </w:t>
      </w:r>
      <w:r>
        <w:rPr>
          <w:rFonts w:ascii="Times New Roman" w:hAnsi="Times New Roman"/>
          <w:sz w:val="20"/>
          <w:u w:val="single"/>
        </w:rPr>
        <w:t>Trade Laws</w:t>
      </w:r>
      <w:r>
        <w:rPr>
          <w:rFonts w:ascii="Times New Roman" w:hAnsi="Times New Roman"/>
          <w:sz w:val="20"/>
        </w:rPr>
        <w:t xml:space="preserve">. Neither Parent nor any of its Subsidiaries nor any of their respective directors, executives, employees, or, to the knowledge of the Parent, representatives or agents is a Sanctioned Person. Since April 24, 2019, Parent and its Subsidiaries are and have been in compliance with the Trade Laws and have obtained, satisfied the requirements of or are otherwise qualified to rely upon the Trade Approvals. </w:t>
      </w:r>
    </w:p>
    <w:p>
      <w:pPr>
        <w:pStyle w:val="TextBody"/>
        <w:bidi w:val="0"/>
        <w:spacing w:before="240" w:after="0"/>
        <w:jc w:val="left"/>
        <w:rPr>
          <w:rFonts w:ascii="Times New Roman" w:hAnsi="Times New Roman"/>
          <w:sz w:val="20"/>
        </w:rPr>
      </w:pPr>
      <w:r>
        <w:rPr>
          <w:rFonts w:ascii="Times New Roman" w:hAnsi="Times New Roman"/>
          <w:sz w:val="20"/>
        </w:rPr>
        <w:t xml:space="preserve">Section 5.23 </w:t>
      </w:r>
      <w:r>
        <w:rPr>
          <w:rFonts w:ascii="Times New Roman" w:hAnsi="Times New Roman"/>
          <w:sz w:val="20"/>
          <w:u w:val="single"/>
        </w:rPr>
        <w:t>CFIUS</w:t>
      </w:r>
      <w:r>
        <w:rPr>
          <w:rFonts w:ascii="Times New Roman" w:hAnsi="Times New Roman"/>
          <w:sz w:val="20"/>
        </w:rPr>
        <w:t xml:space="preserve">. Parent is not a “foreign person” within the meaning of the Defense Production Act of 1950, as amended, including all implementing regulations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5.24 </w:t>
      </w:r>
      <w:r>
        <w:rPr>
          <w:rFonts w:ascii="Times New Roman" w:hAnsi="Times New Roman"/>
          <w:sz w:val="20"/>
          <w:u w:val="single"/>
        </w:rPr>
        <w:t>Outbound Investment</w:t>
      </w:r>
      <w:r>
        <w:rPr>
          <w:rFonts w:ascii="Times New Roman" w:hAnsi="Times New Roman"/>
          <w:sz w:val="20"/>
        </w:rPr>
        <w:t xml:space="preserve">. (a) Parent either is (i) not a “person of a country of concern”; or (ii) not engaged in any “covered activity,” as these terms are defined in the Outbound Investment Security Program. (b) Parent has no current intention of becoming a “person of a country of concern” that engages in any “covered activity.” (c) Parent is not, and does not currently intend to become, a person that directly or indirectly holds a board seat or a voting or equity interest in, or any contractual power to direct or cause the direction of the management or policies of, any “covered foreign person” as defined in the Outbound Investment Security Program. </w:t>
      </w:r>
    </w:p>
    <w:p>
      <w:pPr>
        <w:pStyle w:val="TextBody"/>
        <w:bidi w:val="0"/>
        <w:spacing w:before="240" w:after="0"/>
        <w:jc w:val="left"/>
        <w:rPr>
          <w:rFonts w:ascii="Times New Roman" w:hAnsi="Times New Roman"/>
          <w:sz w:val="20"/>
        </w:rPr>
      </w:pPr>
      <w:r>
        <w:rPr>
          <w:rFonts w:ascii="Times New Roman" w:hAnsi="Times New Roman"/>
          <w:sz w:val="20"/>
        </w:rPr>
        <w:t xml:space="preserve">Section 5.25 </w:t>
      </w:r>
      <w:r>
        <w:rPr>
          <w:rFonts w:ascii="Times New Roman" w:hAnsi="Times New Roman"/>
          <w:sz w:val="20"/>
          <w:u w:val="single"/>
        </w:rPr>
        <w:t>Data Security Program</w:t>
      </w:r>
      <w:r>
        <w:rPr>
          <w:rFonts w:ascii="Times New Roman" w:hAnsi="Times New Roman"/>
          <w:sz w:val="20"/>
        </w:rPr>
        <w:t xml:space="preserve">. Parent is not a “covered person” as that term is defined in the DSP. Since April 8, 2025, Parent has not engaged in or directed any “covered data transaction,” as that term is defined in the DSP, except in full compliance with the DSP. </w:t>
      </w:r>
    </w:p>
    <w:p>
      <w:pPr>
        <w:pStyle w:val="TextBody"/>
        <w:bidi w:val="0"/>
        <w:spacing w:before="240" w:after="0"/>
        <w:jc w:val="left"/>
        <w:rPr>
          <w:rFonts w:ascii="Times New Roman" w:hAnsi="Times New Roman"/>
          <w:sz w:val="20"/>
        </w:rPr>
      </w:pPr>
      <w:r>
        <w:rPr>
          <w:rFonts w:ascii="Times New Roman" w:hAnsi="Times New Roman"/>
          <w:sz w:val="20"/>
        </w:rPr>
        <w:t xml:space="preserve">Section 5.26 </w:t>
      </w:r>
      <w:r>
        <w:rPr>
          <w:rFonts w:ascii="Times New Roman" w:hAnsi="Times New Roman"/>
          <w:sz w:val="20"/>
          <w:u w:val="single"/>
        </w:rPr>
        <w:t>Brokers</w:t>
      </w:r>
      <w:r>
        <w:rPr>
          <w:rFonts w:ascii="Times New Roman" w:hAnsi="Times New Roman"/>
          <w:sz w:val="20"/>
        </w:rPr>
        <w:t xml:space="preserve">. No broker, investment banker, financial advisor or other Person, other than Leerink Partners LLC, the fees and expenses of which will be paid by Parent or any of its Subsidiaries, is entitled to any broker’s, finder’s, financial advisor’s or other similar fee or commission in connection with the transactions contemplated by this Agreement based upon arrangements made by or on behalf of Parent, any of its Subsidiaries or any of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Section 5.27 </w:t>
      </w:r>
      <w:r>
        <w:rPr>
          <w:rFonts w:ascii="Times New Roman" w:hAnsi="Times New Roman"/>
          <w:sz w:val="20"/>
          <w:u w:val="single"/>
        </w:rPr>
        <w:t>Opinion of Financial Advisor</w:t>
      </w:r>
      <w:r>
        <w:rPr>
          <w:rFonts w:ascii="Times New Roman" w:hAnsi="Times New Roman"/>
          <w:sz w:val="20"/>
        </w:rPr>
        <w:t xml:space="preserve">. Parent Board has received the opinion of Leerink Partners LLC, dated as of the date of this Agreement, to the effect that, as of such date and based upon and subject to the qualifications, limitations, assumptions and other matters set forth therein, the Consideration (as defined in such opinion) to be received by holders of shares of Parent Common Stock pursuant to the Agreement is fair, from a financial point of view, to such holders. It is agreed and understood that such opinion is for the benefit of the Parent Board and may not be relied upon by the Company. Parent will make available to the Company a signed true and complete copy of such opinion promptly (and in no event later than two (2) days) following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5.28 </w:t>
      </w:r>
      <w:r>
        <w:rPr>
          <w:rFonts w:ascii="Times New Roman" w:hAnsi="Times New Roman"/>
          <w:sz w:val="20"/>
          <w:u w:val="single"/>
        </w:rPr>
        <w:t>State Takeover Statutes</w:t>
      </w:r>
      <w:r>
        <w:rPr>
          <w:rFonts w:ascii="Times New Roman" w:hAnsi="Times New Roman"/>
          <w:sz w:val="20"/>
        </w:rPr>
        <w:t xml:space="preserve">. No Takeover Laws or any similar anti-takeover provision in the Certificate of Incorporation or bylaws of Parent applicable to Parent is, or at the First Effective Time will be, applicable to this Agreement, the Merger, the Parent Common Stock Issuance, or any of the other transactions contemplated hereby. The Parent Board and the board of directors or managing member, as applicable, of each Merger Sub have taken and will take all actions necessary to ensure that the restrictions applicable to business combinations contained in Section 203 of the DGCL are, and will be, inapplicable to the execution, delivery and performance of this Agreement, the Parent Support Agreements and to the consummation of the transactions contemplated by this Agreement or the Parent Support Agreements. </w:t>
      </w:r>
    </w:p>
    <w:p>
      <w:pPr>
        <w:pStyle w:val="TextBody"/>
        <w:bidi w:val="0"/>
        <w:spacing w:before="240" w:after="0"/>
        <w:jc w:val="left"/>
        <w:rPr>
          <w:rFonts w:ascii="Times New Roman" w:hAnsi="Times New Roman"/>
          <w:sz w:val="20"/>
        </w:rPr>
      </w:pPr>
      <w:r>
        <w:rPr>
          <w:rFonts w:ascii="Times New Roman" w:hAnsi="Times New Roman"/>
          <w:sz w:val="20"/>
        </w:rPr>
        <w:t xml:space="preserve">Section 5.29 </w:t>
      </w:r>
      <w:r>
        <w:rPr>
          <w:rFonts w:ascii="Times New Roman" w:hAnsi="Times New Roman"/>
          <w:sz w:val="20"/>
          <w:u w:val="single"/>
        </w:rPr>
        <w:t>No Other Representations or Warranties</w:t>
      </w:r>
      <w:r>
        <w:rPr>
          <w:rFonts w:ascii="Times New Roman" w:hAnsi="Times New Roman"/>
          <w:sz w:val="20"/>
        </w:rPr>
        <w:t xml:space="preserve">. Except for the representations and warranties contained in </w:t>
      </w:r>
      <w:r>
        <w:rPr>
          <w:rFonts w:ascii="Times New Roman" w:hAnsi="Times New Roman"/>
          <w:sz w:val="20"/>
          <w:u w:val="single"/>
        </w:rPr>
        <w:t>Article IV</w:t>
      </w:r>
      <w:r>
        <w:rPr>
          <w:rFonts w:ascii="Times New Roman" w:hAnsi="Times New Roman"/>
          <w:sz w:val="20"/>
        </w:rPr>
        <w:t xml:space="preserve">, each of Parent and Merger Sub acknowledges and agrees that none of the Company or any other Person on behalf of the Company makes any other express or implied representation or warranty whatsoever, and specifically (but without limiting the generality of the foregoing) that none of the Company, its Subsidiaries, or any other Person on behalf of the Company or any of its Subsidiaries makes any representation or warranty with respect to any projections or forecasts delivered or made available to Parent, Merger Sub or any of their respective Representatives of future revenues, results of operations (or any component thereof), cash flows or financial condition (or any component thereof) of the Company (including any such projections or forecasts made available to Parent, Merger Sub or any of their respective Representatives in certain “data rooms” or management presentations in expectation of the transactions contemplated by this Agreement), and none of Parent or Merger Sub has relied on any such information or any representation or warranty not set forth in </w:t>
      </w:r>
      <w:r>
        <w:rPr>
          <w:rFonts w:ascii="Times New Roman" w:hAnsi="Times New Roman"/>
          <w:sz w:val="20"/>
          <w:u w:val="single"/>
        </w:rPr>
        <w:t>Article IV</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Operation of Parent’s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expressly contemplated or permitted by this Agreement, as required by applicable Law or unless the Company shall otherwise consent in writing (email being sufficient and which consent shall not be unreasonably withheld, delayed or conditioned), during the period commencing on the date of this Agreement and continuing until the earlier to occur of the termination of this Agreement pursuant to </w:t>
      </w:r>
      <w:r>
        <w:rPr>
          <w:rFonts w:ascii="Times New Roman" w:hAnsi="Times New Roman"/>
          <w:sz w:val="20"/>
          <w:u w:val="single"/>
        </w:rPr>
        <w:t>Article IX</w:t>
      </w:r>
      <w:r>
        <w:rPr>
          <w:rFonts w:ascii="Times New Roman" w:hAnsi="Times New Roman"/>
          <w:sz w:val="20"/>
        </w:rPr>
        <w:t xml:space="preserve"> and the First Effective Time (the “</w:t>
      </w:r>
      <w:r>
        <w:rPr>
          <w:rFonts w:ascii="Times New Roman" w:hAnsi="Times New Roman"/>
          <w:sz w:val="20"/>
          <w:u w:val="single"/>
        </w:rPr>
        <w:t>Pre-Closing Period</w:t>
      </w:r>
      <w:r>
        <w:rPr>
          <w:rFonts w:ascii="Times New Roman" w:hAnsi="Times New Roman"/>
          <w:sz w:val="20"/>
        </w:rPr>
        <w:t xml:space="preserve">”), Parent shall, and shall cause its Subsidiaries to, use commercially reasonable efforts to (x) conduct its business and operations in the ordinary course of business and consistent with past practice and in material compliance with the applicable Law and the requirements of all Contracts that constitute Parent Material Contracts and (y) continue to pay material outstanding accounts payable and other material current liabilities (including payroll) when due and payable.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Except (i) as expressly contemplated or permitted by this Agreement, (ii) as set forth in </w:t>
      </w:r>
      <w:r>
        <w:rPr>
          <w:rFonts w:ascii="Times New Roman" w:hAnsi="Times New Roman"/>
          <w:sz w:val="20"/>
          <w:u w:val="single"/>
        </w:rPr>
        <w:t>Section 6.1(b)</w:t>
      </w:r>
      <w:r>
        <w:rPr>
          <w:rFonts w:ascii="Times New Roman" w:hAnsi="Times New Roman"/>
          <w:sz w:val="20"/>
        </w:rPr>
        <w:t xml:space="preserve"> of the Parent Disclosure Letter, (iii) as required by applicable Law or (iv) with the prior written consent of the Company (email being sufficient), at all times during the Pre-Closing Period, Parent shall not, nor shall it cause or permit any of its Subsidiaries to, do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declare, accrue, set aside or pay any dividend or make any other distribution in respect of any shares of its capital stock or repurchase, redeem or otherwise reacquire any shares of its capital stock or other securities (except for shares of Parent Common Stock from terminated employees, directors or consultants of Parent in accordance with agreements in effect on the date of this Agreement providing for the repurchase of shares at no more than the purchase price thereof in connection with any termination of services to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 sell, issue, grant, pledge or otherwise dispose of or encumber or authorize the issuance of: (A) any capital stock or other security (except for Parent Common Stock issued upon the valid exercise or settlement of outstanding Parent Options or Parent Restricted Stock Unit Awards as applicable or upon the exercise of purchase rights under the Parent ESPP), (B) any option, warrant or right to acquire any capital stock or any other security or (C) any instrument convertible into or exchangeable for any capital stock or other security; </w:t>
      </w:r>
    </w:p>
    <w:p>
      <w:pPr>
        <w:pStyle w:val="TextBody"/>
        <w:bidi w:val="0"/>
        <w:spacing w:before="120" w:after="0"/>
        <w:jc w:val="left"/>
        <w:rPr>
          <w:rFonts w:ascii="Times New Roman" w:hAnsi="Times New Roman"/>
          <w:sz w:val="20"/>
        </w:rPr>
      </w:pPr>
      <w:r>
        <w:rPr>
          <w:rFonts w:ascii="Times New Roman" w:hAnsi="Times New Roman"/>
          <w:sz w:val="20"/>
        </w:rPr>
        <w:t xml:space="preserve">(iii) 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(iv) form any Subsidiary or acquire any equity interest or other interest in any other entity or enter into a joint venture with any other entity; </w:t>
      </w:r>
    </w:p>
    <w:p>
      <w:pPr>
        <w:pStyle w:val="TextBody"/>
        <w:bidi w:val="0"/>
        <w:spacing w:before="120" w:after="0"/>
        <w:jc w:val="left"/>
        <w:rPr>
          <w:rFonts w:ascii="Times New Roman" w:hAnsi="Times New Roman"/>
          <w:sz w:val="20"/>
        </w:rPr>
      </w:pPr>
      <w:r>
        <w:rPr>
          <w:rFonts w:ascii="Times New Roman" w:hAnsi="Times New Roman"/>
          <w:sz w:val="20"/>
        </w:rPr>
        <w:t xml:space="preserve">(v) (A) lend money to any Person, (B) incur or guarantee any indebtedness for borrowed money, (C) guarantee any debt securities or others or (D) make any capital expenditure or commitment; </w:t>
      </w:r>
    </w:p>
    <w:p>
      <w:pPr>
        <w:pStyle w:val="TextBody"/>
        <w:bidi w:val="0"/>
        <w:spacing w:before="120" w:after="0"/>
        <w:jc w:val="left"/>
        <w:rPr>
          <w:rFonts w:ascii="Times New Roman" w:hAnsi="Times New Roman"/>
          <w:sz w:val="20"/>
        </w:rPr>
      </w:pPr>
      <w:r>
        <w:rPr>
          <w:rFonts w:ascii="Times New Roman" w:hAnsi="Times New Roman"/>
          <w:sz w:val="20"/>
        </w:rPr>
        <w:t xml:space="preserve">(vi) other than as required by applicable Law or the terms of any Parent Plan in effect as of the date of this Agreement: (A) adopt, establish or enter into any Parent Plan, including, for the avoidance of doubt, any equity award plans, (B) cause or permit any Parent Plan to be amended, other than as required by Law, (C) pay any bonus or make any profit-sharing or similar payment to (except with respect to obligations in place on the date of this Agreement pursuant to any Parent Plan), or increase the amount of the wages, salary, commissions, fringe benefits or other compensation or remuneration payable to, any of its employees, directors or consultants, (D) increase the severance or change of control, retention, or similar benefits offered to, or provide any new severance, change of control, retention or similar benefits to, any current or new employees, directors or consultants, or (E) hire, promote, or terminate (other than for cause) any officer, employee or consultant;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terminate the employment of, or implement any layoff, furlough, reduction in force, job elimination or similar action affecting, any employees of Parent (other than terminations for cause), or take or permit any action (including any “plant closing” or “mass layoff” as those terms are defined in the WARN Act or any similar state, local or foreign law) that, either alone or when aggregated with the layoffs, terminations or other workforce reductions implemented by Parent during the ninety (90)-day period preceding the date of such action, would reasonably be expected to trigger any notice, liability or other obligation under the WARN Act or any similar state, local or foreign law; </w:t>
      </w:r>
    </w:p>
    <w:p>
      <w:pPr>
        <w:pStyle w:val="TextBody"/>
        <w:bidi w:val="0"/>
        <w:spacing w:before="120" w:after="0"/>
        <w:jc w:val="left"/>
        <w:rPr>
          <w:rFonts w:ascii="Times New Roman" w:hAnsi="Times New Roman"/>
          <w:sz w:val="20"/>
        </w:rPr>
      </w:pPr>
      <w:r>
        <w:rPr>
          <w:rFonts w:ascii="Times New Roman" w:hAnsi="Times New Roman"/>
          <w:sz w:val="20"/>
        </w:rPr>
        <w:t xml:space="preserve">(viii) enter into any material transaction outside the ordinary course of business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(ix) acquire any material asset or sell, lease, license or otherwise irrevocably dispose of any of its assets or properties, or grant any Lien with respect to such assets or properties; </w:t>
      </w:r>
    </w:p>
    <w:p>
      <w:pPr>
        <w:pStyle w:val="TextBody"/>
        <w:bidi w:val="0"/>
        <w:spacing w:before="120" w:after="0"/>
        <w:jc w:val="left"/>
        <w:rPr>
          <w:rFonts w:ascii="Times New Roman" w:hAnsi="Times New Roman"/>
          <w:sz w:val="20"/>
        </w:rPr>
      </w:pPr>
      <w:r>
        <w:rPr>
          <w:rFonts w:ascii="Times New Roman" w:hAnsi="Times New Roman"/>
          <w:sz w:val="20"/>
        </w:rPr>
        <w:t xml:space="preserve">(x) make (other than consistent with past practice), change or revoke any material Tax election; file any material amendment to any Tax Return; settle or compromise any material Tax claim; waive or extend any statute of limitations in respect of a period within which an assessment or reassessment of material Taxes may be issued (other than any extension pursuant to an extension to file any Tax Return); enter into any “closing agreement” as described in Section 7121 of the Code (or any similar Law) with any Governmental Entity; or adopt or change any material accounting method in respect of Taxes; </w:t>
      </w:r>
    </w:p>
    <w:p>
      <w:pPr>
        <w:pStyle w:val="TextBody"/>
        <w:bidi w:val="0"/>
        <w:spacing w:before="120" w:after="0"/>
        <w:jc w:val="left"/>
        <w:rPr>
          <w:rFonts w:ascii="Times New Roman" w:hAnsi="Times New Roman"/>
          <w:sz w:val="20"/>
        </w:rPr>
      </w:pPr>
      <w:r>
        <w:rPr>
          <w:rFonts w:ascii="Times New Roman" w:hAnsi="Times New Roman"/>
          <w:sz w:val="20"/>
        </w:rPr>
        <w:t xml:space="preserve">(xi) waive, settle or compromise any pending or threatened Action against Parent or any of its Subsidiaries, other than waivers, settlements or agreements (A) for an amount not in excess of $100,000 in the aggregate (excluding amounts to be paid under existing insurance policies or renewals thereof) and (B) that do not impose any material restrictions on the operations or businesses of Parent or its Subsidiaries, taken as a whole, or any equitable relief on, or the admission of wrongdoing by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(xii) delay or fail to repay when due any material obligation, including accounts payable and accrued expenses, other than in the ordinary course of business and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(xiii) forgive any loans to any Person, including its employees, officers, directors or Affiliate; </w:t>
      </w:r>
    </w:p>
    <w:p>
      <w:pPr>
        <w:pStyle w:val="TextBody"/>
        <w:bidi w:val="0"/>
        <w:spacing w:before="120" w:after="0"/>
        <w:jc w:val="left"/>
        <w:rPr>
          <w:rFonts w:ascii="Times New Roman" w:hAnsi="Times New Roman"/>
          <w:sz w:val="20"/>
        </w:rPr>
      </w:pPr>
      <w:r>
        <w:rPr>
          <w:rFonts w:ascii="Times New Roman" w:hAnsi="Times New Roman"/>
          <w:sz w:val="20"/>
        </w:rPr>
        <w:t xml:space="preserve">(xiv) enter into any agreement to purchase or sell any interest in real property, grant any security interest in any real property, enter into any lease, sublease, license or other occupancy agreement with respect to any real property or alter, amend, modify, exercise any extension or expansion right under or violate or terminate any of the terms of any real property leases of Parent; </w:t>
      </w:r>
    </w:p>
    <w:p>
      <w:pPr>
        <w:pStyle w:val="TextBody"/>
        <w:bidi w:val="0"/>
        <w:spacing w:before="120" w:after="0"/>
        <w:jc w:val="left"/>
        <w:rPr>
          <w:rFonts w:ascii="Times New Roman" w:hAnsi="Times New Roman"/>
          <w:sz w:val="20"/>
        </w:rPr>
      </w:pPr>
      <w:r>
        <w:rPr>
          <w:rFonts w:ascii="Times New Roman" w:hAnsi="Times New Roman"/>
          <w:sz w:val="20"/>
        </w:rPr>
        <w:t xml:space="preserve">(xv) other than as required by Law or GAAP, take any action to change accounting policies or procedures; </w:t>
      </w:r>
    </w:p>
    <w:p>
      <w:pPr>
        <w:pStyle w:val="TextBody"/>
        <w:bidi w:val="0"/>
        <w:spacing w:before="120" w:after="0"/>
        <w:jc w:val="left"/>
        <w:rPr>
          <w:rFonts w:ascii="Times New Roman" w:hAnsi="Times New Roman"/>
          <w:sz w:val="20"/>
        </w:rPr>
      </w:pPr>
      <w:r>
        <w:rPr>
          <w:rFonts w:ascii="Times New Roman" w:hAnsi="Times New Roman"/>
          <w:sz w:val="20"/>
        </w:rPr>
        <w:t xml:space="preserve">(xvi) sell, assign, transfer, license, sublicense or otherwise dispose of any material Intellectual Property of the Parent (other than in the ordinary course of business and consistent with past practice);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(xvii) terminate or modify in any material respect, or fail to exercise renewal rights with respect to, any material insurance policy; </w:t>
      </w:r>
    </w:p>
    <w:p>
      <w:pPr>
        <w:pStyle w:val="TextBody"/>
        <w:bidi w:val="0"/>
        <w:spacing w:before="120" w:after="0"/>
        <w:jc w:val="left"/>
        <w:rPr>
          <w:rFonts w:ascii="Times New Roman" w:hAnsi="Times New Roman"/>
          <w:sz w:val="20"/>
        </w:rPr>
      </w:pPr>
      <w:r>
        <w:rPr>
          <w:rFonts w:ascii="Times New Roman" w:hAnsi="Times New Roman"/>
          <w:sz w:val="20"/>
        </w:rPr>
        <w:t xml:space="preserve">(xviii) enter into, amend, terminate, or waive any material option or right under, any Parent Material Contract; </w:t>
      </w:r>
    </w:p>
    <w:p>
      <w:pPr>
        <w:pStyle w:val="TextBody"/>
        <w:bidi w:val="0"/>
        <w:spacing w:before="120" w:after="0"/>
        <w:jc w:val="left"/>
        <w:rPr>
          <w:rFonts w:ascii="Times New Roman" w:hAnsi="Times New Roman"/>
          <w:sz w:val="20"/>
        </w:rPr>
      </w:pPr>
      <w:r>
        <w:rPr>
          <w:rFonts w:ascii="Times New Roman" w:hAnsi="Times New Roman"/>
          <w:sz w:val="20"/>
        </w:rPr>
        <w:t xml:space="preserve">(xix) (A) materially change pricing or royalties or other payments set or charged by Parent or any of Subsidiaries to its customers or licensees or (B) agree to materially change pricing or royalties or other payments set or charged by Persons who have licensed Intellectual Property to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(xx) (A) except as required by applicable Privacy Laws, materially amend or modify any of its published privacy policies or notices, or its practices with respect to the collection, use, transfer or other processing of Personal Information, in a manner that imposes material restrictions on the use of Personal Information by Parent, any of its Subsidiaries or any of their successors or (B) enter into any Contract that materially restricts Parent’s or any of its Subsidiaries’ (or any of their successors’) rights to use, transfer or otherwise process any Personal Information; or </w:t>
      </w:r>
    </w:p>
    <w:p>
      <w:pPr>
        <w:pStyle w:val="TextBody"/>
        <w:bidi w:val="0"/>
        <w:spacing w:before="120" w:after="0"/>
        <w:jc w:val="left"/>
        <w:rPr>
          <w:rFonts w:ascii="Times New Roman" w:hAnsi="Times New Roman"/>
          <w:sz w:val="20"/>
        </w:rPr>
      </w:pPr>
      <w:r>
        <w:rPr>
          <w:rFonts w:ascii="Times New Roman" w:hAnsi="Times New Roman"/>
          <w:sz w:val="20"/>
        </w:rPr>
        <w:t xml:space="preserve">(xxi) agree, resolve or commit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Agreement shall give the Company, directly or indirectly, the right to control or direct the operations of Parent prior to the First Effective Time. Prior to the First Effective Time, Parent shall exercise, consistent with the terms and conditions of this Agreement, complete unilateral control and supervision over its business operations.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 provision herein to the contrary (including the foregoing provisions of this </w:t>
      </w:r>
      <w:r>
        <w:rPr>
          <w:rFonts w:ascii="Times New Roman" w:hAnsi="Times New Roman"/>
          <w:sz w:val="20"/>
          <w:u w:val="single"/>
        </w:rPr>
        <w:t>Section 6.1</w:t>
      </w:r>
      <w:r>
        <w:rPr>
          <w:rFonts w:ascii="Times New Roman" w:hAnsi="Times New Roman"/>
          <w:sz w:val="20"/>
        </w:rPr>
        <w:t xml:space="preserve">), Parent may declare the Pre-Closing Cash Dividend. </w:t>
      </w:r>
    </w:p>
    <w:p>
      <w:pPr>
        <w:pStyle w:val="TextBody"/>
        <w:bidi w:val="0"/>
        <w:spacing w:before="120" w:after="0"/>
        <w:jc w:val="left"/>
        <w:rPr>
          <w:rFonts w:ascii="Times New Roman" w:hAnsi="Times New Roman"/>
          <w:sz w:val="20"/>
        </w:rPr>
      </w:pPr>
      <w:r>
        <w:rPr>
          <w:rFonts w:ascii="Times New Roman" w:hAnsi="Times New Roman"/>
          <w:sz w:val="20"/>
        </w:rPr>
        <w:t xml:space="preserve">(d) During the Pre-Closing Period, Parent shall, and shall cause its Affiliates to, except as the Company shall otherwise consent in writing (such consent not to be unreasonably withheld, delayed or conditioned), undertake the activities to wind-down their businesses as set forth on </w:t>
      </w:r>
      <w:r>
        <w:rPr>
          <w:rFonts w:ascii="Times New Roman" w:hAnsi="Times New Roman"/>
          <w:sz w:val="20"/>
          <w:u w:val="single"/>
        </w:rPr>
        <w:t>Section 6.1(d)</w:t>
      </w:r>
      <w:r>
        <w:rPr>
          <w:rFonts w:ascii="Times New Roman" w:hAnsi="Times New Roman"/>
          <w:sz w:val="20"/>
        </w:rPr>
        <w:t xml:space="preserve"> of the Parent Disclosure Letter (the “</w:t>
      </w:r>
      <w:r>
        <w:rPr>
          <w:rFonts w:ascii="Times New Roman" w:hAnsi="Times New Roman"/>
          <w:sz w:val="20"/>
          <w:u w:val="single"/>
        </w:rPr>
        <w:t>Wind-Down Activities</w:t>
      </w:r>
      <w:r>
        <w:rPr>
          <w:rFonts w:ascii="Times New Roman" w:hAnsi="Times New Roman"/>
          <w:sz w:val="20"/>
        </w:rPr>
        <w:t xml:space="preserve">”) as promptly as practicable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Operation of Company’s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expressly contemplated or permitted by this Agreement (including actions in connection with the Concurrent Investment), as required by applicable Law or unless Parent shall otherwise consent in writing (email being sufficient and which consent shall not be unreasonably withheld, delayed or conditioned), during the Pre-Closing Period, the Company shall, and shall cause its Subsidiaries to, use commercially reasonable efforts to conduct its business and operations in the ordinary course of business and consistent with past practice and in material compliance with the applicable Law and the requirements of all Contracts that constitute Material Contracts.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Except (i) as expressly contemplated or permitted by this Agreement, including the Subscription Agreement, (ii) as set forth in </w:t>
      </w:r>
      <w:r>
        <w:rPr>
          <w:rFonts w:ascii="Times New Roman" w:hAnsi="Times New Roman"/>
          <w:sz w:val="20"/>
          <w:u w:val="single"/>
        </w:rPr>
        <w:t>Section 6.2(a)</w:t>
      </w:r>
      <w:r>
        <w:rPr>
          <w:rFonts w:ascii="Times New Roman" w:hAnsi="Times New Roman"/>
          <w:sz w:val="20"/>
        </w:rPr>
        <w:t xml:space="preserve"> of the Company Disclosure Letter, (iii) as required by applicable Law or (iv) with the prior written consent of Parent (email being sufficient and which consent shall not be unreasonably withheld, delayed or conditioned), at all times during the Pre-Closing Period, the Company shall not, nor shall it cause or permit any of its Subsidiaries to, do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declare, accrue, set aside or pay any dividend or make any other distribution in respect of any shares of its capital stock or repurchase, redeem or otherwise reacquire any shares of its capital stock or other securities (except for shares of Company Common Stock from terminated employees, directors or consultants of the Company in accordance with agreements in effect on the date of this Agreement providing for the repurchase of shares at no more than the purchase price thereof in connection with any termination of services to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 other than grants of Company Options under the Company Equity Plan made in the ordinary course of business, sell, issue, grant, pledge or otherwise dispose of or encumber or authorize the issuance of: (A) any capital stock or other security (except for Company Common Stock issued upon the valid exercise or settlement of outstanding Company Options or the valid exercise of outstanding Company Warrants), (B) any option, warrant or right to acquire any capital stock or any other security or (C) any instrument convertible into or exchangeable for any capital stock or other security; </w:t>
      </w:r>
    </w:p>
    <w:p>
      <w:pPr>
        <w:pStyle w:val="TextBody"/>
        <w:bidi w:val="0"/>
        <w:spacing w:before="120" w:after="0"/>
        <w:jc w:val="left"/>
        <w:rPr>
          <w:rFonts w:ascii="Times New Roman" w:hAnsi="Times New Roman"/>
          <w:sz w:val="20"/>
        </w:rPr>
      </w:pPr>
      <w:r>
        <w:rPr>
          <w:rFonts w:ascii="Times New Roman" w:hAnsi="Times New Roman"/>
          <w:sz w:val="20"/>
        </w:rPr>
        <w:t xml:space="preserve">(iii) 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(iv) form any Subsidiary or acquire any equity interest or other interest in any other entity or enter into a joint venture with any other entity; </w:t>
      </w:r>
    </w:p>
    <w:p>
      <w:pPr>
        <w:pStyle w:val="TextBody"/>
        <w:bidi w:val="0"/>
        <w:spacing w:before="120" w:after="0"/>
        <w:jc w:val="left"/>
        <w:rPr>
          <w:rFonts w:ascii="Times New Roman" w:hAnsi="Times New Roman"/>
          <w:sz w:val="20"/>
        </w:rPr>
      </w:pPr>
      <w:r>
        <w:rPr>
          <w:rFonts w:ascii="Times New Roman" w:hAnsi="Times New Roman"/>
          <w:sz w:val="20"/>
        </w:rPr>
        <w:t xml:space="preserve">(v) (A) lend money to any Person, (B) incur or guarantee any indebtedness for borrowed money, (C) guarantee any debt securities or others or (D) make any capital expenditure or commitment for an amount not in excess of $50,000 in the aggregate; </w:t>
      </w:r>
    </w:p>
    <w:p>
      <w:pPr>
        <w:pStyle w:val="TextBody"/>
        <w:bidi w:val="0"/>
        <w:spacing w:before="120" w:after="0"/>
        <w:jc w:val="left"/>
        <w:rPr>
          <w:rFonts w:ascii="Times New Roman" w:hAnsi="Times New Roman"/>
          <w:sz w:val="20"/>
        </w:rPr>
      </w:pPr>
      <w:r>
        <w:rPr>
          <w:rFonts w:ascii="Times New Roman" w:hAnsi="Times New Roman"/>
          <w:sz w:val="20"/>
        </w:rPr>
        <w:t xml:space="preserve">(vi) terminate (other than for cause) any named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(vii) enter into any material transaction outside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(viii) acquire any material asset or sell, lease, license or otherwise irrevocably dispose of any of its assets or properties, or grant any Lien with respect to such assets or properties, in each case except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(ix) waive, settle or compromise any pending or threatened Action against the Company or any of its Subsidiaries, other than waivers, settlements or agreements (A) for an amount not in excess of $100,000 in the aggregate (excluding amounts to be paid under existing insurance policies or renewals thereof) and (B) that do not impose any material restrictions on the operations or businesses of the Company or its Subsidiaries, taken as a whole, or any equitable relief on, or the admission of wrongdoing by the Company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delay or fail to repay when due any material obligation, including accounts payable and accrued expenses, other than in the ordinary course of business and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(xi) forgive any loans to any Person, including its employees, officers, directors or Affiliate; </w:t>
      </w:r>
    </w:p>
    <w:p>
      <w:pPr>
        <w:pStyle w:val="TextBody"/>
        <w:bidi w:val="0"/>
        <w:spacing w:before="120" w:after="0"/>
        <w:jc w:val="left"/>
        <w:rPr>
          <w:rFonts w:ascii="Times New Roman" w:hAnsi="Times New Roman"/>
          <w:sz w:val="20"/>
        </w:rPr>
      </w:pPr>
      <w:r>
        <w:rPr>
          <w:rFonts w:ascii="Times New Roman" w:hAnsi="Times New Roman"/>
          <w:sz w:val="20"/>
        </w:rPr>
        <w:t xml:space="preserve">(xii) enter into any agreement to purchase or sell any interest in real property, grant any security interest in any real property, or alter, amend, modify, exercise any extension or expansion right under or violate or terminate any of the terms of any real property leases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(xiii) other than as required by Law or GAAP, take any action to change accounting policies or procedures; </w:t>
      </w:r>
    </w:p>
    <w:p>
      <w:pPr>
        <w:pStyle w:val="TextBody"/>
        <w:bidi w:val="0"/>
        <w:spacing w:before="120" w:after="0"/>
        <w:jc w:val="left"/>
        <w:rPr>
          <w:rFonts w:ascii="Times New Roman" w:hAnsi="Times New Roman"/>
          <w:sz w:val="20"/>
        </w:rPr>
      </w:pPr>
      <w:r>
        <w:rPr>
          <w:rFonts w:ascii="Times New Roman" w:hAnsi="Times New Roman"/>
          <w:sz w:val="20"/>
        </w:rPr>
        <w:t xml:space="preserve">(xiv) sell, assign, transfer, license, sublicense or otherwise dispose of any material Intellectual Property of the Company (other than in the ordinary course of business and consistent with past practice);terminate or modify in any material respect, or fail to exercise renewal rights with respect to, any material insurance policy; </w:t>
      </w:r>
    </w:p>
    <w:p>
      <w:pPr>
        <w:pStyle w:val="TextBody"/>
        <w:bidi w:val="0"/>
        <w:spacing w:before="120" w:after="0"/>
        <w:jc w:val="left"/>
        <w:rPr>
          <w:rFonts w:ascii="Times New Roman" w:hAnsi="Times New Roman"/>
          <w:sz w:val="20"/>
        </w:rPr>
      </w:pPr>
      <w:r>
        <w:rPr>
          <w:rFonts w:ascii="Times New Roman" w:hAnsi="Times New Roman"/>
          <w:sz w:val="20"/>
        </w:rPr>
        <w:t xml:space="preserve">(xv) enter into, terminate or amend a Material Contract that would reasonably be expected to prevent or impede, interfere with, hinder or delay the consummation of the transactions contemplated by this Agreement; or </w:t>
      </w:r>
    </w:p>
    <w:p>
      <w:pPr>
        <w:pStyle w:val="TextBody"/>
        <w:bidi w:val="0"/>
        <w:spacing w:before="120" w:after="0"/>
        <w:jc w:val="left"/>
        <w:rPr>
          <w:rFonts w:ascii="Times New Roman" w:hAnsi="Times New Roman"/>
          <w:sz w:val="20"/>
        </w:rPr>
      </w:pPr>
      <w:r>
        <w:rPr>
          <w:rFonts w:ascii="Times New Roman" w:hAnsi="Times New Roman"/>
          <w:sz w:val="20"/>
        </w:rPr>
        <w:t xml:space="preserve">(xvi) agree, resolve or commit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Agreement shall give Parent, directly or indirectly, the right to control or direct the operations of the Company prior to the First Effective Time. Prior to the First Effective Time, the Company shall exercise, consistent with the terms and conditions of this Agreement, complete unilateral control and supervision over its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Access and Investigation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terms of the Confidentiality Agreement, which the parties agree will continue in full force following the date of this Agreement, during the Pre-Closing Period, upon reasonable advance written notice, Parent,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property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(c) permit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the other party may deem necessary and (d) make available to the other party copies of any material notice, report or other document filed with or sent to or received from any Governmental Entity in connection with the transactions contemplated hereby. Any investigation conducted by either Parent or the Company pursuant to this </w:t>
      </w:r>
      <w:r>
        <w:rPr>
          <w:rFonts w:ascii="Times New Roman" w:hAnsi="Times New Roman"/>
          <w:sz w:val="20"/>
          <w:u w:val="single"/>
        </w:rPr>
        <w:t>Section 6.3(a)</w:t>
      </w:r>
      <w:r>
        <w:rPr>
          <w:rFonts w:ascii="Times New Roman" w:hAnsi="Times New Roman"/>
          <w:sz w:val="20"/>
        </w:rPr>
        <w:t xml:space="preserve"> shall be conducted in such manner as not to interfere unreasonably with the conduct of the business of the other party.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herein to the contrary in this </w:t>
      </w:r>
      <w:r>
        <w:rPr>
          <w:rFonts w:ascii="Times New Roman" w:hAnsi="Times New Roman"/>
          <w:sz w:val="20"/>
          <w:u w:val="single"/>
        </w:rPr>
        <w:t>Section 6.3(b)</w:t>
      </w:r>
      <w:r>
        <w:rPr>
          <w:rFonts w:ascii="Times New Roman" w:hAnsi="Times New Roman"/>
          <w:sz w:val="20"/>
        </w:rPr>
        <w:t xml:space="preserve">, no access or examination contemplated by this </w:t>
      </w:r>
      <w:r>
        <w:rPr>
          <w:rFonts w:ascii="Times New Roman" w:hAnsi="Times New Roman"/>
          <w:sz w:val="20"/>
          <w:u w:val="single"/>
        </w:rPr>
        <w:t>Section 6.3(b)</w:t>
      </w:r>
      <w:r>
        <w:rPr>
          <w:rFonts w:ascii="Times New Roman" w:hAnsi="Times New Roman"/>
          <w:sz w:val="20"/>
        </w:rPr>
        <w:t xml:space="preserve"> shall be permitted to the extent that it would require any party or its Subsidiaries (i) to waive the attorney-client privilege or attorney work product privilege, (ii) violate any applicable Law or (iii) breach such party’s confidentiality obligations to a third party; </w:t>
      </w:r>
      <w:r>
        <w:rPr>
          <w:rFonts w:ascii="Times New Roman" w:hAnsi="Times New Roman"/>
          <w:sz w:val="20"/>
          <w:u w:val="single"/>
        </w:rPr>
        <w:t>provided</w:t>
      </w:r>
      <w:r>
        <w:rPr>
          <w:rFonts w:ascii="Times New Roman" w:hAnsi="Times New Roman"/>
          <w:sz w:val="20"/>
        </w:rPr>
        <w:t xml:space="preserve">, that such party or its Subsidiary (A) shall be entitled to withhold only such information that may not be provided without causing such violation or waiver, (B) shall provide to the other party all related information that may be provided without causing such violation or waiver (including, to the extent permitted, redacted versions of any such information), (C) shall enter into such effective and appropriate joint-defense agreements or other protective arrangements as may be reasonably requested by the other party in order that all such information may be provide to the other party without causing such violation or waiver, and (D) in the case of subsection (iii) above, upon the other party’s reasonable request, such party shall use its reasonable efforts to obtain such third party’s consent to permit such other party access to such information, subject to appropriate confidentiality protections. In addition, no access or examination contemplated by this </w:t>
      </w:r>
      <w:r>
        <w:rPr>
          <w:rFonts w:ascii="Times New Roman" w:hAnsi="Times New Roman"/>
          <w:sz w:val="20"/>
          <w:u w:val="single"/>
        </w:rPr>
        <w:t>Section 6.3</w:t>
      </w:r>
      <w:r>
        <w:rPr>
          <w:rFonts w:ascii="Times New Roman" w:hAnsi="Times New Roman"/>
          <w:sz w:val="20"/>
        </w:rPr>
        <w:t xml:space="preserve"> shall be permitted to the extent that it would require any party or its Subsidiaries, except as otherwise expressly required by this Agreement, to provide information to the other party that relates to (1) the negotiation of this Agreement, (2) the amount of the Merger Consideration or the valuation of the other party in connection with this Agreement, the transactions contemplated hereby or any other financial or strategic alternatives considered by the board of directors of the other party, (3) any Acquisition Proposal (other than as may be required pursuant to </w:t>
      </w:r>
      <w:r>
        <w:rPr>
          <w:rFonts w:ascii="Times New Roman" w:hAnsi="Times New Roman"/>
          <w:sz w:val="20"/>
          <w:u w:val="single"/>
        </w:rPr>
        <w:t>Section 6.4(d)</w:t>
      </w:r>
      <w:r>
        <w:rPr>
          <w:rFonts w:ascii="Times New Roman" w:hAnsi="Times New Roman"/>
          <w:sz w:val="20"/>
        </w:rPr>
        <w:t xml:space="preserve">), (4) any process a party has conducted with any financial advisor or other communications with any Persons in connection therewith prior to the date hereof, or (5) any disputes between a party hereto or any of its Affiliates and another party hereto or any of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No Solicitation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of Parent and the Company agrees that, during the Pre-Closing Period, neither it nor any of its Subsidiaries shall, nor shall it or any of its Subsidiaries authorize any of its Representatives to, directly or indirectly: (i) solicit,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in connection with or in response to an Acquisition Proposal or Acquisition Inquiry, (iii) engage in discussions or negotiations with any Person with respect to any Acquisition Proposal or Acquisition Inquiry, (iv) approve, endorse or recommend any Acquisition Proposal (subject to </w:t>
      </w:r>
      <w:r>
        <w:rPr>
          <w:rFonts w:ascii="Times New Roman" w:hAnsi="Times New Roman"/>
          <w:sz w:val="20"/>
          <w:u w:val="single"/>
        </w:rPr>
        <w:t>Section 7.2</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(v) execute or enter into any letter of intent or any Contract contemplating or otherwise relating to any Acquisition Transaction or (vi) publicly propose to do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of the foregoing;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6.4</w:t>
      </w:r>
      <w:r>
        <w:rPr>
          <w:rFonts w:ascii="Times New Roman" w:hAnsi="Times New Roman"/>
          <w:sz w:val="20"/>
        </w:rPr>
        <w:t xml:space="preserve"> shall prohibit a party or its Representatives from engaging in ordinary course business discussions with, or responding to inquiries from, any Person, so long as such discussions or responses do not relate to an Acquisition Proposal or Acquisition Inquiry or are not otherwise in breach of this </w:t>
      </w:r>
      <w:r>
        <w:rPr>
          <w:rFonts w:ascii="Times New Roman" w:hAnsi="Times New Roman"/>
          <w:sz w:val="20"/>
          <w:u w:val="single"/>
        </w:rPr>
        <w:t>Section 6.4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contained in this </w:t>
      </w:r>
      <w:r>
        <w:rPr>
          <w:rFonts w:ascii="Times New Roman" w:hAnsi="Times New Roman"/>
          <w:sz w:val="20"/>
          <w:u w:val="single"/>
        </w:rPr>
        <w:t>Section 6.4</w:t>
      </w:r>
      <w:r>
        <w:rPr>
          <w:rFonts w:ascii="Times New Roman" w:hAnsi="Times New Roman"/>
          <w:sz w:val="20"/>
        </w:rPr>
        <w:t xml:space="preserve"> and subject to compliance with this </w:t>
      </w:r>
      <w:r>
        <w:rPr>
          <w:rFonts w:ascii="Times New Roman" w:hAnsi="Times New Roman"/>
          <w:sz w:val="20"/>
          <w:u w:val="single"/>
        </w:rPr>
        <w:t>Section 6.4</w:t>
      </w:r>
      <w:r>
        <w:rPr>
          <w:rFonts w:ascii="Times New Roman" w:hAnsi="Times New Roman"/>
          <w:sz w:val="20"/>
        </w:rPr>
        <w:t xml:space="preserve">, prior to obtaining the Parent Stockholder Approval, Parent may furnish nonpublic information regarding Parent and its Subsidiaries to, and enter into discussions or negotiations with, any Person in response to a bona fide written Acquisition Proposal by such Person which the Parent Board determines in good faith, after consultation with its financial advisors and outside legal counsel, constitutes, or is reasonably likely to result in, a Superior Offer (and is not withdrawn) if: (A) neither Parent nor any Representative of Parent shall have breached this </w:t>
      </w:r>
      <w:r>
        <w:rPr>
          <w:rFonts w:ascii="Times New Roman" w:hAnsi="Times New Roman"/>
          <w:sz w:val="20"/>
          <w:u w:val="single"/>
        </w:rPr>
        <w:t>Section 6.4</w:t>
      </w:r>
      <w:r>
        <w:rPr>
          <w:rFonts w:ascii="Times New Roman" w:hAnsi="Times New Roman"/>
          <w:sz w:val="20"/>
        </w:rPr>
        <w:t xml:space="preserve">, (B) the Parent Board concludes in good faith, after consulting with outside counsel, that the failure to take such action would reasonably be expected to be inconsistent with the Parent Board’s fiduciary duties under applicable Law, (C) at least one (1) Business Day prior to initially furnishing any such nonpublic information to, or enter into discussions with, such Person, (D) Parent receives from such Person an executed Acceptable Confidentiality Agreement and (E) at least one (1) Business Day prior to furnishing any such nonpublic information to such Person, Parent furnishes such nonpublic information to the Company (to the extent such information has not been previously furnished by Parent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contained in this </w:t>
      </w:r>
      <w:r>
        <w:rPr>
          <w:rFonts w:ascii="Times New Roman" w:hAnsi="Times New Roman"/>
          <w:sz w:val="20"/>
          <w:u w:val="single"/>
        </w:rPr>
        <w:t>Section 6.4</w:t>
      </w:r>
      <w:r>
        <w:rPr>
          <w:rFonts w:ascii="Times New Roman" w:hAnsi="Times New Roman"/>
          <w:sz w:val="20"/>
        </w:rPr>
        <w:t xml:space="preserve"> and subject to compliance with this </w:t>
      </w:r>
      <w:r>
        <w:rPr>
          <w:rFonts w:ascii="Times New Roman" w:hAnsi="Times New Roman"/>
          <w:sz w:val="20"/>
          <w:u w:val="single"/>
        </w:rPr>
        <w:t>Section 6.4</w:t>
      </w:r>
      <w:r>
        <w:rPr>
          <w:rFonts w:ascii="Times New Roman" w:hAnsi="Times New Roman"/>
          <w:sz w:val="20"/>
        </w:rPr>
        <w:t xml:space="preserve">, prior to obtaining the Company Stockholder Approval, the Company may furnish nonpublic information regarding the Company and its Subsidiaries to, and enter into discussions or negotiations with, any Person in response to a bona fide written Acquisition Proposal by such Person which the Company Board determines in good faith, after consultation with its financial advisors and outside legal counsel, constitutes, or is reasonably likely to result in, a Superior Offer (and is not withdrawn) if: (A) neither the Company nor any Representative of the Company shall have breached this </w:t>
      </w:r>
      <w:r>
        <w:rPr>
          <w:rFonts w:ascii="Times New Roman" w:hAnsi="Times New Roman"/>
          <w:sz w:val="20"/>
          <w:u w:val="single"/>
        </w:rPr>
        <w:t>Section 6.4</w:t>
      </w:r>
      <w:r>
        <w:rPr>
          <w:rFonts w:ascii="Times New Roman" w:hAnsi="Times New Roman"/>
          <w:sz w:val="20"/>
        </w:rPr>
        <w:t xml:space="preserve">, (B) the Company Board concludes in good faith, after consulting with outside counsel, that the failure to take such action would reasonably be expected to be inconsistent with the Company Board’s fiduciary duties under applicable Law, (C) at least one (1) Business Day prior to initially furnishing any such nonpublic information to, or enter into discussions with, such Person, (D) the Company receives from such Person an executed Acceptable Confidentiality Agreement and (E) at least one (1) Business Day prior to furnishing any such nonpublic information to such Person, the Company furnishes such nonpublic information to Parent (to the extent such information has not been previously furnished by the Company to Parent). </w:t>
      </w:r>
    </w:p>
    <w:p>
      <w:pPr>
        <w:pStyle w:val="TextBody"/>
        <w:bidi w:val="0"/>
        <w:spacing w:before="120" w:after="0"/>
        <w:jc w:val="left"/>
        <w:rPr>
          <w:rFonts w:ascii="Times New Roman" w:hAnsi="Times New Roman"/>
          <w:sz w:val="20"/>
        </w:rPr>
      </w:pPr>
      <w:r>
        <w:rPr>
          <w:rFonts w:ascii="Times New Roman" w:hAnsi="Times New Roman"/>
          <w:sz w:val="20"/>
        </w:rPr>
        <w:t xml:space="preserve">(d) If any party or any Representative of such party receives an Acquisition Proposal or Acquisition Inquiry at any time during the Pre-Closing Period, then such party shall promptly (and in no event later than one (1) Business Day after such party becomes aware of such Acquisition Proposal or Acquisition Inquiry) notify the other party in writing of such Acquisition Proposal or Acquisition Inquiry, which notification shall contain the details of such Acquisition Proposal or Acquisition Inquiry (including the identity of the Person making or submitting such Acquisition Proposal or Acquisition Inquiry, and the terms thereof). Such party shall keep the other party reasonably informed with respect to the status and terms of any such Acquisition Proposal or Acquisition Inquiry and any material modification or material proposed modification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Without limiting the generality of the foregoing, each party acknowledges and agrees that, in the event any Representative of such party takes any action that, if taken by such party, would constitute a breach of this </w:t>
      </w:r>
      <w:r>
        <w:rPr>
          <w:rFonts w:ascii="Times New Roman" w:hAnsi="Times New Roman"/>
          <w:sz w:val="20"/>
          <w:u w:val="single"/>
        </w:rPr>
        <w:t xml:space="preserve">Section 6.4 </w:t>
      </w:r>
      <w:r>
        <w:rPr>
          <w:rFonts w:ascii="Times New Roman" w:hAnsi="Times New Roman"/>
          <w:sz w:val="20"/>
        </w:rPr>
        <w:t xml:space="preserve">by such party, the taking of such action by such Representative shall be deemed to constitute a breach of this </w:t>
      </w:r>
      <w:r>
        <w:rPr>
          <w:rFonts w:ascii="Times New Roman" w:hAnsi="Times New Roman"/>
          <w:sz w:val="20"/>
          <w:u w:val="single"/>
        </w:rPr>
        <w:t xml:space="preserve">Section 6.4 </w:t>
      </w:r>
      <w:r>
        <w:rPr>
          <w:rFonts w:ascii="Times New Roman" w:hAnsi="Times New Roman"/>
          <w:sz w:val="20"/>
        </w:rPr>
        <w:t xml:space="preserve">by such party for purposes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(f) 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 as soon as reasonably practicable after the date of this Agreement (and in no event later than 24 hours). </w:t>
      </w:r>
    </w:p>
    <w:p>
      <w:pPr>
        <w:pStyle w:val="TextBody"/>
        <w:bidi w:val="0"/>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Notification of Certain Matters</w:t>
      </w:r>
      <w:r>
        <w:rPr>
          <w:rFonts w:ascii="Times New Roman" w:hAnsi="Times New Roman"/>
          <w:sz w:val="20"/>
        </w:rPr>
        <w:t xml:space="preserve">. During the Pre-Closing Period, each of the Company, on the one hand, and Parent, on the other hand, shall promptly notify the other (and, if in writing, furnish copies of) if any of the following occurs: (a) any notice or other communication is received from any Person alleging that the consent of such Person is or may be required in connection with any of the transactions contemplated hereby, (b) any Action against or involving or otherwise affecting such party or its Subsidiaries is commenced, or, to the knowledge of such party, threatened against such party or, to the knowledge of such party, any director, officer or employee of such party, (c) such party becomes aware of any inaccuracy in any representation or warranty made by such party in this Agreement or (d) the failure of such party to comply with any covenant or obligation of such party; in each case that could reasonably be expected to make the timely satisfaction of any of the conditions set forth in </w:t>
      </w:r>
      <w:r>
        <w:rPr>
          <w:rFonts w:ascii="Times New Roman" w:hAnsi="Times New Roman"/>
          <w:sz w:val="20"/>
          <w:u w:val="single"/>
        </w:rPr>
        <w:t>Article VIII</w:t>
      </w:r>
      <w:r>
        <w:rPr>
          <w:rFonts w:ascii="Times New Roman" w:hAnsi="Times New Roman"/>
          <w:sz w:val="20"/>
        </w:rPr>
        <w:t xml:space="preserve">, as applicable, impossible or materially less likely. No such notice shall be deemed to supplement or amend the Company Disclosure Letter or the Parent Disclosure Letter for the purpose of (x) determining the accuracy of any of the representations and warranties made by the Company or Parent in this Agreement or (y) determining whether any condition set forth in </w:t>
      </w:r>
      <w:r>
        <w:rPr>
          <w:rFonts w:ascii="Times New Roman" w:hAnsi="Times New Roman"/>
          <w:sz w:val="20"/>
          <w:u w:val="single"/>
        </w:rPr>
        <w:t>Article VIII</w:t>
      </w:r>
      <w:r>
        <w:rPr>
          <w:rFonts w:ascii="Times New Roman" w:hAnsi="Times New Roman"/>
          <w:sz w:val="20"/>
        </w:rPr>
        <w:t xml:space="preserve"> has been satisfied. Any failure by either party to provide notice pursuant to this </w:t>
      </w:r>
      <w:r>
        <w:rPr>
          <w:rFonts w:ascii="Times New Roman" w:hAnsi="Times New Roman"/>
          <w:sz w:val="20"/>
          <w:u w:val="single"/>
        </w:rPr>
        <w:t>Section 6.5</w:t>
      </w:r>
      <w:r>
        <w:rPr>
          <w:rFonts w:ascii="Times New Roman" w:hAnsi="Times New Roman"/>
          <w:sz w:val="20"/>
        </w:rPr>
        <w:t xml:space="preserve"> shall not be deemed to be a breach for purposes of </w:t>
      </w:r>
      <w:r>
        <w:rPr>
          <w:rFonts w:ascii="Times New Roman" w:hAnsi="Times New Roman"/>
          <w:sz w:val="20"/>
          <w:u w:val="single"/>
        </w:rPr>
        <w:t>Section 8.2(b)</w:t>
      </w:r>
      <w:r>
        <w:rPr>
          <w:rFonts w:ascii="Times New Roman" w:hAnsi="Times New Roman"/>
          <w:sz w:val="20"/>
        </w:rPr>
        <w:t xml:space="preserve"> and </w:t>
      </w:r>
      <w:r>
        <w:rPr>
          <w:rFonts w:ascii="Times New Roman" w:hAnsi="Times New Roman"/>
          <w:sz w:val="20"/>
          <w:u w:val="single"/>
        </w:rPr>
        <w:t>Section 8.3(b)</w:t>
      </w:r>
      <w:r>
        <w:rPr>
          <w:rFonts w:ascii="Times New Roman" w:hAnsi="Times New Roman"/>
          <w:sz w:val="20"/>
        </w:rPr>
        <w:t xml:space="preserve">, as applicable, unless such failure to provide such notice was knowing and intentional. </w:t>
      </w:r>
    </w:p>
    <w:p>
      <w:pPr>
        <w:pStyle w:val="TextBody"/>
        <w:bidi w:val="0"/>
        <w:spacing w:before="24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Parent Options</w:t>
      </w:r>
      <w:r>
        <w:rPr>
          <w:rFonts w:ascii="Times New Roman" w:hAnsi="Times New Roman"/>
          <w:sz w:val="20"/>
        </w:rPr>
        <w:t xml:space="preserve">. Prior to the Closing Date, the Parent Board shall have adopted appropriate resolutions and taken all other actions necessary and appropriate to provide that (i) the vesting and exercisability of each outstanding and unexpired, unexercised and unvested Parent Option shall be accelerated in full and (ii) all outstanding Parent OTM Options shall be cancelled for no consideration, in each case, effective as of immediately prior to the First Effective Time, contingent on the occurrence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Parent Restricted Stock Unit Awards</w:t>
      </w:r>
      <w:r>
        <w:rPr>
          <w:rFonts w:ascii="Times New Roman" w:hAnsi="Times New Roman"/>
          <w:sz w:val="20"/>
        </w:rPr>
        <w:t xml:space="preserve">. Prior to the Closing Date, the Parent Board shall have adopted appropriate resolutions and taken all other actions necessary and appropriate to provide that (a) the vesting of each outstanding and unvested Parent Restricted Stock Unit Award shall be accelerated in full effective as of immediately prior to the First Effective Time, contingent on the occurrence of the Closing and (b) for each outstanding and unsettled Parent Restricted Stock Unit Award, the holder thereof shall receive, immediately prior to the First Effective Time, a number of shares of Parent Common Stock equal to the number of vested and unsettled shares of Parent Common Stock underlying such Parent Restricted Stock Unit Award. Notwithstanding anything herein to the contrary, the Tax withholding obligations for each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receiving shares of Parent Common Stock in accordance with the preceding sentence shall be satisfied by Parent withholding from issuance that number of shares of Parent Common Stock calculated by multiplying the maximum statutory withholding rate for such holder in connection with such issuance by the number of shares of Parent Common Stock to be issued in accordance with the preceding sentence, and rounding up to the nearest whole share and remitting such withholding in cash to the appropriate taxing authorities. </w:t>
      </w:r>
    </w:p>
    <w:p>
      <w:pPr>
        <w:pStyle w:val="TextBody"/>
        <w:bidi w:val="0"/>
        <w:spacing w:before="240" w:after="0"/>
        <w:jc w:val="left"/>
        <w:rPr>
          <w:rFonts w:ascii="Times New Roman" w:hAnsi="Times New Roman"/>
          <w:sz w:val="20"/>
        </w:rPr>
      </w:pPr>
      <w:r>
        <w:rPr>
          <w:rFonts w:ascii="Times New Roman" w:hAnsi="Times New Roman"/>
          <w:sz w:val="20"/>
        </w:rPr>
        <w:t xml:space="preserve">Section 6.8 </w:t>
      </w:r>
      <w:r>
        <w:rPr>
          <w:rFonts w:ascii="Times New Roman" w:hAnsi="Times New Roman"/>
          <w:sz w:val="20"/>
          <w:u w:val="single"/>
        </w:rPr>
        <w:t>Parent ESPP</w:t>
      </w:r>
      <w:r>
        <w:rPr>
          <w:rFonts w:ascii="Times New Roman" w:hAnsi="Times New Roman"/>
          <w:sz w:val="20"/>
        </w:rPr>
        <w:t>. As soon as reasonably practicable following the date of this Agreement, the Parent Board (or, if applicable, any committee thereof administering the Parent ESPP) shall adopt appropriate resolutions to provide that (a) no additional offering periods or purchase periods shall be commenced following or in addition to the offering period underway as of the date hereof under the Parent ESPP (the “</w:t>
      </w:r>
      <w:r>
        <w:rPr>
          <w:rFonts w:ascii="Times New Roman" w:hAnsi="Times New Roman"/>
          <w:sz w:val="20"/>
          <w:u w:val="single"/>
        </w:rPr>
        <w:t>Current Offering Period</w:t>
      </w:r>
      <w:r>
        <w:rPr>
          <w:rFonts w:ascii="Times New Roman" w:hAnsi="Times New Roman"/>
          <w:sz w:val="20"/>
        </w:rPr>
        <w:t xml:space="preserve">”), (b) no payroll deductions or other contributions shall be made or effected after the Current Offering Period with respect to the Parent ESPP after the date of such resolutions, and (c) the Current Offering Period shall be terminated and each Parent ESPP participant’s accumulated contributions under the Parent ESPP shall be returned to the participant in accordance with the terms of the Parent ESPP. </w:t>
      </w:r>
    </w:p>
    <w:p>
      <w:pPr>
        <w:pStyle w:val="TextBody"/>
        <w:bidi w:val="0"/>
        <w:spacing w:before="240" w:after="0"/>
        <w:jc w:val="left"/>
        <w:rPr>
          <w:rFonts w:ascii="Times New Roman" w:hAnsi="Times New Roman"/>
          <w:sz w:val="20"/>
        </w:rPr>
      </w:pPr>
      <w:r>
        <w:rPr>
          <w:rFonts w:ascii="Times New Roman" w:hAnsi="Times New Roman"/>
          <w:sz w:val="20"/>
        </w:rPr>
        <w:t xml:space="preserve">Section 6.9 </w:t>
      </w:r>
      <w:r>
        <w:rPr>
          <w:rFonts w:ascii="Times New Roman" w:hAnsi="Times New Roman"/>
          <w:sz w:val="20"/>
          <w:u w:val="single"/>
        </w:rPr>
        <w:t>Parent 401(k) Plan</w:t>
      </w:r>
      <w:r>
        <w:rPr>
          <w:rFonts w:ascii="Times New Roman" w:hAnsi="Times New Roman"/>
          <w:sz w:val="20"/>
        </w:rPr>
        <w:t>. Unless otherwise requested by the Company in writing at least ten (10) Business Days prior to the Closing Date, the Parent Board or an authorized committee thereof shall take (or cause to be taken) all actions to adopt such resolutions as may be necessary or appropriate to terminate, effective no later than the day prior to the Closing Date but subject to the Closing, any Parent Plan that contains a cash or deferred arrangement intended to qualify under Section 401(k) of the Code (a “</w:t>
      </w:r>
      <w:r>
        <w:rPr>
          <w:rFonts w:ascii="Times New Roman" w:hAnsi="Times New Roman"/>
          <w:sz w:val="20"/>
          <w:u w:val="single"/>
        </w:rPr>
        <w:t>Parent 401(k) Plan</w:t>
      </w:r>
      <w:r>
        <w:rPr>
          <w:rFonts w:ascii="Times New Roman" w:hAnsi="Times New Roman"/>
          <w:sz w:val="20"/>
        </w:rPr>
        <w:t xml:space="preserve">”). If Parent is required to terminate any Parent 401(k) Plan, then Parent shall provide to the Company prior to the Closing Date written evidence of the adoption by the Parent Board or an authorized committee thereof of resolutions authorizing the termination of such Parent 401(k) Plan (the form and substance of which shall be subject to the reasonable prior review and approval of the Company, not to be unreasonably withheld, conditioned or delayed).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ADDITIONAL AGREEMENTS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Registration Statement; Proxy Statement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As promptly as practicable (but in any event, no later than fifteen (15) Business Days after the date of this Agreement), (i) Parent shall prepare, and file with the SEC a proxy statement relating to the Parent Stockholders Meeting to be held in connection with the Merger (together with any amendments thereof or supplements thereto, the “</w:t>
      </w:r>
      <w:r>
        <w:rPr>
          <w:rFonts w:ascii="Times New Roman" w:hAnsi="Times New Roman"/>
          <w:sz w:val="20"/>
          <w:u w:val="single"/>
        </w:rPr>
        <w:t>Proxy Statement</w:t>
      </w:r>
      <w:r>
        <w:rPr>
          <w:rFonts w:ascii="Times New Roman" w:hAnsi="Times New Roman"/>
          <w:sz w:val="20"/>
        </w:rPr>
        <w:t>”) and (ii) Parent, in cooperation with the Company, shall prepare and file with the SEC a registration statement on Form S-4 (the “</w:t>
      </w:r>
      <w:r>
        <w:rPr>
          <w:rFonts w:ascii="Times New Roman" w:hAnsi="Times New Roman"/>
          <w:sz w:val="20"/>
          <w:u w:val="single"/>
        </w:rPr>
        <w:t>Form S-4</w:t>
      </w:r>
      <w:r>
        <w:rPr>
          <w:rFonts w:ascii="Times New Roman" w:hAnsi="Times New Roman"/>
          <w:sz w:val="20"/>
        </w:rPr>
        <w:t>”), in which the Proxy Statement shall be included as a part (the Proxy Statement and the Form S-4, collectively, the “</w:t>
      </w:r>
      <w:r>
        <w:rPr>
          <w:rFonts w:ascii="Times New Roman" w:hAnsi="Times New Roman"/>
          <w:sz w:val="20"/>
          <w:u w:val="single"/>
        </w:rPr>
        <w:t>Registration Statement</w:t>
      </w:r>
      <w:r>
        <w:rPr>
          <w:rFonts w:ascii="Times New Roman" w:hAnsi="Times New Roman"/>
          <w:sz w:val="20"/>
        </w:rPr>
        <w:t xml:space="preserve">”), in connection with the registration under the Securities Act of the shares of Parent Common Stock (including any Parent Common Stock issuable upon exercise of the Assumed Warrants) to be issued by virtue of the Merger, other than any shares of Parent Common Stock which are not permitted to be registered on Form S-4 pursuant to applicable Law. Parent shall use its reasonable best efforts to (i) cause the Registration Statement to comply with the applicable rules and regulations promulgated by the SEC, (ii) cause the Registration Statement to become effective as promptly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practicable, and (iii) respond promptly to any comments or requests of the SEC or its staff relating to the Registration Statement. Parent shall take all or any action required under any applicable federal, state, securities and other Laws in connection with the issuance of shares of Parent Common Stock pursuant to the Merger (including any Parent Common Stock issuable upon exercise of the Assumed Warrants). Each of the parties shall reasonably cooperate with the other party and furnish all information concerning itself and their Affiliates, as applicable, to the other parties that is required by law to be included in the Registration Statement as the other parties may reasonably request in connection with such actions and the preparation of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(b) Parent covenants and agrees that the Registration Statement (and the letter to stockholders, notice of meeting and form of proxy included therewith) will (i) comply as to form in all material respects with the requirements of applicable U.S. federal securities laws and the DGCL, and (ii) will not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supplied by or on behalf of the Company, concerning itself, to Parent for inclusion in the Registration Statement (including the Company Interim Financial Statements)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Registration Statement (and the letter to stockholders, notice of meeting and form of proxy included therewith), if any, based on information provided by the other party or any of their Representatives regarding such other party or its Affiliates for inclusion therein. </w:t>
      </w:r>
    </w:p>
    <w:p>
      <w:pPr>
        <w:pStyle w:val="TextBody"/>
        <w:bidi w:val="0"/>
        <w:spacing w:before="120" w:after="0"/>
        <w:jc w:val="left"/>
        <w:rPr>
          <w:rFonts w:ascii="Times New Roman" w:hAnsi="Times New Roman"/>
          <w:sz w:val="20"/>
        </w:rPr>
      </w:pPr>
      <w:r>
        <w:rPr>
          <w:rFonts w:ascii="Times New Roman" w:hAnsi="Times New Roman"/>
          <w:sz w:val="20"/>
        </w:rPr>
        <w:t xml:space="preserve">(c) Parent shall use commercially reasonable efforts to cause the Proxy Statement to be mailed to Parent’s stockholders as promptly as practicable after the Registration Statement is declared effective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(d) If at any time before the Effective Time (i) any party (A) becomes aware of any event or information that, pursuant to the Securities Act or the Exchange Act, should be disclosed in an amendment or supplement to the Registration Statement, (B) receives notice of any SEC request for an amendment or supplement to the 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then, in each case such party, as the case may be, shall promptly inform the other parties thereof and shall cooperate with such other parties in filing such amendment or supplement with the SEC (and, if appropriate, in mailing such amendment or supplement to the Parent stockholders) or otherwise addressing such SEC request or comments and each party shall use their commercially reasonable efforts to cause any such amendment to become effective, if required. Parent shall promptly notify the Company if it becomes aware (1) that the Registration Statement has become effective, (2) of the issuance of any stop order or suspension of the qualification or registration of the Parent Common Stock issuance in connection with the Merger for offering or sale in any jurisdiction, or (3) any order of the SEC related to the Registration Statement, and shall promptly provide to the Company copies of all written correspondence between it or any of its Representatives, on the one hand, and the SEC or staff of the SEC, on the other hand, with respect to the Registration Statement and all orders of the SEC relating to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Company shall reasonably cooperate with Parent and provide, and cause its Representatives to provide, Parent and its Representatives, with all true, correct and complete information regarding the Company and its Subsidiaries that is required by law to be included in the Registration Statement or reasonably requested by Parent to be included in the Registration Statement. Without limiting the Company’s obligations in </w:t>
      </w:r>
      <w:r>
        <w:rPr>
          <w:rFonts w:ascii="Times New Roman" w:hAnsi="Times New Roman"/>
          <w:sz w:val="20"/>
          <w:u w:val="single"/>
        </w:rPr>
        <w:t>Section 7.1(a)</w:t>
      </w:r>
      <w:r>
        <w:rPr>
          <w:rFonts w:ascii="Times New Roman" w:hAnsi="Times New Roman"/>
          <w:sz w:val="20"/>
        </w:rPr>
        <w:t xml:space="preserve">, the Company will use commercially reasonable efforts to cause to be delivered to Parent a letter of the Company’s independent accounting firm, dated no more than two (2) Business Days before the date on which the Registration Statement becomes effective (and reasonably satisfactory in form and substance to Parent), that is customary in scope and substance for letters delivered by independent public accountants in connection with registration statements similar to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(f) The Company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No filing of, or amendment or supplement to, the Registration Statement will be made by Parent, and no filing of, or amendment or supplement to, the Registration Statement will be made by Parent, in each case, without the prior consent of the Company, which shall not be unreasonably withheld, conditioned or delayed. </w:t>
      </w:r>
    </w:p>
    <w:p>
      <w:pPr>
        <w:pStyle w:val="TextBody"/>
        <w:bidi w:val="0"/>
        <w:spacing w:before="120" w:after="0"/>
        <w:jc w:val="left"/>
        <w:rPr>
          <w:rFonts w:ascii="Times New Roman" w:hAnsi="Times New Roman"/>
          <w:sz w:val="20"/>
        </w:rPr>
      </w:pPr>
      <w:r>
        <w:rPr>
          <w:rFonts w:ascii="Times New Roman" w:hAnsi="Times New Roman"/>
          <w:sz w:val="20"/>
        </w:rPr>
        <w:t>(g) As promptly as reasonably practicable following the date of this Agreement (but in any event, no later than fifteen (15) Business Days after the date of this Agreement), the Company will furnish to Parent draft audited financial statements (which shall be final in every respect except for the auditor’s signature in the audit opinion which shall only be included upon filing of the Form S-4 as provided above) for each of its fiscal years required to be included in the Registration Statement (the “</w:t>
      </w:r>
      <w:r>
        <w:rPr>
          <w:rFonts w:ascii="Times New Roman" w:hAnsi="Times New Roman"/>
          <w:sz w:val="20"/>
          <w:u w:val="single"/>
        </w:rPr>
        <w:t>Company Audited Financial Statements</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 and, following the date of this Agreement, the Company will furnish to Parent unaudited interim financial statements for each interim period completed prior to Closing that would be required to be included in the Registration Statement or any periodic report due prior to the Closing if the Company were subject to the periodic reporting requirements under the Securities Act or the Exchange Act. The Company Audited Financial Statements will be prepared in accordance with GAAP as applied on a consistent basis during the periods involved (except in each case as described in the notes thereto and except, in the case of any unaudited financial statements, to normal year-end audit adjustments) and on that basis will present fairly, in all material respects, the financial position and the results of operations, changes in stockholders’ equity, and cash flows of the Company as of the dates of and for the periods referred to in the Company Audited Financial Statements or the Company Interim Financial Statements,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Company Stockholder Approval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Promptly after the Registration Statement has been declared effective under the Securities Act, and in any event no later than two (2) Business Days thereafter, the Company shall solicit for approval the Company Stockholder Approval. Under no circumstances shall the Company assert that any other approval or consent is necessary by its stockholders to approve this Agreement and the transactions contemplated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Reasonably promptly following receipt of the Company Stockholder Approval, the Company shall prepare and mail the Registration Statement (or a portion thereof) constituting a notice of the transactions contemplated hereby and of the Company Stockholder Approval) to each stockholder of the Company that did not execute the Company Stockholder Approval (the “</w:t>
      </w:r>
      <w:r>
        <w:rPr>
          <w:rFonts w:ascii="Times New Roman" w:hAnsi="Times New Roman"/>
          <w:sz w:val="20"/>
          <w:u w:val="single"/>
        </w:rPr>
        <w:t>Stockholder Notice</w:t>
      </w:r>
      <w:r>
        <w:rPr>
          <w:rFonts w:ascii="Times New Roman" w:hAnsi="Times New Roman"/>
          <w:sz w:val="20"/>
        </w:rPr>
        <w:t xml:space="preserve">”). The Stockholder Notice shall (i) be a statement to the effect that the Company Board determined that the Merger is advisable in accordance with Section 251(b) of the DGCL and in the best interests of the stockholders of the Company and approved and adopted this Agreement, the Merger and the other transactions contemplated hereby and (ii) provide the stockholders of the Company to whom it is sent with notice of the availability of appraisal rights and notice of the actions taken in the Company Stockholder Approval, including the adoption and approval of this Agreement, the Merger and the other transactions contemplated hereby in accordance with Sections 228(e) and 262 of the DGCL and the organizational documents of the Company. All materials (including any amendments thereto) submitted to the stockholders of the Company in accordance with this </w:t>
      </w:r>
      <w:r>
        <w:rPr>
          <w:rFonts w:ascii="Times New Roman" w:hAnsi="Times New Roman"/>
          <w:sz w:val="20"/>
          <w:u w:val="single"/>
        </w:rPr>
        <w:t>Section 7.2(b)</w:t>
      </w:r>
      <w:r>
        <w:rPr>
          <w:rFonts w:ascii="Times New Roman" w:hAnsi="Times New Roman"/>
          <w:sz w:val="20"/>
        </w:rPr>
        <w:t xml:space="preserve"> shall be subject to Parent’s advanced review and reasonable approval. </w:t>
      </w:r>
    </w:p>
    <w:p>
      <w:pPr>
        <w:pStyle w:val="TextBody"/>
        <w:bidi w:val="0"/>
        <w:spacing w:before="120" w:after="0"/>
        <w:jc w:val="left"/>
        <w:rPr>
          <w:rFonts w:ascii="Times New Roman" w:hAnsi="Times New Roman"/>
          <w:sz w:val="20"/>
        </w:rPr>
      </w:pPr>
      <w:r>
        <w:rPr>
          <w:rFonts w:ascii="Times New Roman" w:hAnsi="Times New Roman"/>
          <w:sz w:val="20"/>
        </w:rPr>
        <w:t xml:space="preserve">(c) The Company agrees that: (i) the Company Board shall recommend that the Company’s stockholders vote to adopt and approve this Agreement and the transactions contemplated hereby and shall use commercially reasonable efforts to solicit such approval within the time set forth in </w:t>
      </w:r>
      <w:r>
        <w:rPr>
          <w:rFonts w:ascii="Times New Roman" w:hAnsi="Times New Roman"/>
          <w:sz w:val="20"/>
          <w:u w:val="single"/>
        </w:rPr>
        <w:t>Section 7.2(a)</w:t>
      </w:r>
      <w:r>
        <w:rPr>
          <w:rFonts w:ascii="Times New Roman" w:hAnsi="Times New Roman"/>
          <w:sz w:val="20"/>
        </w:rPr>
        <w:t xml:space="preserve"> (the recommendation of the Company Board that the Company’s stockholders vote to adopt and approve this Agreement being referred to as the “</w:t>
      </w:r>
      <w:r>
        <w:rPr>
          <w:rFonts w:ascii="Times New Roman" w:hAnsi="Times New Roman"/>
          <w:sz w:val="20"/>
          <w:u w:val="single"/>
        </w:rPr>
        <w:t>Company Board Recommendation</w:t>
      </w:r>
      <w:r>
        <w:rPr>
          <w:rFonts w:ascii="Times New Roman" w:hAnsi="Times New Roman"/>
          <w:sz w:val="20"/>
        </w:rPr>
        <w:t>”) and (ii) subject to Section 7.2(d), the Company Board Recommendation shall not be withdrawn or modified (and the Company Board shall not publicly propose to withdraw or modify the Company Board Recommendation) in a manner adverse to Parent, and no resolution by the Company Board or any committee thereof to withdraw or modify the Company Board Recommendation in a manner adverse to Parent or to adopt, approve or recommend (or publicly adopt, approve or recommend) any Acquisition Proposal shall be adopted or proposed (the actions set forth in this clause (ii), collectively, a “</w:t>
      </w:r>
      <w:r>
        <w:rPr>
          <w:rFonts w:ascii="Times New Roman" w:hAnsi="Times New Roman"/>
          <w:sz w:val="20"/>
          <w:u w:val="single"/>
        </w:rPr>
        <w:t>Company Board Adverse Recommendation Change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Notwithstanding anything to the contrary contained in </w:t>
      </w:r>
      <w:r>
        <w:rPr>
          <w:rFonts w:ascii="Times New Roman" w:hAnsi="Times New Roman"/>
          <w:sz w:val="20"/>
          <w:u w:val="single"/>
        </w:rPr>
        <w:t>Section 7.2(c)</w:t>
      </w:r>
      <w:r>
        <w:rPr>
          <w:rFonts w:ascii="Times New Roman" w:hAnsi="Times New Roman"/>
          <w:sz w:val="20"/>
        </w:rPr>
        <w:t xml:space="preserve">, and subject to compliance with </w:t>
      </w:r>
      <w:r>
        <w:rPr>
          <w:rFonts w:ascii="Times New Roman" w:hAnsi="Times New Roman"/>
          <w:sz w:val="20"/>
          <w:u w:val="single"/>
        </w:rPr>
        <w:t>Section 6.4</w:t>
      </w:r>
      <w:r>
        <w:rPr>
          <w:rFonts w:ascii="Times New Roman" w:hAnsi="Times New Roman"/>
          <w:sz w:val="20"/>
        </w:rPr>
        <w:t xml:space="preserve"> and this </w:t>
      </w:r>
      <w:r>
        <w:rPr>
          <w:rFonts w:ascii="Times New Roman" w:hAnsi="Times New Roman"/>
          <w:sz w:val="20"/>
          <w:u w:val="single"/>
        </w:rPr>
        <w:t>Section 7.2</w:t>
      </w:r>
      <w:r>
        <w:rPr>
          <w:rFonts w:ascii="Times New Roman" w:hAnsi="Times New Roman"/>
          <w:sz w:val="20"/>
        </w:rPr>
        <w:t xml:space="preserve">, at any time prior to obtaining the Company Stockholder Approval, (i) if the Company receives a bona fide written Superior Offer or (ii) as a result of a Company Intervening Event, the Company Board may make a Company Board Adverse Recommendation Change if, but only if (i) in the case of a Superior Offer, following the receipt of and on account of such Superior Offer, (1) the Company Board determines in good faith, after consulting with outside legal counsel, that the failure to withhold, amend, withdraw or modify such recommendation would reasonably be expected to be inconsistent with its fiduciary duties under applicable Law, (2) the Company has, and has caused its financial advisors and outside legal counsel to, during the Company Notice Period, negotiate with Parent in good faith to make such adjustments to the terms and conditions of this Agreement so that such Acquisition Proposal ceases to constitute a Superior Offer (to the extent Parent desires to negotiate) and (3) if after Parent shall have delivered to the Company an irrevocable written offer to alter the terms or conditions of this Agreement during the Company Notice Period, the Company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have determined in good faith, based on the advice of its outside legal counsel, that the failure to withhold, amend, withdraw or modify the Company Board Recommendation would reasonably be expected to be inconsistent with its fiduciary duties under applicable Law (after taking into account such alterations of the terms and conditions of this Agreement); </w:t>
      </w:r>
      <w:r>
        <w:rPr>
          <w:rFonts w:ascii="Times New Roman" w:hAnsi="Times New Roman"/>
          <w:sz w:val="20"/>
          <w:u w:val="single"/>
        </w:rPr>
        <w:t>provided</w:t>
      </w:r>
      <w:r>
        <w:rPr>
          <w:rFonts w:ascii="Times New Roman" w:hAnsi="Times New Roman"/>
          <w:sz w:val="20"/>
        </w:rPr>
        <w:t xml:space="preserve"> that (x) Parent receives written notice from the Company confirming that the Company Board has determined to change its recommendation at least four (4) Business Days in advance of the Company Board Adverse Recommendation Change (the “</w:t>
      </w:r>
      <w:r>
        <w:rPr>
          <w:rFonts w:ascii="Times New Roman" w:hAnsi="Times New Roman"/>
          <w:sz w:val="20"/>
          <w:u w:val="single"/>
        </w:rPr>
        <w:t>Company Notice Period</w:t>
      </w:r>
      <w:r>
        <w:rPr>
          <w:rFonts w:ascii="Times New Roman" w:hAnsi="Times New Roman"/>
          <w:sz w:val="20"/>
        </w:rPr>
        <w:t xml:space="preserve">”), which notice shall include a description in reasonable detail of the reasons for such Company Board Adverse Recommendation Change, and written copies of any relevant proposed transaction agreements with any party making a potential Superior Offer, (y) during any Company Notice Period, Parent shall be entitled to deliver to the Company one or more counterproposals to such Acquisition Proposal and the Company will, and cause its Representatives to, negotiate with Parent in good faith (to the extent Parent desires to negotiate) to make such adjustments in the terms and conditions of this Agreement so that the applicable Acquisition Proposal ceases to constitute a Superior Offer and (z) in the event of any material amendment to any Superior Offer (including any revision in the amount, form or mix of consideration or percentage of the combined company that the Company’s stockholders would receive as a result of such potential Superior Offer), the Company shall be required to provide Parent with notice of such material amendment and the Company Notice Period shall be extended, if applicable, to ensure that at least two (2) Business Days remain in the Company Notice Period following such notification during which the parties shall comply again with the requirements of this </w:t>
      </w:r>
      <w:r>
        <w:rPr>
          <w:rFonts w:ascii="Times New Roman" w:hAnsi="Times New Roman"/>
          <w:sz w:val="20"/>
          <w:u w:val="single"/>
        </w:rPr>
        <w:t>Section 7.2(d)</w:t>
      </w:r>
      <w:r>
        <w:rPr>
          <w:rFonts w:ascii="Times New Roman" w:hAnsi="Times New Roman"/>
          <w:sz w:val="20"/>
        </w:rPr>
        <w:t xml:space="preserve"> and the Company Board shall not make a Company Board Adverse Recommendation Change prior to the end of such Company Notice Period as so extended (it being understood that there may be multiple extensions) or (ii) in the case of a Company Intervening Event, following the receipt of and on account of such Company Intervening Event, (1) the Company Board determines in good faith, after consulting with outside legal counsel, that the failure to make a Company Board Adverse Recommendation Change would reasonably be expected to be inconsistent with its fiduciary duties under applicable Law, and (2) the Company promptly notifies Parent, in writing, at least four (4) Business Days before making a Company Board Adverse Recommendation Change in respect of such Company Intervening Event (which four (4) Business Day period shall be subject to extension on the same basis as the Company Notice Period in the case of a Superior Offer, mutatis mutandis), which notice shall state expressly the material facts and circumstances related to the applicable Company Intervening Event and that the Company Board intends to make a Company Board Adverse Recommendation Change, and (3) during such notice period, the Company shall, and shall cause its Representatives to, negotiate with Parent in good faith (to the extent Parent desires to negotiate) regarding any adjustments to the terms of this Agreement proposed by Parent in response to such Company Intervening Event, on terms and mechanics reciprocal to those set forth in </w:t>
      </w:r>
      <w:r>
        <w:rPr>
          <w:rFonts w:ascii="Times New Roman" w:hAnsi="Times New Roman"/>
          <w:sz w:val="20"/>
          <w:u w:val="single"/>
        </w:rPr>
        <w:t>Section 7.3(c)</w:t>
      </w:r>
      <w:r>
        <w:rPr>
          <w:rFonts w:ascii="Times New Roman" w:hAnsi="Times New Roman"/>
          <w:sz w:val="20"/>
        </w:rPr>
        <w:t xml:space="preserve"> with respect to a Parent Intervening Event.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Parent Stockholders’ Meeting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Parent shall take all action necessary under applicable Law to call, give notice of and hold a meeting of the holders of Parent Common Stock (the “</w:t>
      </w:r>
      <w:r>
        <w:rPr>
          <w:rFonts w:ascii="Times New Roman" w:hAnsi="Times New Roman"/>
          <w:sz w:val="20"/>
          <w:u w:val="single"/>
        </w:rPr>
        <w:t>Parent Stockholder Meeting</w:t>
      </w:r>
      <w:r>
        <w:rPr>
          <w:rFonts w:ascii="Times New Roman" w:hAnsi="Times New Roman"/>
          <w:sz w:val="20"/>
        </w:rPr>
        <w:t>”) to present one or more proposals to the stockholders in order to obtain the Parent Stockholder Approval (the “</w:t>
      </w:r>
      <w:r>
        <w:rPr>
          <w:rFonts w:ascii="Times New Roman" w:hAnsi="Times New Roman"/>
          <w:sz w:val="20"/>
          <w:u w:val="single"/>
        </w:rPr>
        <w:t>Parent Stockholder Proposals</w:t>
      </w:r>
      <w:r>
        <w:rPr>
          <w:rFonts w:ascii="Times New Roman" w:hAnsi="Times New Roman"/>
          <w:sz w:val="20"/>
        </w:rPr>
        <w:t xml:space="preserve">”). The Parent Stockholder Meeting shall be held as promptly as practicable after the Registration Statement is declared effective under the Securities Act, and in any event no later than forty-five (45) days after the effective date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Registration Statement. Parent shall take reasonable measures to ensure that all proxies solicited in connection with the Parent Stockholder Meeting are solicited in compliance with all applicable Law. Notwithstanding anything to the contrary contained herein, if on the date of the Parent Stockholder Meeting, or a date preceding the date on which the Parent Stockholder Meeting is scheduled, Parent reasonably believes that (i) it will not receive proxies sufficient to obtain the Parent Stockholder Approval, whether or not a quorum would be present or (ii) it will not have sufficient shares of Parent Common Stock represented (whether in person or by proxy) to constitute a quorum necessary to conduct the business of the Parent Stockholder Meeting, Parent may postpone or adjourn, or make one or more successive postponements or adjournments of, the Parent Stockholder Meeting as long as the date of the Parent Stockholder Meeting is not postponed or adjourned by more than an aggregate of thirty (30) days in connection with any postponements or adjournments. If the Final Parent Net Cash has not been determined in accordance with and pursuant to </w:t>
      </w:r>
      <w:r>
        <w:rPr>
          <w:rFonts w:ascii="Times New Roman" w:hAnsi="Times New Roman"/>
          <w:sz w:val="20"/>
          <w:u w:val="single"/>
        </w:rPr>
        <w:t>Section 3.6</w:t>
      </w:r>
      <w:r>
        <w:rPr>
          <w:rFonts w:ascii="Times New Roman" w:hAnsi="Times New Roman"/>
          <w:sz w:val="20"/>
        </w:rPr>
        <w:t xml:space="preserve"> prior to the date on which the Parent Stockholder Meeting is scheduled, Parent will postpone or adjourn, or make one or more successive postponements or adjournments of, the Parent Stockholder Meeting;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(x) any single postponement or adjournment pursuant to this sentence shall not exceed five (5) Business Days, and (y) the date of the Parent Stockholder Meeting shall not be postponed or adjourned by more than an aggregate of thirty (30) calendar days;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no event shall the Parent Stockholder Meeting be postponed or adjourned to a date that is later than the fifth (5th) Business Day prior to the End Date. </w:t>
      </w:r>
    </w:p>
    <w:p>
      <w:pPr>
        <w:pStyle w:val="TextBody"/>
        <w:bidi w:val="0"/>
        <w:spacing w:before="120" w:after="0"/>
        <w:jc w:val="left"/>
        <w:rPr>
          <w:rFonts w:ascii="Times New Roman" w:hAnsi="Times New Roman"/>
          <w:sz w:val="20"/>
        </w:rPr>
      </w:pPr>
      <w:r>
        <w:rPr>
          <w:rFonts w:ascii="Times New Roman" w:hAnsi="Times New Roman"/>
          <w:sz w:val="20"/>
        </w:rPr>
        <w:t xml:space="preserve">(b) Parent agrees that, subject to </w:t>
      </w:r>
      <w:r>
        <w:rPr>
          <w:rFonts w:ascii="Times New Roman" w:hAnsi="Times New Roman"/>
          <w:sz w:val="20"/>
          <w:u w:val="single"/>
        </w:rPr>
        <w:t>Section 7.3(c)</w:t>
      </w:r>
      <w:r>
        <w:rPr>
          <w:rFonts w:ascii="Times New Roman" w:hAnsi="Times New Roman"/>
          <w:sz w:val="20"/>
        </w:rPr>
        <w:t xml:space="preserve">, (i) the Parent Board shall recommend that the holders of Parent Common Stock vote to approve the Parent Stockholder Proposals and shall use commercially reasonable efforts to solicit such approval within the timeframe set forth in </w:t>
      </w:r>
      <w:r>
        <w:rPr>
          <w:rFonts w:ascii="Times New Roman" w:hAnsi="Times New Roman"/>
          <w:sz w:val="20"/>
          <w:u w:val="single"/>
        </w:rPr>
        <w:t>Section 7.3(a)</w:t>
      </w:r>
      <w:r>
        <w:rPr>
          <w:rFonts w:ascii="Times New Roman" w:hAnsi="Times New Roman"/>
          <w:sz w:val="20"/>
        </w:rPr>
        <w:t xml:space="preserve"> above and (ii) the Proxy Statement shall include a statement to the effect that the Parent Board recommends that Parent’s stockholders vote to approve the Parent Stockholder Proposal (the recommendation of the Parent Board being referred to as the “</w:t>
      </w:r>
      <w:r>
        <w:rPr>
          <w:rFonts w:ascii="Times New Roman" w:hAnsi="Times New Roman"/>
          <w:sz w:val="20"/>
          <w:u w:val="single"/>
        </w:rPr>
        <w:t>Parent Board Recommendation</w:t>
      </w:r>
      <w:r>
        <w:rPr>
          <w:rFonts w:ascii="Times New Roman" w:hAnsi="Times New Roman"/>
          <w:sz w:val="20"/>
        </w:rPr>
        <w:t>”) and (iii) the Parent Board Recommendation shall not be withheld, amended, withdrawn or modified (and the Parent Board shall not publicly propose to withhold, amend, withdraw or modify the Parent Board Recommendation) in a manner adverse to the Company, and no resolution by the Parent Board or any committee thereof to withdraw or modify the Parent Board Recommendation in a manner adverse to the Company or to adopt, approve or recommend (or publicly propose to adopt, approve or recommend) any Acquisition Proposal shall be adopted or proposed (the actions set forth in the foregoing clause (iii), collectively, a “</w:t>
      </w:r>
      <w:r>
        <w:rPr>
          <w:rFonts w:ascii="Times New Roman" w:hAnsi="Times New Roman"/>
          <w:sz w:val="20"/>
          <w:u w:val="single"/>
        </w:rPr>
        <w:t>Parent Board Adverse Recommendation Change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to the contrary contained in </w:t>
      </w:r>
      <w:r>
        <w:rPr>
          <w:rFonts w:ascii="Times New Roman" w:hAnsi="Times New Roman"/>
          <w:sz w:val="20"/>
          <w:u w:val="single"/>
        </w:rPr>
        <w:t>Section 7.3(b)</w:t>
      </w:r>
      <w:r>
        <w:rPr>
          <w:rFonts w:ascii="Times New Roman" w:hAnsi="Times New Roman"/>
          <w:sz w:val="20"/>
        </w:rPr>
        <w:t xml:space="preserve">, and subject to compliance with </w:t>
      </w:r>
      <w:r>
        <w:rPr>
          <w:rFonts w:ascii="Times New Roman" w:hAnsi="Times New Roman"/>
          <w:sz w:val="20"/>
          <w:u w:val="single"/>
        </w:rPr>
        <w:t>Section 6.4</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at any time prior to the approval of the Parent Stockholder Proposal by the Parent Stockholder Approval, (i) if Parent receives a bona fide written Superior Offer or (ii) as a result of a material development or change in circumstances (other than any such event, development or change to the extent related to (A) any Acquisition Proposal, Acquisition Inquiry, Acquisition Transaction or the consequences thereof or (B) the fact, in and of itself, that Parent meets or exceeds internal budgets, plans or forecasts of its revenues, earnings or other financial performance or results of operations) that affects the business, assets or operations of Parent that occurs or arises after the date of this Agreement (a “</w:t>
      </w:r>
      <w:r>
        <w:rPr>
          <w:rFonts w:ascii="Times New Roman" w:hAnsi="Times New Roman"/>
          <w:sz w:val="20"/>
          <w:u w:val="single"/>
        </w:rPr>
        <w:t>Parent Intervening Event</w:t>
      </w:r>
      <w:r>
        <w:rPr>
          <w:rFonts w:ascii="Times New Roman" w:hAnsi="Times New Roman"/>
          <w:sz w:val="20"/>
        </w:rPr>
        <w:t xml:space="preserve">”), the Parent Board may make a Parent Board Adverse Recommendation Change if, but only if (i) in the case of a Superior Offer, following the receipt of and on account of such Superior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Offer, (1) the Parent Board determines in good faith, after consulting with outside legal counsel, that the failure to withhold, amend, withdraw or modify such recommendation would reasonably be expected to be inconsistent with its fiduciary duties under applicable Law, (2) Parent has, and has caused its financial advisors and outside legal counsel to, during the Parent Notice Period, negotiate with the Company in good faith to make such adjustments to the terms and conditions of this Agreement so that such Acquisition Proposal ceases to constitute a Superior Offer (to the extent the Company desires to negotiate) and (3) if after the Company shall have delivered to Parent an irrevocable written offer to alter the terms or conditions of this Agreement during the Parent Notice Period, the Parent Board shall have determined in good faith, based on the advice of its outside legal counsel, that the failure to withhold, amend, withdraw or modify the Parent Board Recommendation would reasonably be expected to be inconsistent with its fiduciary duties under applicable Law (after taking into account such alterations of the terms and conditions of this Agreement); </w:t>
      </w:r>
      <w:r>
        <w:rPr>
          <w:rFonts w:ascii="Times New Roman" w:hAnsi="Times New Roman"/>
          <w:sz w:val="20"/>
          <w:u w:val="single"/>
        </w:rPr>
        <w:t>provided</w:t>
      </w:r>
      <w:r>
        <w:rPr>
          <w:rFonts w:ascii="Times New Roman" w:hAnsi="Times New Roman"/>
          <w:sz w:val="20"/>
        </w:rPr>
        <w:t xml:space="preserve"> that (x) the Company receives written notice from Parent confirming that the Parent Board has determined to change its recommendation at least four (4) Business Days in advance of the Parent Board Adverse Recommendation Change (the “</w:t>
      </w:r>
      <w:r>
        <w:rPr>
          <w:rFonts w:ascii="Times New Roman" w:hAnsi="Times New Roman"/>
          <w:sz w:val="20"/>
          <w:u w:val="single"/>
        </w:rPr>
        <w:t>Parent Notice Period</w:t>
      </w:r>
      <w:r>
        <w:rPr>
          <w:rFonts w:ascii="Times New Roman" w:hAnsi="Times New Roman"/>
          <w:sz w:val="20"/>
        </w:rPr>
        <w:t xml:space="preserve">” ), which notice shall include a description in reasonable detail of the reasons for such Parent Board Adverse Recommendation Change, and written copies of any relevant proposed transaction agreements with any party making a potential Superior Offer, (y) during any Parent Notice Period, the Company shall be entitled to deliver to Parent one or more counterproposals to such Acquisition Proposal and Parent will, and cause its Representatives to, negotiate with the Company in good faith (to the extent the Company desires to negotiate) to make such adjustments in the terms and conditions of this Agreement so that the applicable Acquisition Proposal ceases to constitute a Superior Offer and (z) in the event of any material amendment to any Superior Offer (including any revision in the amount, form or mix of consideration or percentage of the combined company that Parent’s stockholders would receive as a result of such potential Superior Offer), Parent shall be required to provide the Company with notice of such material amendment and the Parent Notice Period shall be extended, if applicable, to ensure that at least two (2) Business Days remain in the Parent Notice Period following such notification during which the parties shall comply again with the requirements of this </w:t>
      </w:r>
      <w:r>
        <w:rPr>
          <w:rFonts w:ascii="Times New Roman" w:hAnsi="Times New Roman"/>
          <w:sz w:val="20"/>
          <w:u w:val="single"/>
        </w:rPr>
        <w:t>Section 7.3(c)</w:t>
      </w:r>
      <w:r>
        <w:rPr>
          <w:rFonts w:ascii="Times New Roman" w:hAnsi="Times New Roman"/>
          <w:sz w:val="20"/>
        </w:rPr>
        <w:t xml:space="preserve"> and the Parent Board shall not make a Parent Board Adverse Recommendation Change prior to the end of such Parent Notice Period as so extended (it being understood that there may be multiple extensions) or (ii) in the case of a Parent Intervening Event, Parent promptly notifies the Company, in writing, within the Parent Notice Period before making a Parent Board Adverse Recommendation Change, which notice shall state expressly the material facts and circumstances related to the applicable Parent Intervening Event and that the Parent Board intends to make a Parent Board Adverse Recommendation Change. </w:t>
      </w:r>
    </w:p>
    <w:p>
      <w:pPr>
        <w:pStyle w:val="TextBody"/>
        <w:bidi w:val="0"/>
        <w:spacing w:before="120" w:after="0"/>
        <w:jc w:val="left"/>
        <w:rPr>
          <w:rFonts w:ascii="Times New Roman" w:hAnsi="Times New Roman"/>
          <w:sz w:val="20"/>
        </w:rPr>
      </w:pPr>
      <w:r>
        <w:rPr>
          <w:rFonts w:ascii="Times New Roman" w:hAnsi="Times New Roman"/>
          <w:sz w:val="20"/>
        </w:rPr>
        <w:t xml:space="preserve">(d) Unless this Agreement is validly terminated pursuant to </w:t>
      </w:r>
      <w:r>
        <w:rPr>
          <w:rFonts w:ascii="Times New Roman" w:hAnsi="Times New Roman"/>
          <w:sz w:val="20"/>
          <w:u w:val="single"/>
        </w:rPr>
        <w:t>Section 9.1(j)</w:t>
      </w:r>
      <w:r>
        <w:rPr>
          <w:rFonts w:ascii="Times New Roman" w:hAnsi="Times New Roman"/>
          <w:sz w:val="20"/>
        </w:rPr>
        <w:t xml:space="preserve">, Parent’s obligation to call, give notice of and hold the Parent Stockholder Meeting in accordance with </w:t>
      </w:r>
      <w:r>
        <w:rPr>
          <w:rFonts w:ascii="Times New Roman" w:hAnsi="Times New Roman"/>
          <w:sz w:val="20"/>
          <w:u w:val="single"/>
        </w:rPr>
        <w:t>Section 7.3(a)</w:t>
      </w:r>
      <w:r>
        <w:rPr>
          <w:rFonts w:ascii="Times New Roman" w:hAnsi="Times New Roman"/>
          <w:sz w:val="20"/>
        </w:rPr>
        <w:t xml:space="preserve"> shall not be limited to or otherwise affected by the commencement, disclosure, announcement or submission of any Superior Offer or Acquisition Proposal, or by any withdrawal or modification of the Parent Board Recommendation or any Parent Board Adverse Recommendation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Nothing contained in this Agreement shall prohibit Parent or the Parent Board from complying with Rules 14d-9 and 14e-2(a) promulgated under the Exchange 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disclosure made by Parent or the Parent Board pursuant to Rules 14d- 9 and 14e-2(a) shall be limited to a statement that Parent is unable to take a position with respect to the bidder’s tender offer unless the Parent Board determines in good faith, after consultation with its outside legal counsel, that such statement would reasonably be expected to be inconsistent with its fiduciary duties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Efforts; Regulatory Approvals; Transaction Litigation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parties shall use commercially reasonable efforts to consummate the transactions contemplated hereby. Without limiting the generality of the foregoing, each party: (i) shall promptly as practicable and in any event no more than ten (10) Business Days after the date of this Agreement, make or cause to be made any filings required by each of them or any of their respective Affiliates under the HSR Act, (ii) shall file or otherwise submit, as soon as practicable after the date of this Agreement, all applications, notices, reports and other documents reasonably required to be filed by such party with or otherwise submitted by such party to any other Governmental Entity, (iii) shall make all other filings and other submissions (if any) and give all notices (if any) required to be made and given by such party in connection with the transactions contemplated hereby, (iv) shall submit promptly any additional information requested by any such Governmental Entity, (v) shall use commercially reasonable efforts to obtain each consent (if any) reasonably required to be obtained (pursuant to any applicable law or Contract, or otherwise) by such party in connection with the transactions contemplated hereby or for such Contract to remain in full force and effect, (vi) shall use commercially reasonable efforts to lift any injunction prohibiting, or any other legal bar to, the transactions contemplated hereby and (vii) shall use commercially reasonable efforts to satisfy the conditions precedent to the consummations of this Agreement. </w:t>
      </w:r>
    </w:p>
    <w:p>
      <w:pPr>
        <w:pStyle w:val="TextBody"/>
        <w:bidi w:val="0"/>
        <w:spacing w:before="120" w:after="0"/>
        <w:jc w:val="left"/>
        <w:rPr>
          <w:rFonts w:ascii="Times New Roman" w:hAnsi="Times New Roman"/>
          <w:sz w:val="20"/>
        </w:rPr>
      </w:pPr>
      <w:r>
        <w:rPr>
          <w:rFonts w:ascii="Times New Roman" w:hAnsi="Times New Roman"/>
          <w:sz w:val="20"/>
        </w:rPr>
        <w:t>(b) In furtherance and not in limitation of the foregoing, each of the parties hereto shall (and shall cause their respective Subsidiaries to) (i) promptly cooperate in all respects with each other, and consult each other in good faith, in connection with any necessary, proper or advisable submissions, consents, approvals, filings, petitions, statements, licenses, permits, authorizations, declarations, notifications, registrations, submissions of information, applications, reports, waivers, exemptions, clearances, orders, confirmations and other documents with the Federal Trade Commission (“</w:t>
      </w:r>
      <w:r>
        <w:rPr>
          <w:rFonts w:ascii="Times New Roman" w:hAnsi="Times New Roman"/>
          <w:sz w:val="20"/>
          <w:u w:val="single"/>
        </w:rPr>
        <w:t>FTC</w:t>
      </w:r>
      <w:r>
        <w:rPr>
          <w:rFonts w:ascii="Times New Roman" w:hAnsi="Times New Roman"/>
          <w:sz w:val="20"/>
        </w:rPr>
        <w:t>”), the Antitrust Division of the Department of Justice (“</w:t>
      </w:r>
      <w:r>
        <w:rPr>
          <w:rFonts w:ascii="Times New Roman" w:hAnsi="Times New Roman"/>
          <w:sz w:val="20"/>
          <w:u w:val="single"/>
        </w:rPr>
        <w:t>DOJ</w:t>
      </w:r>
      <w:r>
        <w:rPr>
          <w:rFonts w:ascii="Times New Roman" w:hAnsi="Times New Roman"/>
          <w:sz w:val="20"/>
        </w:rPr>
        <w:t xml:space="preserve">”) or any other Governmental Entity, (ii) keep the other parties hereto informed in all material respects and on a reasonably timely basis of any material communication received by such party from, or given by such party to, the FTC, the DOJ or any other Governmental Entity, (iii) subject to applicable Laws, and to the extent reasonably practicable, promptly consult with the other parties hereto with respect to information relating to the other parties hereto and their respective Subsidiaries, as the case may be, that appears in any filing made with, or written materials submitted to, any third Person or the FTC, the DOJ or any other Governmental Entity other than “Item 4 Documents,” as that term is used in the rules and regulations under the HSR Act, and (iv) to the extent permitted by the FTC, the DOJ or such other applicable Governmental Entity, promptly give the other parties hereto the opportunity to attend and participate in such meetings and conferences (whether in person, by telephone or otherwise); </w:t>
      </w:r>
      <w:r>
        <w:rPr>
          <w:rFonts w:ascii="Times New Roman" w:hAnsi="Times New Roman"/>
          <w:sz w:val="20"/>
          <w:u w:val="single"/>
        </w:rPr>
        <w:t>provided</w:t>
      </w:r>
      <w:r>
        <w:rPr>
          <w:rFonts w:ascii="Times New Roman" w:hAnsi="Times New Roman"/>
          <w:sz w:val="20"/>
        </w:rPr>
        <w:t xml:space="preserve"> that documents provided pursuant to this provision may be (A) redacted as necessary to comply with contractual arrangements, to remove references to valuation of the Company or to preserve legal privilege and (B) subject to an appropriate confidentiality agreement, be disclosed only to outside counsel and outside consultants retained by such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Both parties agree that they shall not, and shall not permit any of their respective controlled Affiliates to, directly or indirectly, acquire or agree to acquire any material equity or assets (including exclusive licenses) of any Person, if the entering into of an agreement relating to or the consummation of such acquisition would reasonably be expected to (i) materially delay the expiration or termination of any applicable waiting period or materially delay the obtaining of any authorization, consent, clearance, approval or order of a Governmental Entity necessary to consummate the transactions contemplated by this Agreement, including any approvals and expiration of waiting periods pursuant to the HSR Act or any other applicable Laws, or (ii) otherwise materially impede, delay or prevent the consummation of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(d) Without limiting the generality of the foregoing, Parent shall give the Company prompt (but not later than within two (2) Business Days) written notice of any “demand letter” or any litigation initiated, or threatened in writing against Parent and/or its directors relating to this Agreement or the transactions contemplated hereby (the “</w:t>
      </w:r>
      <w:r>
        <w:rPr>
          <w:rFonts w:ascii="Times New Roman" w:hAnsi="Times New Roman"/>
          <w:sz w:val="20"/>
          <w:u w:val="single"/>
        </w:rPr>
        <w:t>Transaction Litigation</w:t>
      </w:r>
      <w:r>
        <w:rPr>
          <w:rFonts w:ascii="Times New Roman" w:hAnsi="Times New Roman"/>
          <w:sz w:val="20"/>
        </w:rPr>
        <w:t xml:space="preserve">”) (including by providing copies of all pleadings with respect thereto) and keep the Company reasonably informed with respect to the status thereof. Parent will (i) give the Company the opportunity to participate in the defense, settlement or prosecution of any Transaction Litigation, (ii) consult with the Company with respect to the defense, settlement and prosecution of any Transaction Litigation, (iii) consider in good faith the Company’s advice with respect to such Transaction Litigation and (iv) will not settle or consent or agree to settle or compromise any Transaction Litigation without the Company’s prior written consent (which such consent shall not be unreasonably withheld or delayed). Without otherwise limiting the rights of current or former directors and officers of Parent with regard to the right to counsel, following the Effective Time, current or former directors and officers of Parent with rights to indemnification as described in </w:t>
      </w:r>
      <w:r>
        <w:rPr>
          <w:rFonts w:ascii="Times New Roman" w:hAnsi="Times New Roman"/>
          <w:sz w:val="20"/>
          <w:u w:val="single"/>
        </w:rPr>
        <w:t>Section 7.5</w:t>
      </w:r>
      <w:r>
        <w:rPr>
          <w:rFonts w:ascii="Times New Roman" w:hAnsi="Times New Roman"/>
          <w:sz w:val="20"/>
        </w:rPr>
        <w:t xml:space="preserve"> shall be entitled to retain any counsel selected by such indemnified parties to defend any Transaction Litigation as it relates to such indemnified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Indemnification, Exculpation and Insurance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From the First Effective Time through the sixth (6th) anniversary of the date on which the First Effective Time occurs, each of Parent and the Surviving Entity shall, jointly and severally, indemnify and hold harmless each Person who is now, or has been at any time prior to the date hereof, or who becomes prior to the First Effective Time, a director or officer of Parent or the Company, respectively (the “</w:t>
      </w:r>
      <w:r>
        <w:rPr>
          <w:rFonts w:ascii="Times New Roman" w:hAnsi="Times New Roman"/>
          <w:sz w:val="20"/>
          <w:u w:val="single"/>
        </w:rPr>
        <w:t>D&amp;O Indemnified Parties</w:t>
      </w:r>
      <w:r>
        <w:rPr>
          <w:rFonts w:ascii="Times New Roman" w:hAnsi="Times New Roman"/>
          <w:sz w:val="20"/>
        </w:rPr>
        <w:t xml:space="preserve">”), against all demands, claims, losses, liabilities, settlements, damages, judgments, fines and reasonable fees, costs and expenses, including attorneys’ fees and disbursements, and such D&amp;O Indemnified Party shall be entitled to advancement of fees, costs and expenses incurred in connection with claim, Action, suit, proceeding or investigation, whether civil, criminal, administrative or investigative, arising out of or pertaining to the fact that the D&amp;O Indemnified Party is or was a director or officer of Parent or of the Company, whether asserted or claimed prior to, at or after the First Effective Time, in each case to the fullest extent permitted under the DGCL, from each of Parent and the Surviving Entity, jointly and severally, upon receipt by Parent or the Surviving Entity from the D&amp;O Indemnified Party of a written request therefor; </w:t>
      </w:r>
      <w:r>
        <w:rPr>
          <w:rFonts w:ascii="Times New Roman" w:hAnsi="Times New Roman"/>
          <w:sz w:val="20"/>
          <w:u w:val="single"/>
        </w:rPr>
        <w:t>provided</w:t>
      </w:r>
      <w:r>
        <w:rPr>
          <w:rFonts w:ascii="Times New Roman" w:hAnsi="Times New Roman"/>
          <w:sz w:val="20"/>
        </w:rPr>
        <w:t xml:space="preserve">, that any such D&amp;O Indemnified Party to whom expenses are advanced provides an undertaking to Parent, to the extent then required by the DGCL, to repay such advances if it is ultimately determined that such D&amp;O Indemnified Party is not entitled to indemnification. Such undertaking, if required, shall be unsecured and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without reference to the D&amp;O Indemnified Party’s ability to repay such advances or ultimate entitlement to indemnification. No other form of undertaking shall be required. All rights to indemnification, exculpation and advancement of expenses or other protection in respect of any claim asserted or made, and for which a D&amp;O Indemnified Party delivers a written notice to Parent or the Surviving Entity prior to the sixth (6th) anniversary of the First Effective Time asserting a claim for such protections pursuant to this </w:t>
      </w:r>
      <w:r>
        <w:rPr>
          <w:rFonts w:ascii="Times New Roman" w:hAnsi="Times New Roman"/>
          <w:sz w:val="20"/>
          <w:u w:val="single"/>
        </w:rPr>
        <w:t>Section 7.5</w:t>
      </w:r>
      <w:r>
        <w:rPr>
          <w:rFonts w:ascii="Times New Roman" w:hAnsi="Times New Roman"/>
          <w:sz w:val="20"/>
        </w:rPr>
        <w:t xml:space="preserve">, shall continue until the final disposition of such claim. The provisions of the certificate of incorporation and bylaws of Parent with respect to indemnification, advancement of expenses and exculpation of present and former directors and officers of Parent that are presently set forth in the certificate of incorporation and bylaws of Parent shall not be amended, modified or repealed for a period of six (6) years from the First Effective Time in a manner that would adversely affect the rights thereunder of individuals who, at or prior to the First Effective Time, were officers or directors of Parent, unless such modification is required by applicable Law. The certificate of incorporation and bylaws of the Surviving Entity shall contain, and Parent shall cause the certificate of incorporation and bylaws of the Surviving Entity to so contain, provisions no less favorable with respect to indemnification, advancement of expenses and exculpation of present and former directors and officers as those presently set forth in the certificate of incorporation and bylaws of Parent or the Company. </w:t>
      </w:r>
    </w:p>
    <w:p>
      <w:pPr>
        <w:pStyle w:val="TextBody"/>
        <w:bidi w:val="0"/>
        <w:spacing w:before="120" w:after="0"/>
        <w:jc w:val="left"/>
        <w:rPr>
          <w:rFonts w:ascii="Times New Roman" w:hAnsi="Times New Roman"/>
          <w:sz w:val="20"/>
        </w:rPr>
      </w:pPr>
      <w:r>
        <w:rPr>
          <w:rFonts w:ascii="Times New Roman" w:hAnsi="Times New Roman"/>
          <w:sz w:val="20"/>
        </w:rPr>
        <w:t xml:space="preserve">(b) From and after the First Effective Time, (i) Parent or the Surviving Entity shall assume, fulfill and honor in all respects the obligations of the Company to its D&amp;O Indemnified Parties pursuant to any indemnification provisions under the Company’s organizational documents and pursuant to any indemnification agreements between the Company and such D&amp;O Indemnified Parties, in each case, as in effect immediately prior to Closing, with respect to demands, claims, Actions, suits, proceedings or investigations whether asserted or claimed prior to, at or after the First Effective Time, arising out of matters occurring at or prior to the First Effective Time and (ii) Parent shall fulfill and honor in all respects the existing obligations of Parent to its D&amp;O Indemnified Parties pursuant to any indemnification provisions under Parent’s organizational documents and pursuant to any indemnification agreements between Parent and such D&amp;O Indemnified Parties, in each case, as in effect immediately prior to Closing, with respect to demands, claims, Actions, suits, proceedings or investigations whether asserted or claimed prior to, at or after the First Effective Time, arising out of matters occurring at or prior to the First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(c) From and after the First Effective Time, Parent shall maintain directors’ and officers’ liability insurance policies, with an effective date as of the Closing Date, on commercially reasonable terms and conditions and with coverage limits customary for U.S. public companies similarly situated to Parent. In addition, Parent shall purchase, prior to the First Effective Time, a six-year prepaid “D&amp;O tail policy” for the non-cancellable extension of the directors’ and officers’ liability coverage of Parent’s existing directors’ and officers’ insurance policies for a claims reporting or discovery period of at least six years from and after the First Effective Time with terms, conditions, exclusions, retentions and limits of liability that are no less favorable than the coverage provided under Parent’s existing policies as of the date of this Agreement with respect to any actual or alleged error, misstatement, misleading statement, act, omission, neglect, breach of duty or any matter claimed against a director or officer of Parent by reason of him or her serving in such capacity that existed or occurred at or prior to the First Effective Time (including in connection with this Agreement or the transactions contemplated hereby or in connection with Parent’s initial public offering of shares of Parent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From and after the First Effective Time, Parent shall pay all expenses, including reasonable attorneys’ fees, including in advance (subject to the advancement requirements set forth in </w:t>
      </w:r>
      <w:r>
        <w:rPr>
          <w:rFonts w:ascii="Times New Roman" w:hAnsi="Times New Roman"/>
          <w:sz w:val="20"/>
          <w:u w:val="single"/>
        </w:rPr>
        <w:t>Section 7.5(a))</w:t>
      </w:r>
      <w:r>
        <w:rPr>
          <w:rFonts w:ascii="Times New Roman" w:hAnsi="Times New Roman"/>
          <w:sz w:val="20"/>
        </w:rPr>
        <w:t xml:space="preserve">, that are incurred by the persons referred to in this </w:t>
      </w:r>
      <w:r>
        <w:rPr>
          <w:rFonts w:ascii="Times New Roman" w:hAnsi="Times New Roman"/>
          <w:sz w:val="20"/>
          <w:u w:val="single"/>
        </w:rPr>
        <w:t>Section 7.5</w:t>
      </w:r>
      <w:r>
        <w:rPr>
          <w:rFonts w:ascii="Times New Roman" w:hAnsi="Times New Roman"/>
          <w:sz w:val="20"/>
        </w:rPr>
        <w:t xml:space="preserve"> in connection with their enforcement of the rights provided to such persons in this </w:t>
      </w:r>
      <w:r>
        <w:rPr>
          <w:rFonts w:ascii="Times New Roman" w:hAnsi="Times New Roman"/>
          <w:sz w:val="20"/>
          <w:u w:val="single"/>
        </w:rPr>
        <w:t>Section 7.5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The provisions of this </w:t>
      </w:r>
      <w:r>
        <w:rPr>
          <w:rFonts w:ascii="Times New Roman" w:hAnsi="Times New Roman"/>
          <w:sz w:val="20"/>
          <w:u w:val="single"/>
        </w:rPr>
        <w:t>Section 7.5</w:t>
      </w:r>
      <w:r>
        <w:rPr>
          <w:rFonts w:ascii="Times New Roman" w:hAnsi="Times New Roman"/>
          <w:sz w:val="20"/>
        </w:rPr>
        <w:t xml:space="preserve"> are intended to be in addition to the rights otherwise available to the D&amp;O Indemnified Parties by Law, charter, statute, bylaw or agreement, and shall operate for the benefit of, and shall be enforceable by, each of the D&amp;O Indemnified Parties, their heirs and their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(f) In the event Parent or the Surviving Entity or any of their respective successors or assigns (i) consolidates with or merges into any other Person and shall not be the continuing or surviving company or entity of such consolidation or merger or (ii) transfers all or substantially all of its properties and assets to any Person, then, and in each such case, proper provision shall be made so that the successors and assigns of Parent or the Surviving Entity, as the case may be, shall succeed to the obligations set forth in this </w:t>
      </w:r>
      <w:r>
        <w:rPr>
          <w:rFonts w:ascii="Times New Roman" w:hAnsi="Times New Roman"/>
          <w:sz w:val="20"/>
          <w:u w:val="single"/>
        </w:rPr>
        <w:t>Section 7.5</w:t>
      </w:r>
      <w:r>
        <w:rPr>
          <w:rFonts w:ascii="Times New Roman" w:hAnsi="Times New Roman"/>
          <w:sz w:val="20"/>
        </w:rPr>
        <w:t xml:space="preserve">. Parent shall cause the Surviving Company to perform all of the obligations of the Surviving Company under this </w:t>
      </w:r>
      <w:r>
        <w:rPr>
          <w:rFonts w:ascii="Times New Roman" w:hAnsi="Times New Roman"/>
          <w:sz w:val="20"/>
          <w:u w:val="single"/>
        </w:rPr>
        <w:t>Section 7.5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Nothing in this </w:t>
      </w:r>
      <w:r>
        <w:rPr>
          <w:rFonts w:ascii="Times New Roman" w:hAnsi="Times New Roman"/>
          <w:sz w:val="20"/>
          <w:u w:val="single"/>
        </w:rPr>
        <w:t>Section 7.5</w:t>
      </w:r>
      <w:r>
        <w:rPr>
          <w:rFonts w:ascii="Times New Roman" w:hAnsi="Times New Roman"/>
          <w:sz w:val="20"/>
        </w:rPr>
        <w:t xml:space="preserve"> is intended to, shall be construed to or shall release, waive or impair any coverage or rights under any directors’ and officers’ liability insurance or any other insurance coverage available to Parent, the Company or the Surviving Entity, it being understood and agreed that the indemnification provided for in this </w:t>
      </w:r>
      <w:r>
        <w:rPr>
          <w:rFonts w:ascii="Times New Roman" w:hAnsi="Times New Roman"/>
          <w:sz w:val="20"/>
          <w:u w:val="single"/>
        </w:rPr>
        <w:t>Section 7.5</w:t>
      </w:r>
      <w:r>
        <w:rPr>
          <w:rFonts w:ascii="Times New Roman" w:hAnsi="Times New Roman"/>
          <w:sz w:val="20"/>
        </w:rPr>
        <w:t xml:space="preserve"> is excess of and not in substitution for any coverage under such policies. </w:t>
      </w:r>
    </w:p>
    <w:p>
      <w:pPr>
        <w:pStyle w:val="TextBody"/>
        <w:bidi w:val="0"/>
        <w:spacing w:before="240" w:after="0"/>
        <w:jc w:val="left"/>
        <w:rPr>
          <w:rFonts w:ascii="Times New Roman" w:hAnsi="Times New Roman"/>
          <w:sz w:val="20"/>
        </w:rPr>
      </w:pPr>
      <w:r>
        <w:rPr>
          <w:rFonts w:ascii="Times New Roman" w:hAnsi="Times New Roman"/>
          <w:sz w:val="20"/>
        </w:rPr>
        <w:t xml:space="preserve">Section 7.6 </w:t>
      </w:r>
      <w:r>
        <w:rPr>
          <w:rFonts w:ascii="Times New Roman" w:hAnsi="Times New Roman"/>
          <w:sz w:val="20"/>
          <w:u w:val="single"/>
        </w:rPr>
        <w:t>Section 16 Matters</w:t>
      </w:r>
      <w:r>
        <w:rPr>
          <w:rFonts w:ascii="Times New Roman" w:hAnsi="Times New Roman"/>
          <w:sz w:val="20"/>
        </w:rPr>
        <w:t xml:space="preserve">. Prior to the First Effective Time, each of Parent and the Company shall take all such steps as may be necessary or appropriate to cause the acquisitions of Parent Common Stock (including derivative securities with respect to such Parent Common Stock) resulting from the transactions contemplated by this Agreement by each individual who will become subject to the reporting requirements of Section 16(a) of the Exchange Act with respect to Parent to be exempt under Rule 16b-3 promulgated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Section 7.7 </w:t>
      </w:r>
      <w:r>
        <w:rPr>
          <w:rFonts w:ascii="Times New Roman" w:hAnsi="Times New Roman"/>
          <w:sz w:val="20"/>
          <w:u w:val="single"/>
        </w:rPr>
        <w:t>Disclosure</w:t>
      </w:r>
      <w:r>
        <w:rPr>
          <w:rFonts w:ascii="Times New Roman" w:hAnsi="Times New Roman"/>
          <w:sz w:val="20"/>
        </w:rPr>
        <w:t xml:space="preserve">. The parties shall use their commercially reasonable efforts to agree to the text of any initial press release and Parent’s Form 8-K announcing the execution and delivery of this Agreement. Without limiting any party’s obligations under the Confidentiality Agreement, no party shall, and no party shall permit any of its Subsidiaries or any of its Representatives to, issue any press release or make any disclosure (to any customers or employees of such party, to the public or otherwise) regarding the transactions contemplated hereby unless (a) the other party shall have approved such press release or disclosure in writing, such approval not to be unreasonably conditioned, withheld or delayed; or (b) such party shall have determined in good faith, upon the advice of outside legal counsel, that such disclosure is requited by applicable Law and, to the extent practicable, before such press release or disclosure is issued or made, such party advises the other party of, and consults with the other party regarding, the text of such press release or disclosure;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each of the Company and Parent may make any public statement in response to specific questions by the press, analysts, investors or those attending industry conferences or financial analyst conference calls, so long as any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statements made by the Company or Parent in compliance with this </w:t>
      </w:r>
      <w:r>
        <w:rPr>
          <w:rFonts w:ascii="Times New Roman" w:hAnsi="Times New Roman"/>
          <w:sz w:val="20"/>
          <w:u w:val="single"/>
        </w:rPr>
        <w:t>Section 7.7</w:t>
      </w:r>
      <w:r>
        <w:rPr>
          <w:rFonts w:ascii="Times New Roman" w:hAnsi="Times New Roman"/>
          <w:sz w:val="20"/>
        </w:rPr>
        <w:t xml:space="preserve">. Notwithstanding the foregoing, a party need not consult with any other parties in connection with such portion of any press release, public statement or filing to be issued or made pursuant to </w:t>
      </w:r>
      <w:r>
        <w:rPr>
          <w:rFonts w:ascii="Times New Roman" w:hAnsi="Times New Roman"/>
          <w:sz w:val="20"/>
          <w:u w:val="single"/>
        </w:rPr>
        <w:t>Section 7.3(d)</w:t>
      </w:r>
      <w:r>
        <w:rPr>
          <w:rFonts w:ascii="Times New Roman" w:hAnsi="Times New Roman"/>
          <w:sz w:val="20"/>
        </w:rPr>
        <w:t xml:space="preserve"> or with respect to any Acquisition Proposal, Company Board Adverse Recommendation Change, Parent Board Adverse Recommendation Change, or pursuant to </w:t>
      </w:r>
      <w:r>
        <w:rPr>
          <w:rFonts w:ascii="Times New Roman" w:hAnsi="Times New Roman"/>
          <w:sz w:val="20"/>
          <w:u w:val="single"/>
        </w:rPr>
        <w:t>Section 7.3(e)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7.8 </w:t>
      </w:r>
      <w:r>
        <w:rPr>
          <w:rFonts w:ascii="Times New Roman" w:hAnsi="Times New Roman"/>
          <w:sz w:val="20"/>
          <w:u w:val="single"/>
        </w:rPr>
        <w:t>Listing</w:t>
      </w:r>
      <w:r>
        <w:rPr>
          <w:rFonts w:ascii="Times New Roman" w:hAnsi="Times New Roman"/>
          <w:sz w:val="20"/>
        </w:rPr>
        <w:t>. From the date hereof until the Effective Time, Parent shall maintain its existing listing on Nasdaq until the Effective Time. At or prior to the Effective Time, (a) Parent shall obtain approval of the listing of the combined corporation on Nasdaq, (b) to the extent required by the rules and regulations of Nasdaq, prepare for the Company’s review and submit (with the prior approval of the Company) to Nasdaq a notification form for the listing of shares of Parent Common Stock to be issued in connection with the transactions contemplated hereby, and to cause such shares to be approved for listing (subject to official notice of issuance), and (c) prepare and timely submit to Nasdaq a notification form for the Nasdaq Reverse Stock Split and submit a copy of the amendment to Parent’s certificate of incorporation effecting the Nasdaq Reverse Stock Split, certified by the Secretary of State of the State of Delaware, to Nasdaq on the Closing Date. The Company shall prepare and file an initial listing application for the Parent Common Stock on Nasdaq (the “</w:t>
      </w:r>
      <w:r>
        <w:rPr>
          <w:rFonts w:ascii="Times New Roman" w:hAnsi="Times New Roman"/>
          <w:sz w:val="20"/>
          <w:u w:val="single"/>
        </w:rPr>
        <w:t>Nasdaq Listing Application</w:t>
      </w:r>
      <w:r>
        <w:rPr>
          <w:rFonts w:ascii="Times New Roman" w:hAnsi="Times New Roman"/>
          <w:sz w:val="20"/>
        </w:rPr>
        <w:t xml:space="preserve">”), and from the date hereof until the Effective Time, Parent shall assist the Company in preparing and filing such Nasdaq Listing Application and to cause such Nasdaq Listing Application to be conditionally approved prior to the Effective Time. Each party will reasonably promptly inform the other party of all verbal or written communications between Nasdaq and such party or its Representatives. The parties will use commercially reasonable efforts to coordinate with respect to compliance with Nasdaq rules and regulations. Parent will cooperate with the Company as reasonably requested by the Company with respect to the Nasdaq Listing Application and promptly furnish to the Company all information concerning Parent that may be required or reasonably requested in connection with any action contemplated by this </w:t>
      </w:r>
      <w:r>
        <w:rPr>
          <w:rFonts w:ascii="Times New Roman" w:hAnsi="Times New Roman"/>
          <w:sz w:val="20"/>
          <w:u w:val="single"/>
        </w:rPr>
        <w:t>Section 7.8</w:t>
      </w:r>
      <w:r>
        <w:rPr>
          <w:rFonts w:ascii="Times New Roman" w:hAnsi="Times New Roman"/>
          <w:sz w:val="20"/>
        </w:rPr>
        <w:t xml:space="preserve">. Parent and the Company shall each pay 50% of all Nasdaq Fees associated with any action contemplated by this </w:t>
      </w:r>
      <w:r>
        <w:rPr>
          <w:rFonts w:ascii="Times New Roman" w:hAnsi="Times New Roman"/>
          <w:sz w:val="20"/>
          <w:u w:val="single"/>
        </w:rPr>
        <w:t>Section 7.8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7.9 </w:t>
      </w:r>
      <w:r>
        <w:rPr>
          <w:rFonts w:ascii="Times New Roman" w:hAnsi="Times New Roman"/>
          <w:sz w:val="20"/>
          <w:u w:val="single"/>
        </w:rPr>
        <w:t>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of Parent and the Company will (and will cause its respective Affiliates to) (i) use reasonable best efforts to cause the Merger to qualify for the Intended Tax Treatment and (ii) not take any action, or fail to take any action, that could reasonably be expected to prevent or impede the Merger from qualifying for the Intended Tax Treatment. Parent shall file (or cause its Affiliates, including the Company, to file) all U.S. federal, state or local Tax Return after the Closing Date in a manner that is consistent with the treatment of the Merger as a transaction qualifying for the Intended Tax Treatment, and shall not take any inconsistent position during the course of any audit, litigation or other proceeding with respect to Taxes, in each case, unless otherwise required by a “determination” that is final within the meaning of Section 1313(a) of the Code. </w:t>
      </w:r>
    </w:p>
    <w:p>
      <w:pPr>
        <w:pStyle w:val="TextBody"/>
        <w:bidi w:val="0"/>
        <w:spacing w:before="120" w:after="0"/>
        <w:jc w:val="left"/>
        <w:rPr>
          <w:rFonts w:ascii="Times New Roman" w:hAnsi="Times New Roman"/>
          <w:sz w:val="20"/>
        </w:rPr>
      </w:pPr>
      <w:r>
        <w:rPr>
          <w:rFonts w:ascii="Times New Roman" w:hAnsi="Times New Roman"/>
          <w:sz w:val="20"/>
        </w:rPr>
        <w:t xml:space="preserve">(b) All transfer, documentary, sales, use, stamp, registration, excise, recording, registration value added and other such similar Taxes and fees (including any penalties and interest) that become payable in connection with or by reason of the execution of this Agreement and the transactions contemplated hereby shall be borne and paid equally by the Parent and the Company. Unless otherwise required by applicable Law, the Company shall timely file any Tax Return or other document with respect to such Taxes or fees (and Parent shall reasonably cooperate with respect thereto as necessary).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If the SEC requires that an opinion with respect to the Intended Tax Treatment be prepared and submitted in connection with the Registration Statement, (i) the Company and Parent shall each use its reasonable best efforts to cause Cooley LLP (or such other nationally recognized law or accounting firm reasonably satisfactory to the Company) and Goodwin Procter LLP (or such other nationally recognized law or accounting firm reasonably satisfactory to Parent), respectively, to furnish such opinion (as so required and subject to customary assumptions and limitations) and (ii) Parent and the Company shall each deliver to Cooley LLP (or such other nationally recognized law or accounting firm reasonably satisfactory to the Company) and Goodwin Procter LLP (or such other nationally recognized law or accounting firm reasonably satisfactory to the Parent) a Tax certificate, signed by an officer of Parent or the Company, as applicable, containing customary representations and covenants reasonably acceptable to the Company and Parent, as applicable, in each case, as reasonably necessary and appropriate to enable each such tax advisor to render such opinion (the “</w:t>
      </w:r>
      <w:r>
        <w:rPr>
          <w:rFonts w:ascii="Times New Roman" w:hAnsi="Times New Roman"/>
          <w:sz w:val="20"/>
          <w:u w:val="single"/>
        </w:rPr>
        <w:t>Tax Certificates</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 Each of Parent and the Company shall use its reasonable best efforts not to take or cause to be taken any action that would cause to be untrue (or fail to take or cause not to be taken any action which would cause to be untrue) any of the certifications, covenants or representations included in the Tax Certificates.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Directors and Officers</w:t>
      </w:r>
      <w:r>
        <w:rPr>
          <w:rFonts w:ascii="Times New Roman" w:hAnsi="Times New Roman"/>
          <w:sz w:val="20"/>
        </w:rPr>
        <w:t xml:space="preserve">. Until successors are duly elected or appointed and qualified in accordance with applicable Law, the parties shall use commercially reasonable efforts to take all necessary actions so that the Persons listed on </w:t>
      </w:r>
      <w:r>
        <w:rPr>
          <w:rFonts w:ascii="Times New Roman" w:hAnsi="Times New Roman"/>
          <w:sz w:val="20"/>
          <w:u w:val="single"/>
        </w:rPr>
        <w:t>Sections 2.6(c)</w:t>
      </w:r>
      <w:r>
        <w:rPr>
          <w:rFonts w:ascii="Times New Roman" w:hAnsi="Times New Roman"/>
          <w:sz w:val="20"/>
        </w:rPr>
        <w:t xml:space="preserve"> and </w:t>
      </w:r>
      <w:r>
        <w:rPr>
          <w:rFonts w:ascii="Times New Roman" w:hAnsi="Times New Roman"/>
          <w:sz w:val="20"/>
          <w:u w:val="single"/>
        </w:rPr>
        <w:t>2.6(d)</w:t>
      </w:r>
      <w:r>
        <w:rPr>
          <w:rFonts w:ascii="Times New Roman" w:hAnsi="Times New Roman"/>
          <w:sz w:val="20"/>
        </w:rPr>
        <w:t xml:space="preserve"> of the Parent Disclosure Letter are elected or appointed, as applicable, to the positions of officers and directors of Parent and the Surviving Entity, as set forth therein, to serve in such positions effective as of the First Effective Time. If any Person listed on </w:t>
      </w:r>
      <w:r>
        <w:rPr>
          <w:rFonts w:ascii="Times New Roman" w:hAnsi="Times New Roman"/>
          <w:sz w:val="20"/>
          <w:u w:val="single"/>
        </w:rPr>
        <w:t>Section 2.6(c)</w:t>
      </w:r>
      <w:r>
        <w:rPr>
          <w:rFonts w:ascii="Times New Roman" w:hAnsi="Times New Roman"/>
          <w:sz w:val="20"/>
        </w:rPr>
        <w:t xml:space="preserve"> and </w:t>
      </w:r>
      <w:r>
        <w:rPr>
          <w:rFonts w:ascii="Times New Roman" w:hAnsi="Times New Roman"/>
          <w:sz w:val="20"/>
          <w:u w:val="single"/>
        </w:rPr>
        <w:t>2.6(d)</w:t>
      </w:r>
      <w:r>
        <w:rPr>
          <w:rFonts w:ascii="Times New Roman" w:hAnsi="Times New Roman"/>
          <w:sz w:val="20"/>
        </w:rPr>
        <w:t xml:space="preserve"> of the Parent Disclosure Letter is unable or unwilling to serve as officer or director of Parent or the Surviving Entity, as set forth therein, the party appointing such Person (as set forth on </w:t>
      </w:r>
      <w:r>
        <w:rPr>
          <w:rFonts w:ascii="Times New Roman" w:hAnsi="Times New Roman"/>
          <w:sz w:val="20"/>
          <w:u w:val="single"/>
        </w:rPr>
        <w:t>Sections 2.6(c)</w:t>
      </w:r>
      <w:r>
        <w:rPr>
          <w:rFonts w:ascii="Times New Roman" w:hAnsi="Times New Roman"/>
          <w:sz w:val="20"/>
        </w:rPr>
        <w:t xml:space="preserve"> and </w:t>
      </w:r>
      <w:r>
        <w:rPr>
          <w:rFonts w:ascii="Times New Roman" w:hAnsi="Times New Roman"/>
          <w:sz w:val="20"/>
          <w:u w:val="single"/>
        </w:rPr>
        <w:t>2.6(d)</w:t>
      </w:r>
      <w:r>
        <w:rPr>
          <w:rFonts w:ascii="Times New Roman" w:hAnsi="Times New Roman"/>
          <w:sz w:val="20"/>
        </w:rPr>
        <w:t xml:space="preserve"> of the Parent Disclosure Letter) shall designate a successor. The parties shall use reasonable best efforts to have each of the Persons that will serve as directors and officers of the Parent following the Closing to execute and deliver a Lock-Up Agreement prior to Closing.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Termination of Certain Agreements and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set forth on </w:t>
      </w:r>
      <w:r>
        <w:rPr>
          <w:rFonts w:ascii="Times New Roman" w:hAnsi="Times New Roman"/>
          <w:sz w:val="20"/>
          <w:u w:val="single"/>
        </w:rPr>
        <w:t>Section 7.11(a)</w:t>
      </w:r>
      <w:r>
        <w:rPr>
          <w:rFonts w:ascii="Times New Roman" w:hAnsi="Times New Roman"/>
          <w:sz w:val="20"/>
        </w:rPr>
        <w:t xml:space="preserve"> of the Parent Disclosure Letter or Company Disclosure Letter, as applicable, each of Parent and the Company shall use commercially reasonable efforts to cause any stockholder agreements, voting agreements, registration rights agreements, co-sale agreements and any other similar Contracts between either Parent or the Company and any holders of Parent Common Stock or Company Common Stock, respectively, including any such Contract granting any Person investor rights, rights of first refusal, registration rights or director registration rights (collectively, the “</w:t>
      </w:r>
      <w:r>
        <w:rPr>
          <w:rFonts w:ascii="Times New Roman" w:hAnsi="Times New Roman"/>
          <w:sz w:val="20"/>
          <w:u w:val="single"/>
        </w:rPr>
        <w:t>Investor Agreements</w:t>
      </w:r>
      <w:r>
        <w:rPr>
          <w:rFonts w:ascii="Times New Roman" w:hAnsi="Times New Roman"/>
          <w:sz w:val="20"/>
        </w:rPr>
        <w:t xml:space="preserve">”), to be terminated immediately prior to the First Effective Time, without any liability being imposed on Parent or the Surviving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Parent shall use commercially reasonable efforts to cause all Parent Material Contracts (including all statements of work, work orders, change orders, or purchase orders thereunder), other than any Contract set forth in </w:t>
      </w:r>
      <w:r>
        <w:rPr>
          <w:rFonts w:ascii="Times New Roman" w:hAnsi="Times New Roman"/>
          <w:sz w:val="20"/>
          <w:u w:val="single"/>
        </w:rPr>
        <w:t>Section 7.11(b)</w:t>
      </w:r>
      <w:r>
        <w:rPr>
          <w:rFonts w:ascii="Times New Roman" w:hAnsi="Times New Roman"/>
          <w:sz w:val="20"/>
        </w:rPr>
        <w:t xml:space="preserve"> of the Parent Disclosure Letter, to be terminated effective no later than the Closing Date, without any payment thereunder due or payable by Parent or the Surviving Entity at or after the Closing to any party thereto or third party beneficiary thereof (including in connection with any completed work or work-in-progress, non-cancellable expenses or commitments, early termination penalties, termination costs, wind-down costs, royalties or milestones) or any other post-Closing liability being imposed on Parent or the Surviving Entity. </w:t>
      </w:r>
    </w:p>
    <w:p>
      <w:pPr>
        <w:pStyle w:val="TextBody"/>
        <w:bidi w:val="0"/>
        <w:spacing w:before="240" w:after="0"/>
        <w:jc w:val="left"/>
        <w:rPr>
          <w:rFonts w:ascii="Times New Roman" w:hAnsi="Times New Roman"/>
          <w:sz w:val="20"/>
        </w:rPr>
      </w:pPr>
      <w:r>
        <w:rPr>
          <w:rFonts w:ascii="Times New Roman" w:hAnsi="Times New Roman"/>
          <w:sz w:val="20"/>
        </w:rPr>
        <w:t xml:space="preserve">Section 7.12 </w:t>
      </w:r>
      <w:r>
        <w:rPr>
          <w:rFonts w:ascii="Times New Roman" w:hAnsi="Times New Roman"/>
          <w:sz w:val="20"/>
          <w:u w:val="single"/>
        </w:rPr>
        <w:t>Obligations of Merger Subs</w:t>
      </w:r>
      <w:r>
        <w:rPr>
          <w:rFonts w:ascii="Times New Roman" w:hAnsi="Times New Roman"/>
          <w:sz w:val="20"/>
        </w:rPr>
        <w:t xml:space="preserve">. Parent will take all action necessary to cause each of the Merger Subs to perform its obligations under this Agreement and to consummate the Merger on the terms and conditions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7.13 </w:t>
      </w:r>
      <w:r>
        <w:rPr>
          <w:rFonts w:ascii="Times New Roman" w:hAnsi="Times New Roman"/>
          <w:sz w:val="20"/>
          <w:u w:val="single"/>
        </w:rPr>
        <w:t>Allocation Certificate</w:t>
      </w:r>
      <w:r>
        <w:rPr>
          <w:rFonts w:ascii="Times New Roman" w:hAnsi="Times New Roman"/>
          <w:sz w:val="20"/>
        </w:rPr>
        <w:t>. The Company will prepare and deliver to Parent at least two (2) Business Days prior to the Closing Date a certificate signed by an officer of the Company in a form reasonably acceptable to Parent setting forth (as of immediately prior to the First Effective Time) (a) each holder of the Company Common Stock, (b) such holder’s name and physical address, (c) the number or percentage and type of the Company Common Stock held as of the Closing Date for each such holder and (d) the number of shares of Parent Common Stock to be issued to such holder pursuant to this Agreement in respect of the Company Common Stock held by such holder as of immediately prior to the First Effective Time (the “</w:t>
      </w:r>
      <w:r>
        <w:rPr>
          <w:rFonts w:ascii="Times New Roman" w:hAnsi="Times New Roman"/>
          <w:sz w:val="20"/>
          <w:u w:val="single"/>
        </w:rPr>
        <w:t>Allocation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7.14 </w:t>
      </w:r>
      <w:r>
        <w:rPr>
          <w:rFonts w:ascii="Times New Roman" w:hAnsi="Times New Roman"/>
          <w:sz w:val="20"/>
          <w:u w:val="single"/>
        </w:rPr>
        <w:t>Pre-Closing Cash Dividend</w:t>
      </w:r>
      <w:r>
        <w:rPr>
          <w:rFonts w:ascii="Times New Roman" w:hAnsi="Times New Roman"/>
          <w:sz w:val="20"/>
        </w:rPr>
        <w:t>. Prior to the First Effective Time, the Parent Board shall set a record date for the Pre-Closing Cash Dividend (the “</w:t>
      </w:r>
      <w:r>
        <w:rPr>
          <w:rFonts w:ascii="Times New Roman" w:hAnsi="Times New Roman"/>
          <w:sz w:val="20"/>
          <w:u w:val="single"/>
        </w:rPr>
        <w:t>Dividend Record Date</w:t>
      </w:r>
      <w:r>
        <w:rPr>
          <w:rFonts w:ascii="Times New Roman" w:hAnsi="Times New Roman"/>
          <w:sz w:val="20"/>
        </w:rPr>
        <w:t>”), which date shall be as close as reasonably practicable to (but not later than) the anticipated Closing Date. Parent shall ensure that the declaration of the Dividend Record Date and the payment of the Pre-Closing Cash Dividend shall be implemented and performed such that the Pre-Closing Cash Dividend be up to an amount equal in the aggregate to an amount mutually agreed in good faith by Parent and the Company by reference to the amount by which the Final Parent Net Cash will exceed the Target Net Cash (the “</w:t>
      </w:r>
      <w:r>
        <w:rPr>
          <w:rFonts w:ascii="Times New Roman" w:hAnsi="Times New Roman"/>
          <w:sz w:val="20"/>
          <w:u w:val="single"/>
        </w:rPr>
        <w:t>Pre-Closing Cash Dividend Amount</w:t>
      </w:r>
      <w:r>
        <w:rPr>
          <w:rFonts w:ascii="Times New Roman" w:hAnsi="Times New Roman"/>
          <w:sz w:val="20"/>
        </w:rPr>
        <w:t>”), subject to any adjustments that may be mutually agreed between Parent and Company. The Parent Board shall cause to be paid the Pre-Closing Cash Dividend as soon as practicable after the Dividend Record Date, but in any case, not prior to the date upon which the Final Parent Net Cash has been finally determined in accordance with</w:t>
      </w:r>
      <w:r>
        <w:rPr>
          <w:rFonts w:ascii="Times New Roman" w:hAnsi="Times New Roman"/>
          <w:sz w:val="20"/>
          <w:u w:val="single"/>
        </w:rPr>
        <w:t> Section 3.6</w:t>
      </w:r>
      <w:r>
        <w:rPr>
          <w:rFonts w:ascii="Times New Roman" w:hAnsi="Times New Roman"/>
          <w:sz w:val="20"/>
        </w:rPr>
        <w:t xml:space="preserve"> and not later than sixty (60) days after the Dividend Record Date. Parent shall announce, declare and pay (or cause to be paid) the Pre-Closing Cash Dividend in compliance with all applicable Law, including, without limitation, any rule or regulation of Nasdaq applicable to Parent. The amount of the Pre-Closing Cash Dividend shall be reduced by any Taxes required to be withheld from such payment (including, for the avoidance of doubt, because at the time of payment it is not known whether Parent will have current or accumulated earnings and profits for U.S. federal income tax purposes in the year in which the Pre-Closing Cash Dividend is paid), and any amounts that are deducted or withheld shall be treated as having been paid to the stockholder of Parent in respect of whom such payment was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7.15 </w:t>
      </w:r>
      <w:r>
        <w:rPr>
          <w:rFonts w:ascii="Times New Roman" w:hAnsi="Times New Roman"/>
          <w:sz w:val="20"/>
          <w:u w:val="single"/>
        </w:rPr>
        <w:t>Concurrent Investment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terms and conditions of this Agreement, the Company shall use commercially reasonable efforts to obtain the Concurrent Investment on the terms and conditions described in the Subscription Agreement and satisfy the conditions to the Concurrent Investment as described in the Subscription Agreement and shall not permit any termination, amendment or modification to be made to, or any waiver of any provision under, or any replacement of, the Subscription Agreement if such termination, amendment, modification, waiver or replacement (i) reduces the aggregate amount of the Concurrent Investment Amount or (ii) imposes new or additional conditions or otherwise expands, amends or modifies any of the conditions to the receipt of the Concurrent Investment, or otherwise expands, amends or modifies any other provision of the Subscription Agreement, in a manner that would reasonably be expected to (x) delay or prevent the funding of the Concurrent Investment (or satisfaction of the conditions to the Concurrent Investment) at or substantially simultaneously with the Closing or (y) adversely impact the ability of the Company to enforce its rights against other parties to the Subscription Agreement. The Company shall promptly deliver to Parent copies of any such termination, amendment, modification, waiver or replacement. </w:t>
      </w:r>
    </w:p>
    <w:p>
      <w:pPr>
        <w:pStyle w:val="TextBody"/>
        <w:bidi w:val="0"/>
        <w:spacing w:before="120" w:after="0"/>
        <w:jc w:val="left"/>
        <w:rPr>
          <w:rFonts w:ascii="Times New Roman" w:hAnsi="Times New Roman"/>
          <w:sz w:val="20"/>
        </w:rPr>
      </w:pPr>
      <w:r>
        <w:rPr>
          <w:rFonts w:ascii="Times New Roman" w:hAnsi="Times New Roman"/>
          <w:sz w:val="20"/>
        </w:rPr>
        <w:t xml:space="preserve">(b) The Company shall use commercially reasonable efforts (i) to maintain in effect the Subscription Agreement, (ii) to enforce its rights under the Subscription Agreement and (iii) to comply with its obligations under the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(c) The Company shall give Parent prompt notice (i) of any material breach or default by any party to the Subscription Agreement or definitive agreements related to the Concurrent Investment of which the Company becomes aware, (ii) of the receipt of any written notice or other written communication from any Concurrent Investment Investor with respect to any (x) actual material breach, default, termination or repudiation by any party to the Subscription Agreement or definitive agreements related to the Concurrent Investment of any provisions of the Subscription Agreement or definitive agreements related to the Concurrent Investment or (y) material dispute or disagreement relating to the Concurrent Investment with respect to the obligation to fund the Concurrent Investment at or substantially simultaneously with the Closing, and (iii) if at any time for any reason the Company believes in good faith that it will not be able to obtain all or any portion of the Concurrent Investment on the terms and conditions, in the manner or from the sources contemplated by the Subscription Agreement or definitive agreements related to the Concurrent Investment. The Company shall promptly provide information reasonably requested by Parent relating to the circumstances referred to in clauses (i), (ii) or (iii) of the immediately preceding sentence. </w:t>
      </w:r>
    </w:p>
    <w:p>
      <w:pPr>
        <w:pStyle w:val="TextBody"/>
        <w:bidi w:val="0"/>
        <w:spacing w:before="240" w:after="0"/>
        <w:jc w:val="left"/>
        <w:rPr>
          <w:rFonts w:ascii="Times New Roman" w:hAnsi="Times New Roman"/>
          <w:sz w:val="20"/>
        </w:rPr>
      </w:pPr>
      <w:r>
        <w:rPr>
          <w:rFonts w:ascii="Times New Roman" w:hAnsi="Times New Roman"/>
          <w:sz w:val="20"/>
        </w:rPr>
        <w:t xml:space="preserve">Section 7.16 </w:t>
      </w:r>
      <w:r>
        <w:rPr>
          <w:rFonts w:ascii="Times New Roman" w:hAnsi="Times New Roman"/>
          <w:sz w:val="20"/>
          <w:u w:val="single"/>
        </w:rPr>
        <w:t>Parent Equity Plans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Prior to the First Effective Time, Parent will cause the Parent Board to adopt the 2026 Equity Incentive Plan, subject to the Closing and effective as of the First Effective Time, which will provide for a number of shares of Parent Common Stock not exceeding fifteen percent (15%) of the Parent Common Stock issued and expected to be outstanding immediately after the First Effective Time to be reserved under the 2026 Equity Incentive Plan, and which may include an annual increase pursuant to an “evergreen” provision to provide for optional annual increases of up to five percent (5%) of the total number of fully diluted shares of capital stock of Parent as of the day prior to such increase, and will include provisions in the Proxy Statement for the stockholders of Parent to approve the 2026 Equity Incentive Plan. Subject to the approval of the 2026 Equity Incentive Plan by the stockholders of Parent prior to the First Effective Time, Parent shall file with the SEC, promptly after the First Effective Time and at the Company’s expense, a registration statement on Form S-8 (or any successor form), if available for use by Parent, relating to the shares of Parent Common Stock issuable with respect to the 2026 Equity Incentive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Prior to the First Effective Time, Parent will cause the Parent Board to adopt the 2026 ESPP, which will provide for a total pool of shares of Parent Common Stock under the 2026 ESPP not exceeding five percent (5%) of the Parent Common Stock issued and expected to be outstanding immediately after the First Effective Time, and may include an annual increase pursuant to an “evergreen” provision providing for an annual increase of up to one percent (1%) of the total number of fully diluted shares of capital stock of Parent outstanding as of the day prior to such increase, subject to the Closing and effective as of the First Effective Time, and will include provisions in the Proxy Statement for the stockholders of Parent to approve the 2026 ESPP. Subject to the approval of the 2026 ESPP by the stockholders of Parent prior to the First Effective Time, Parent shall file with the SEC, promptly after the First Effective Time and the Company’s expense, a registration statement on Form S-8 (or any successor form), if available for use by Parent, relating to the shares of Parent Common Stock issuable with respect to the 2026 ESPP. </w:t>
      </w:r>
    </w:p>
    <w:p>
      <w:pPr>
        <w:pStyle w:val="TextBody"/>
        <w:bidi w:val="0"/>
        <w:spacing w:before="120" w:after="0"/>
        <w:jc w:val="left"/>
        <w:rPr>
          <w:rFonts w:ascii="Times New Roman" w:hAnsi="Times New Roman"/>
          <w:sz w:val="20"/>
        </w:rPr>
      </w:pPr>
      <w:r>
        <w:rPr>
          <w:rFonts w:ascii="Times New Roman" w:hAnsi="Times New Roman"/>
          <w:sz w:val="20"/>
        </w:rPr>
        <w:t xml:space="preserve">(c) For the avoidance of doubt, approval of the 2026 Plans by the stockholders of Parent shall not be a condition to Closing. </w:t>
      </w:r>
    </w:p>
    <w:p>
      <w:pPr>
        <w:pStyle w:val="TextBody"/>
        <w:bidi w:val="0"/>
        <w:spacing w:before="240" w:after="0"/>
        <w:jc w:val="left"/>
        <w:rPr>
          <w:rFonts w:ascii="Times New Roman" w:hAnsi="Times New Roman"/>
          <w:sz w:val="20"/>
        </w:rPr>
      </w:pPr>
      <w:r>
        <w:rPr>
          <w:rFonts w:ascii="Times New Roman" w:hAnsi="Times New Roman"/>
          <w:sz w:val="20"/>
        </w:rPr>
        <w:t xml:space="preserve">Section 7.17 </w:t>
      </w:r>
      <w:r>
        <w:rPr>
          <w:rFonts w:ascii="Times New Roman" w:hAnsi="Times New Roman"/>
          <w:sz w:val="20"/>
          <w:u w:val="single"/>
        </w:rPr>
        <w:t>Parent SEC Documents</w:t>
      </w:r>
      <w:r>
        <w:rPr>
          <w:rFonts w:ascii="Times New Roman" w:hAnsi="Times New Roman"/>
          <w:sz w:val="20"/>
        </w:rPr>
        <w:t xml:space="preserve">. From the date of this Agreement to the First Effective Time, Parent shall timely file with the SEC all SEC Documents. As of its filing date, or if amended after the date of this Agreement, as of the date of the last such amendment, each SEC Document filed by Parent with the SEC (a) shall comply in all material respects with the applicable requirements of the Exchange Act and the Securities Act, and (b) shall not contain any untrue statement of a material fact or omit to state any material fact required to be stated therein or necessary in order to make the statements made therein, in light of the circumstances under which they were made, not misleading.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Conditions Precedent of each Party</w:t>
      </w:r>
      <w:r>
        <w:rPr>
          <w:rFonts w:ascii="Times New Roman" w:hAnsi="Times New Roman"/>
          <w:sz w:val="20"/>
        </w:rPr>
        <w:t xml:space="preserve">. The obligations of each party to effect the Merger and otherwise consummate the transactions contemplated hereby to be consummated at the Closing are subject to the satisfaction or, to the extent permitted by applicable Law, the written waiver by each of the parties, at or prior to the Closing,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The Registration Statement shall have become effective in accordance with the provisions of the Securities Act, and shall not be subject to any stop order or proceeding seeking a stop order with respect to the Registration Statement and has not been withdrawn. Any material state securities Laws applicable to the issuance of the shares of Parent Common Stock in connection with the transactions contemplated hereby shall have been complied with and no stop order (or similar order) shall have been issued or threatened in writing in respect of such shares of Parent Common Stock by any applicable state securities commissioner or court of competent jurisdiction. </w:t>
      </w:r>
    </w:p>
    <w:p>
      <w:pPr>
        <w:pStyle w:val="TextBody"/>
        <w:bidi w:val="0"/>
        <w:spacing w:before="120" w:after="0"/>
        <w:jc w:val="left"/>
        <w:rPr>
          <w:rFonts w:ascii="Times New Roman" w:hAnsi="Times New Roman"/>
          <w:sz w:val="20"/>
        </w:rPr>
      </w:pPr>
      <w:r>
        <w:rPr>
          <w:rFonts w:ascii="Times New Roman" w:hAnsi="Times New Roman"/>
          <w:sz w:val="20"/>
        </w:rPr>
        <w:t xml:space="preserve">(b) Any applicable waiting periods (or extensions thereof) under the HSR Act shall have expired or otherwise been terminated.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 temporary restraining order, preliminary or permanent injunction or other order preventing the consummation of the transactions contemplated hereby shall have been issued by any court of competent jurisdiction or other Governmental Entity of competent jurisdiction and remain in effect and there shall not be any Law which has the effect of making the consummation of the transactions contemplated hereby illegal. </w:t>
      </w:r>
    </w:p>
    <w:p>
      <w:pPr>
        <w:pStyle w:val="TextBody"/>
        <w:bidi w:val="0"/>
        <w:spacing w:before="120" w:after="0"/>
        <w:jc w:val="left"/>
        <w:rPr>
          <w:rFonts w:ascii="Times New Roman" w:hAnsi="Times New Roman"/>
          <w:sz w:val="20"/>
        </w:rPr>
      </w:pPr>
      <w:r>
        <w:rPr>
          <w:rFonts w:ascii="Times New Roman" w:hAnsi="Times New Roman"/>
          <w:sz w:val="20"/>
        </w:rPr>
        <w:t xml:space="preserve">(d) (i) Parent shall have obtained the Parent Stockholder Approval and (ii) the Company shall have obtained the Company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(e) The Lock-Up Agreements will continue to be in full force and effect as of immediately following the First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(f) The Subscription Agreement shall be in full force and effect and cash proceeds of not less than the Concurrent Investment Amount shall have been received by the Company (or, if the Concurrent Investment is structured as an investment into Parent, by Parent), or will be received substantially simultaneously with or immediately after the Closing, in connection with the consummation of the transactions contemplated by the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(g) (i) The approval of the listing of the additional shares pursuant to the Nasdaq Listing Application shall have been approved for listing (subject to official notice of issuance) on Nasdaq and (ii) Parent has maintained its existing listing on Nasdaq and obtained approval of the listing of the combined corporation on Nasdaq. </w:t>
      </w:r>
    </w:p>
    <w:p>
      <w:pPr>
        <w:pStyle w:val="TextBody"/>
        <w:bidi w:val="0"/>
        <w:spacing w:before="120" w:after="0"/>
        <w:jc w:val="left"/>
        <w:rPr>
          <w:rFonts w:ascii="Times New Roman" w:hAnsi="Times New Roman"/>
          <w:sz w:val="20"/>
        </w:rPr>
      </w:pPr>
      <w:r>
        <w:rPr>
          <w:rFonts w:ascii="Times New Roman" w:hAnsi="Times New Roman"/>
          <w:sz w:val="20"/>
        </w:rPr>
        <w:t xml:space="preserve">(h) At the Closing, the Final Parent Net Cash minus the Pre-Closing Cash Dividend Amount shall be no less than $0; </w:t>
      </w:r>
      <w:r>
        <w:rPr>
          <w:rFonts w:ascii="Times New Roman" w:hAnsi="Times New Roman"/>
          <w:sz w:val="20"/>
          <w:u w:val="single"/>
        </w:rPr>
        <w:t>provided</w:t>
      </w:r>
      <w:r>
        <w:rPr>
          <w:rFonts w:ascii="Times New Roman" w:hAnsi="Times New Roman"/>
          <w:sz w:val="20"/>
        </w:rPr>
        <w:t xml:space="preserve">, that if Final Parent Net Cash minus the Pre-Closing Cash Dividend Amount is less than $0, then the terms of this </w:t>
      </w:r>
      <w:r>
        <w:rPr>
          <w:rFonts w:ascii="Times New Roman" w:hAnsi="Times New Roman"/>
          <w:sz w:val="20"/>
          <w:u w:val="single"/>
        </w:rPr>
        <w:t>Section 8.1(h)</w:t>
      </w:r>
      <w:r>
        <w:rPr>
          <w:rFonts w:ascii="Times New Roman" w:hAnsi="Times New Roman"/>
          <w:sz w:val="20"/>
        </w:rPr>
        <w:t xml:space="preserve"> may be satisfied by reducing the Pre-Closing Cash Dividend pursuant to </w:t>
      </w:r>
      <w:r>
        <w:rPr>
          <w:rFonts w:ascii="Times New Roman" w:hAnsi="Times New Roman"/>
          <w:sz w:val="20"/>
          <w:u w:val="single"/>
        </w:rPr>
        <w:t>Section 7.14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Parent shall have filed with, and been accepted by, the Delaware Secretary of State the amendment to Parent’s certificate of incorporation effecting the Nasdaq Reverse Stock Split in accordance with </w:t>
      </w:r>
      <w:r>
        <w:rPr>
          <w:rFonts w:ascii="Times New Roman" w:hAnsi="Times New Roman"/>
          <w:sz w:val="20"/>
          <w:u w:val="single"/>
        </w:rPr>
        <w:t>Section 2.6(a)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Conditions Precedent to Obligation of the Company</w:t>
      </w:r>
      <w:r>
        <w:rPr>
          <w:rFonts w:ascii="Times New Roman" w:hAnsi="Times New Roman"/>
          <w:sz w:val="20"/>
        </w:rPr>
        <w:t xml:space="preserve">. The obligations of the Company to effect the Merger and otherwise consummate the transactions to be consummated at the Closing are subject to the satisfaction or the written waiver by the Company, at or prior to the Closing,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Accuracy of Representations</w:t>
      </w:r>
      <w:r>
        <w:rPr>
          <w:rFonts w:ascii="Times New Roman" w:hAnsi="Times New Roman"/>
          <w:sz w:val="20"/>
        </w:rPr>
        <w:t xml:space="preserve">. The representations and warranties of Parent and Merger Sub made in this Agreement (other than the Parent Fundamental Representations) shall have been true and correct in all respects as of the date of this Agreement and shall be true and correct on and as of the Closing Date with the same force and effect as if made on and as of the Closing Date except (a) in each case, or in the aggregate, where the failure to be so true and correct would not reasonably be expected to have a Parent Material Adverse Effect (without giving effect to any references therein to any Parent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determining the accuracy of such representations and warranties, any update of or modification to the Parent Disclosure Letter made or purported to have been made after the date of this Agreement shall be disregarded). The Parent Fundamental Representations shall have been true and correct in all respects as of the date of this Agreement and shall be true and correct on and as of the Closing Date with the same force and effect as if made on and as of such date, except, in each case, (x) in respect of </w:t>
      </w:r>
      <w:r>
        <w:rPr>
          <w:rFonts w:ascii="Times New Roman" w:hAnsi="Times New Roman"/>
          <w:sz w:val="20"/>
          <w:u w:val="single"/>
        </w:rPr>
        <w:t>Section 5.2</w:t>
      </w:r>
      <w:r>
        <w:rPr>
          <w:rFonts w:ascii="Times New Roman" w:hAnsi="Times New Roman"/>
          <w:sz w:val="20"/>
        </w:rPr>
        <w:t xml:space="preserve"> for such inaccuracies which are de minimis, individually or in the aggregate or (y) for those representations and warranties which address matters only as of a particular date (which representations and warranties shall have been true and correct, subject to the qualifications as set forth in the preceding clause (x), as of such particular date).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Covenants</w:t>
      </w:r>
      <w:r>
        <w:rPr>
          <w:rFonts w:ascii="Times New Roman" w:hAnsi="Times New Roman"/>
          <w:sz w:val="20"/>
        </w:rPr>
        <w:t xml:space="preserve">. Parent shall have performed or complied with in all material respects all agreements and covenants required to be performed or complied with by it under this Agreement at or prior to the First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Parent Material Adverse Effect</w:t>
      </w:r>
      <w:r>
        <w:rPr>
          <w:rFonts w:ascii="Times New Roman" w:hAnsi="Times New Roman"/>
          <w:sz w:val="20"/>
        </w:rPr>
        <w:t xml:space="preserve">. Since the date of this Agreement, there shall not have occurred any Parent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Documents</w:t>
      </w:r>
      <w:r>
        <w:rPr>
          <w:rFonts w:ascii="Times New Roman" w:hAnsi="Times New Roman"/>
          <w:sz w:val="20"/>
        </w:rPr>
        <w:t xml:space="preserve">. The Company shall have received the following documents, each of which shall be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(i) a certificate executed by an officer of Parent certifying that the conditions set forth in </w:t>
      </w:r>
      <w:r>
        <w:rPr>
          <w:rFonts w:ascii="Times New Roman" w:hAnsi="Times New Roman"/>
          <w:sz w:val="20"/>
          <w:u w:val="single"/>
        </w:rPr>
        <w:t>Section 8.2(a)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have been duly satisfied; and </w:t>
      </w:r>
    </w:p>
    <w:p>
      <w:pPr>
        <w:pStyle w:val="TextBody"/>
        <w:bidi w:val="0"/>
        <w:spacing w:before="120" w:after="0"/>
        <w:jc w:val="left"/>
        <w:rPr>
          <w:rFonts w:ascii="Times New Roman" w:hAnsi="Times New Roman"/>
          <w:sz w:val="20"/>
        </w:rPr>
      </w:pPr>
      <w:r>
        <w:rPr>
          <w:rFonts w:ascii="Times New Roman" w:hAnsi="Times New Roman"/>
          <w:sz w:val="20"/>
        </w:rPr>
        <w:t xml:space="preserve">(ii) written resignations in forms reasonably satisfactory to the Company, dated as of the Closing Date and effective as of the Closing executed by the officers and directors of Parent who are not to continue as officers or directors of Parent pursuant to </w:t>
      </w:r>
      <w:r>
        <w:rPr>
          <w:rFonts w:ascii="Times New Roman" w:hAnsi="Times New Roman"/>
          <w:sz w:val="20"/>
          <w:u w:val="single"/>
        </w:rPr>
        <w:t>Section 7.10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Conditions Precedent of Parent and Merger Sub</w:t>
      </w:r>
      <w:r>
        <w:rPr>
          <w:rFonts w:ascii="Times New Roman" w:hAnsi="Times New Roman"/>
          <w:sz w:val="20"/>
        </w:rPr>
        <w:t xml:space="preserve">. The obligations of Parent and Merger Sub to effect the Merger and otherwise consummate the transactions to be consummated at the Closing are subject to the satisfaction or the written waiver by Parent, at or prior to the Closing,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Accuracy of Representations</w:t>
      </w:r>
      <w:r>
        <w:rPr>
          <w:rFonts w:ascii="Times New Roman" w:hAnsi="Times New Roman"/>
          <w:sz w:val="20"/>
        </w:rPr>
        <w:t xml:space="preserve">. The representations and warranties of the Company made in this Agreement (other than the Company Fundamental Representations) shall have been true and correct in all respects as of the date of this Agreement and shall be true and correct on and as of the Closing Date with the same force and effect as if made on and as of the Closing Date except (a) in each case, or in the aggregate, where the failure to be so true and correct would not reasonably be expected to have a Material Adverse Effect (without giving effect to any references therein to 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Letter made or purported to have been made after the date of this Agreement shall be disregarded). The Company Fundamental Representations shall have been true and correct in all respects as of the date of this Agreement and shall be true and correct on and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Closing Date with the same force and effect as if made on and as of such date, except, in each case, (x) in respect of </w:t>
      </w:r>
      <w:r>
        <w:rPr>
          <w:rFonts w:ascii="Times New Roman" w:hAnsi="Times New Roman"/>
          <w:sz w:val="20"/>
          <w:u w:val="single"/>
        </w:rPr>
        <w:t>Section 4.2</w:t>
      </w:r>
      <w:r>
        <w:rPr>
          <w:rFonts w:ascii="Times New Roman" w:hAnsi="Times New Roman"/>
          <w:sz w:val="20"/>
        </w:rPr>
        <w:t xml:space="preserve">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or (z) variances arising solely due to the transactions contemplated under the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Covenants</w:t>
      </w:r>
      <w:r>
        <w:rPr>
          <w:rFonts w:ascii="Times New Roman" w:hAnsi="Times New Roman"/>
          <w:sz w:val="20"/>
        </w:rPr>
        <w:t xml:space="preserve">. The Company shall have performed or complied with in all material respects all agreements and covenants required to be performed or complied with by it under this Agreement at or prior to the First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Material Adverse Effect</w:t>
      </w:r>
      <w:r>
        <w:rPr>
          <w:rFonts w:ascii="Times New Roman" w:hAnsi="Times New Roman"/>
          <w:sz w:val="20"/>
        </w:rPr>
        <w:t xml:space="preserve">. Since the date of this Agreement, there shall not have occurred any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Closing Certificate</w:t>
      </w:r>
      <w:r>
        <w:rPr>
          <w:rFonts w:ascii="Times New Roman" w:hAnsi="Times New Roman"/>
          <w:sz w:val="20"/>
        </w:rPr>
        <w:t xml:space="preserve">. Parent shall have received a certificate executed by an officer of the Company certifying (a) that the conditions set forth in </w:t>
      </w:r>
      <w:r>
        <w:rPr>
          <w:rFonts w:ascii="Times New Roman" w:hAnsi="Times New Roman"/>
          <w:sz w:val="20"/>
          <w:u w:val="single"/>
        </w:rPr>
        <w:t>Section 8.3(a)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have been duly satisfied and (b) that the information set forth in the Allocation Certificate delivered by the Company in accordance with </w:t>
      </w:r>
      <w:r>
        <w:rPr>
          <w:rFonts w:ascii="Times New Roman" w:hAnsi="Times New Roman"/>
          <w:sz w:val="20"/>
          <w:u w:val="single"/>
        </w:rPr>
        <w:t>Section 7.13</w:t>
      </w:r>
      <w:r>
        <w:rPr>
          <w:rFonts w:ascii="Times New Roman" w:hAnsi="Times New Roman"/>
          <w:sz w:val="20"/>
        </w:rPr>
        <w:t xml:space="preserve"> is true and accurate in all respects as of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FIRPTA Certificate</w:t>
      </w:r>
      <w:r>
        <w:rPr>
          <w:rFonts w:ascii="Times New Roman" w:hAnsi="Times New Roman"/>
          <w:sz w:val="20"/>
        </w:rPr>
        <w:t xml:space="preserve">. Parent shall have received from the Company a certificate in the form and substance required under Treasury Regulations Sections 1.1445-2(c)(3) and 1.897-2(h), and a form of notice to the IRS in accordance with the requirements of Treasury Regulations Section 1.897-2(h), together with written authorization for Parent to deliver such notice to the IRS on behalf of the Company following the Closing, in each case, in form and substance reasonably acceptable to Parent.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Termination of the Investor Agreements</w:t>
      </w:r>
      <w:r>
        <w:rPr>
          <w:rFonts w:ascii="Times New Roman" w:hAnsi="Times New Roman"/>
          <w:sz w:val="20"/>
        </w:rPr>
        <w:t xml:space="preserve">. The Investor Agreements shall have been terminated.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Termination</w:t>
      </w:r>
      <w:r>
        <w:rPr>
          <w:rFonts w:ascii="Times New Roman" w:hAnsi="Times New Roman"/>
          <w:sz w:val="20"/>
        </w:rPr>
        <w:t xml:space="preserve">. This Agreement may be terminated prior to the First Effective Time (whether before or after the adoption of this Agreement by the Company’s stockholders and whether before or after approval of the Parent Stockholder Proposal by Parent’s stockholders, unless otherwise specified below): </w:t>
      </w:r>
    </w:p>
    <w:p>
      <w:pPr>
        <w:pStyle w:val="TextBody"/>
        <w:bidi w:val="0"/>
        <w:spacing w:before="120" w:after="0"/>
        <w:jc w:val="left"/>
        <w:rPr>
          <w:rFonts w:ascii="Times New Roman" w:hAnsi="Times New Roman"/>
          <w:sz w:val="20"/>
        </w:rPr>
      </w:pPr>
      <w:r>
        <w:rPr>
          <w:rFonts w:ascii="Times New Roman" w:hAnsi="Times New Roman"/>
          <w:sz w:val="20"/>
        </w:rPr>
        <w:t xml:space="preserve">(a) by mutual consent of Parent and the Company; </w:t>
      </w:r>
    </w:p>
    <w:p>
      <w:pPr>
        <w:pStyle w:val="TextBody"/>
        <w:bidi w:val="0"/>
        <w:spacing w:before="120" w:after="0"/>
        <w:jc w:val="left"/>
        <w:rPr>
          <w:rFonts w:ascii="Times New Roman" w:hAnsi="Times New Roman"/>
          <w:sz w:val="20"/>
        </w:rPr>
      </w:pPr>
      <w:r>
        <w:rPr>
          <w:rFonts w:ascii="Times New Roman" w:hAnsi="Times New Roman"/>
          <w:sz w:val="20"/>
        </w:rPr>
        <w:t>(b) by either Parent or the Company if the Merger shall not have been consummated by February 28, 2027 (the “</w:t>
      </w:r>
      <w:r>
        <w:rPr>
          <w:rFonts w:ascii="Times New Roman" w:hAnsi="Times New Roman"/>
          <w:sz w:val="20"/>
          <w:u w:val="single"/>
        </w:rPr>
        <w:t>End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9.1(b)</w:t>
      </w:r>
      <w:r>
        <w:rPr>
          <w:rFonts w:ascii="Times New Roman" w:hAnsi="Times New Roman"/>
          <w:sz w:val="20"/>
        </w:rPr>
        <w:t xml:space="preserve"> shall not be available to the Company or Parent if such party’s (or in the case of Parent, any Merger Sub’s) breach of this Agreement has been a principal cause of the failure of the Merger to occur on or before the End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by either Parent or the Company if a court of competent jurisdiction or other Governmental Entity shall have issued a final and nonappealable order, or shall have taken any other action, having the effect of permanently restraining, enjoining or otherwise prohibiting the transactions contemplated hereby;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9.1(c)</w:t>
      </w:r>
      <w:r>
        <w:rPr>
          <w:rFonts w:ascii="Times New Roman" w:hAnsi="Times New Roman"/>
          <w:sz w:val="20"/>
        </w:rPr>
        <w:t xml:space="preserve"> shall not be available to a party if such party’s (or in the case of Parent, any Merger Sub’s) breach of this Agreement is a principal cause of any such Governmental Entity issuing any such order or taking any such other action; </w:t>
      </w:r>
    </w:p>
    <w:p>
      <w:pPr>
        <w:pStyle w:val="TextBody"/>
        <w:bidi w:val="0"/>
        <w:spacing w:before="120" w:after="0"/>
        <w:jc w:val="left"/>
        <w:rPr>
          <w:rFonts w:ascii="Times New Roman" w:hAnsi="Times New Roman"/>
          <w:sz w:val="20"/>
        </w:rPr>
      </w:pPr>
      <w:r>
        <w:rPr>
          <w:rFonts w:ascii="Times New Roman" w:hAnsi="Times New Roman"/>
          <w:sz w:val="20"/>
        </w:rPr>
        <w:t xml:space="preserve">(d) by either Parent or the Company if the Company Stockholder Approval shall not have been obtained by written consent of the Company’s stockholders in lieu of a meeting within two (2) Business Days of the Registration Statement becoming effective in accordance with the provisions of the Securities 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once the Company Stockholder Approval has been obtained, neither party may terminate this Agreement pursuant to this </w:t>
      </w:r>
      <w:r>
        <w:rPr>
          <w:rFonts w:ascii="Times New Roman" w:hAnsi="Times New Roman"/>
          <w:sz w:val="20"/>
          <w:u w:val="single"/>
        </w:rPr>
        <w:t>Section 9.1(d)</w:t>
      </w:r>
      <w:r>
        <w:rPr>
          <w:rFonts w:ascii="Times New Roman" w:hAnsi="Times New Roman"/>
          <w:sz w:val="20"/>
        </w:rPr>
        <w:t xml:space="preserve"> and (ii) the right to terminate this Agreement under this </w:t>
      </w:r>
      <w:r>
        <w:rPr>
          <w:rFonts w:ascii="Times New Roman" w:hAnsi="Times New Roman"/>
          <w:sz w:val="20"/>
          <w:u w:val="single"/>
        </w:rPr>
        <w:t>Section 9.1(d)</w:t>
      </w:r>
      <w:r>
        <w:rPr>
          <w:rFonts w:ascii="Times New Roman" w:hAnsi="Times New Roman"/>
          <w:sz w:val="20"/>
        </w:rPr>
        <w:t xml:space="preserve"> shall not be available to a party if such party’s (or in the case of Parent, any Merger Sub’s) breach of this Agreement is a principal cause of the failure of the Company Stockholder Approval to have been obtained on or before such second (2nd) Business Day; </w:t>
      </w:r>
    </w:p>
    <w:p>
      <w:pPr>
        <w:pStyle w:val="TextBody"/>
        <w:bidi w:val="0"/>
        <w:spacing w:before="120" w:after="0"/>
        <w:jc w:val="left"/>
        <w:rPr>
          <w:rFonts w:ascii="Times New Roman" w:hAnsi="Times New Roman"/>
          <w:sz w:val="20"/>
        </w:rPr>
      </w:pPr>
      <w:r>
        <w:rPr>
          <w:rFonts w:ascii="Times New Roman" w:hAnsi="Times New Roman"/>
          <w:sz w:val="20"/>
        </w:rPr>
        <w:t xml:space="preserve">(e) by either Parent or the Company if (i) the Parent Stockholder Meeting (including any adjournments and postponements thereof) shall have been held and completed and Parent’s stockholders shall have taken a final vote on the Parent Stockholder Proposal and (ii) the Parent Stockholder Approval shall not have been obtained at the Parent Stockholder Meeting (or any adjournment or postponement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9.1(e)</w:t>
      </w:r>
      <w:r>
        <w:rPr>
          <w:rFonts w:ascii="Times New Roman" w:hAnsi="Times New Roman"/>
          <w:sz w:val="20"/>
        </w:rPr>
        <w:t xml:space="preserve"> shall not be available to a party if such party’s (or in the case of Parent, any Merger Sub’s) breach of this Agreement is a principal cause of the failure of the Parent Stockholder Approval to have been obtained at the Parent Stockholder Meeting; </w:t>
      </w:r>
    </w:p>
    <w:p>
      <w:pPr>
        <w:pStyle w:val="TextBody"/>
        <w:bidi w:val="0"/>
        <w:spacing w:before="120" w:after="0"/>
        <w:jc w:val="left"/>
        <w:rPr>
          <w:rFonts w:ascii="Times New Roman" w:hAnsi="Times New Roman"/>
          <w:sz w:val="20"/>
        </w:rPr>
      </w:pPr>
      <w:r>
        <w:rPr>
          <w:rFonts w:ascii="Times New Roman" w:hAnsi="Times New Roman"/>
          <w:sz w:val="20"/>
        </w:rPr>
        <w:t xml:space="preserve">(f) by the Company (at any time prior to obtaining the Parent Stockholder Approval) if any Parent Triggering Event shall have occurred; </w:t>
      </w:r>
    </w:p>
    <w:p>
      <w:pPr>
        <w:pStyle w:val="TextBody"/>
        <w:bidi w:val="0"/>
        <w:spacing w:before="120" w:after="0"/>
        <w:jc w:val="left"/>
        <w:rPr>
          <w:rFonts w:ascii="Times New Roman" w:hAnsi="Times New Roman"/>
          <w:sz w:val="20"/>
        </w:rPr>
      </w:pPr>
      <w:r>
        <w:rPr>
          <w:rFonts w:ascii="Times New Roman" w:hAnsi="Times New Roman"/>
          <w:sz w:val="20"/>
        </w:rPr>
        <w:t xml:space="preserve">(g) by Parent (at any time prior to obtaining the Company Stockholder Approval) if any Company Triggering Event shall have occurred; </w:t>
      </w:r>
    </w:p>
    <w:p>
      <w:pPr>
        <w:pStyle w:val="TextBody"/>
        <w:bidi w:val="0"/>
        <w:spacing w:before="120" w:after="0"/>
        <w:jc w:val="left"/>
        <w:rPr>
          <w:rFonts w:ascii="Times New Roman" w:hAnsi="Times New Roman"/>
          <w:sz w:val="20"/>
        </w:rPr>
      </w:pPr>
      <w:r>
        <w:rPr>
          <w:rFonts w:ascii="Times New Roman" w:hAnsi="Times New Roman"/>
          <w:sz w:val="20"/>
        </w:rPr>
        <w:t xml:space="preserve">(h) by the Company, upon a breach of any representation, warranty, covenant or agreement set forth in this Agreement by Parent or Merger Sub or if any representation or warranty of Parent or Merger Sub shall have become inaccurate, in either case, such that the conditions set forth in </w:t>
      </w:r>
      <w:r>
        <w:rPr>
          <w:rFonts w:ascii="Times New Roman" w:hAnsi="Times New Roman"/>
          <w:sz w:val="20"/>
          <w:u w:val="single"/>
        </w:rPr>
        <w:t>Section 8.2(a)</w:t>
      </w:r>
      <w:r>
        <w:rPr>
          <w:rFonts w:ascii="Times New Roman" w:hAnsi="Times New Roman"/>
          <w:sz w:val="20"/>
        </w:rPr>
        <w:t xml:space="preserve"> or </w:t>
      </w:r>
      <w:r>
        <w:rPr>
          <w:rFonts w:ascii="Times New Roman" w:hAnsi="Times New Roman"/>
          <w:sz w:val="20"/>
          <w:u w:val="single"/>
        </w:rPr>
        <w:t>Section 8.2(b)</w:t>
      </w:r>
      <w:r>
        <w:rPr>
          <w:rFonts w:ascii="Times New Roman" w:hAnsi="Times New Roman"/>
          <w:sz w:val="20"/>
        </w:rPr>
        <w:t xml:space="preserve"> would not be satisfied as of the time of such breach or as of the time such representation or warranty shall have become inaccurate; </w:t>
      </w:r>
      <w:r>
        <w:rPr>
          <w:rFonts w:ascii="Times New Roman" w:hAnsi="Times New Roman"/>
          <w:sz w:val="20"/>
          <w:u w:val="single"/>
        </w:rPr>
        <w:t>provided</w:t>
      </w:r>
      <w:r>
        <w:rPr>
          <w:rFonts w:ascii="Times New Roman" w:hAnsi="Times New Roman"/>
          <w:sz w:val="20"/>
        </w:rPr>
        <w:t xml:space="preserve"> that the Company is not then in material breach of any representation, warranty, covenant or agreement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inaccuracy in Parent’s or Merger Sub’s representations and warranties or breach by Parent or Merger Sub is curable by Parent or Merger Sub, then this Agreement shall not terminate pursuant to this </w:t>
      </w:r>
      <w:r>
        <w:rPr>
          <w:rFonts w:ascii="Times New Roman" w:hAnsi="Times New Roman"/>
          <w:sz w:val="20"/>
          <w:u w:val="single"/>
        </w:rPr>
        <w:t>Section 9.1(h)</w:t>
      </w:r>
      <w:r>
        <w:rPr>
          <w:rFonts w:ascii="Times New Roman" w:hAnsi="Times New Roman"/>
          <w:sz w:val="20"/>
        </w:rPr>
        <w:t xml:space="preserve"> as a result of such particular breach or inaccuracy until the earlier of (i) the expiration of a 30-day period commencing upon delivery of written notice from the Company to Parent or Merger Sub of such breach or inaccuracy and its intention to terminate pursuant to this </w:t>
      </w:r>
      <w:r>
        <w:rPr>
          <w:rFonts w:ascii="Times New Roman" w:hAnsi="Times New Roman"/>
          <w:sz w:val="20"/>
          <w:u w:val="single"/>
        </w:rPr>
        <w:t>Section 9.1(h)</w:t>
      </w:r>
      <w:r>
        <w:rPr>
          <w:rFonts w:ascii="Times New Roman" w:hAnsi="Times New Roman"/>
          <w:sz w:val="20"/>
        </w:rPr>
        <w:t xml:space="preserve"> and (ii) Parent or Merger Sub (as applicable) ceasing to exercise commercially reasonable efforts to cure such breach following delivery of written notice from the Company to Parent or Merger Sub of such breach or inaccuracy and its intention to terminate pursuant to this </w:t>
      </w:r>
      <w:r>
        <w:rPr>
          <w:rFonts w:ascii="Times New Roman" w:hAnsi="Times New Roman"/>
          <w:sz w:val="20"/>
          <w:u w:val="single"/>
        </w:rPr>
        <w:t>Section 9.1(h)</w:t>
      </w:r>
      <w:r>
        <w:rPr>
          <w:rFonts w:ascii="Times New Roman" w:hAnsi="Times New Roman"/>
          <w:sz w:val="20"/>
        </w:rPr>
        <w:t xml:space="preserve"> (it being understood that this Agreement shall not terminate pursuant to this </w:t>
      </w:r>
      <w:r>
        <w:rPr>
          <w:rFonts w:ascii="Times New Roman" w:hAnsi="Times New Roman"/>
          <w:sz w:val="20"/>
          <w:u w:val="single"/>
        </w:rPr>
        <w:t>Section 9.1(h)</w:t>
      </w:r>
      <w:r>
        <w:rPr>
          <w:rFonts w:ascii="Times New Roman" w:hAnsi="Times New Roman"/>
          <w:sz w:val="20"/>
        </w:rPr>
        <w:t xml:space="preserve"> as a result of such particular breach or inaccuracy if such breach by Parent or Merger Sub is cured prior to such termination becoming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by the Parent, upon a breach of any representation, warranty, covenant or agreement set forth in this Agreement by the Company or if any representation or warranty of Parent or Merger Sub shall have become inaccurate, in either case, such that the conditions set forth in </w:t>
      </w:r>
      <w:r>
        <w:rPr>
          <w:rFonts w:ascii="Times New Roman" w:hAnsi="Times New Roman"/>
          <w:sz w:val="20"/>
          <w:u w:val="single"/>
        </w:rPr>
        <w:t>Section 8.3(a)</w:t>
      </w:r>
      <w:r>
        <w:rPr>
          <w:rFonts w:ascii="Times New Roman" w:hAnsi="Times New Roman"/>
          <w:sz w:val="20"/>
        </w:rPr>
        <w:t xml:space="preserve"> or </w:t>
      </w:r>
      <w:r>
        <w:rPr>
          <w:rFonts w:ascii="Times New Roman" w:hAnsi="Times New Roman"/>
          <w:sz w:val="20"/>
          <w:u w:val="single"/>
        </w:rPr>
        <w:t>Section 8.3(b)</w:t>
      </w:r>
      <w:r>
        <w:rPr>
          <w:rFonts w:ascii="Times New Roman" w:hAnsi="Times New Roman"/>
          <w:sz w:val="20"/>
        </w:rPr>
        <w:t xml:space="preserve"> would not be satisfied as of the time of such breach or as of the time such representation or warranty shall have become inaccurate; </w:t>
      </w:r>
      <w:r>
        <w:rPr>
          <w:rFonts w:ascii="Times New Roman" w:hAnsi="Times New Roman"/>
          <w:sz w:val="20"/>
          <w:u w:val="single"/>
        </w:rPr>
        <w:t>provided</w:t>
      </w:r>
      <w:r>
        <w:rPr>
          <w:rFonts w:ascii="Times New Roman" w:hAnsi="Times New Roman"/>
          <w:sz w:val="20"/>
        </w:rPr>
        <w:t xml:space="preserve"> that Parent is not then in material breach of any representation, warranty, covenant or agreement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inaccuracy in the Company’s representations and warranties or breach by the Company is curable by the Company, then this Agreement shall not terminate pursuant to this </w:t>
      </w:r>
      <w:r>
        <w:rPr>
          <w:rFonts w:ascii="Times New Roman" w:hAnsi="Times New Roman"/>
          <w:sz w:val="20"/>
          <w:u w:val="single"/>
        </w:rPr>
        <w:t>Section 9.1(i)</w:t>
      </w:r>
      <w:r>
        <w:rPr>
          <w:rFonts w:ascii="Times New Roman" w:hAnsi="Times New Roman"/>
          <w:sz w:val="20"/>
        </w:rPr>
        <w:t xml:space="preserve"> as a result of such particular breach or inaccuracy until the earlier of (i) the expiration of a 30-day period commencing upon delivery of written notice from the Parent to the Company of such breach or inaccuracy and its intention to terminate pursuant to this </w:t>
      </w:r>
      <w:r>
        <w:rPr>
          <w:rFonts w:ascii="Times New Roman" w:hAnsi="Times New Roman"/>
          <w:sz w:val="20"/>
          <w:u w:val="single"/>
        </w:rPr>
        <w:t>Section 9.1(i)</w:t>
      </w:r>
      <w:r>
        <w:rPr>
          <w:rFonts w:ascii="Times New Roman" w:hAnsi="Times New Roman"/>
          <w:sz w:val="20"/>
        </w:rPr>
        <w:t xml:space="preserve"> and (ii) the Company ceasing to exercise commercially reasonable efforts to cure such breach following delivery of written notice from Parent to the Company of such breach or inaccuracy and its intention to terminate pursuant to this </w:t>
      </w:r>
      <w:r>
        <w:rPr>
          <w:rFonts w:ascii="Times New Roman" w:hAnsi="Times New Roman"/>
          <w:sz w:val="20"/>
          <w:u w:val="single"/>
        </w:rPr>
        <w:t>Section 9.1(i)</w:t>
      </w:r>
      <w:r>
        <w:rPr>
          <w:rFonts w:ascii="Times New Roman" w:hAnsi="Times New Roman"/>
          <w:sz w:val="20"/>
        </w:rPr>
        <w:t xml:space="preserve"> (it being understood that this Agreement shall not terminate pursuant to this </w:t>
      </w:r>
      <w:r>
        <w:rPr>
          <w:rFonts w:ascii="Times New Roman" w:hAnsi="Times New Roman"/>
          <w:sz w:val="20"/>
          <w:u w:val="single"/>
        </w:rPr>
        <w:t>Section 9.1(i)</w:t>
      </w:r>
      <w:r>
        <w:rPr>
          <w:rFonts w:ascii="Times New Roman" w:hAnsi="Times New Roman"/>
          <w:sz w:val="20"/>
        </w:rPr>
        <w:t xml:space="preserve"> as a result of such particular breach or inaccuracy if such breach by the Company is cured prior to such termination becoming effective); </w:t>
      </w:r>
    </w:p>
    <w:p>
      <w:pPr>
        <w:pStyle w:val="TextBody"/>
        <w:bidi w:val="0"/>
        <w:spacing w:before="120" w:after="0"/>
        <w:jc w:val="left"/>
        <w:rPr>
          <w:rFonts w:ascii="Times New Roman" w:hAnsi="Times New Roman"/>
          <w:sz w:val="20"/>
        </w:rPr>
      </w:pPr>
      <w:r>
        <w:rPr>
          <w:rFonts w:ascii="Times New Roman" w:hAnsi="Times New Roman"/>
          <w:sz w:val="20"/>
        </w:rPr>
        <w:t xml:space="preserve">(j) by Parent (at any time prior to obtaining the Parent Stockholder Approval) and following compliance with all of the requirements set forth in the proviso to this </w:t>
      </w:r>
      <w:r>
        <w:rPr>
          <w:rFonts w:ascii="Times New Roman" w:hAnsi="Times New Roman"/>
          <w:sz w:val="20"/>
          <w:u w:val="single"/>
        </w:rPr>
        <w:t>Section 9.1(j)</w:t>
      </w:r>
      <w:r>
        <w:rPr>
          <w:rFonts w:ascii="Times New Roman" w:hAnsi="Times New Roman"/>
          <w:sz w:val="20"/>
        </w:rPr>
        <w:t>, concurrently with Parent’s entering into a definitive agreement for a Superior Offer (a “</w:t>
      </w:r>
      <w:r>
        <w:rPr>
          <w:rFonts w:ascii="Times New Roman" w:hAnsi="Times New Roman"/>
          <w:sz w:val="20"/>
          <w:u w:val="single"/>
        </w:rPr>
        <w:t>Permitted Alternative Agreement</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 and after having paid to the Company the Company Termination Fee pursuant to </w:t>
      </w:r>
      <w:r>
        <w:rPr>
          <w:rFonts w:ascii="Times New Roman" w:hAnsi="Times New Roman"/>
          <w:sz w:val="20"/>
          <w:u w:val="single"/>
        </w:rPr>
        <w:t>Section 9.3(c)</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not enter into any Permitted Alternative Agreement unless: (i) the Company shall have received written notice from Parent of Parent’s intention to enter into such Permitted Alternative Agreement at least four (4) Business Days in advance, with such notice describing in reasonable detail the reasons for such intention as well as the material terms and conditions of such Permitted Alternative Agreement, including the identity of the counterparty together with copies of the then current draft of such Permitted Alternative Agreement and any other related principal transaction documents, (ii) Parent shall have complied in all material respects with its obligations under </w:t>
      </w:r>
      <w:r>
        <w:rPr>
          <w:rFonts w:ascii="Times New Roman" w:hAnsi="Times New Roman"/>
          <w:sz w:val="20"/>
          <w:u w:val="single"/>
        </w:rPr>
        <w:t>Section 6.4</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and (iii) the Parent Board shall have determined in good faith, after consultation with its outside legal counsel, that the failure to enter into such Permitted Alternative Agreement would reasonably be expected to be inconsistent with its fiduciary obligations under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(k) by the Company (at any time prior to obtaining the Company Stockholder Approval) and following compliance with all of the requirements set forth in the proviso to this </w:t>
      </w:r>
      <w:r>
        <w:rPr>
          <w:rFonts w:ascii="Times New Roman" w:hAnsi="Times New Roman"/>
          <w:sz w:val="20"/>
          <w:u w:val="single"/>
        </w:rPr>
        <w:t>Section 9.1(k)</w:t>
      </w:r>
      <w:r>
        <w:rPr>
          <w:rFonts w:ascii="Times New Roman" w:hAnsi="Times New Roman"/>
          <w:sz w:val="20"/>
        </w:rPr>
        <w:t xml:space="preserve">, concurrently with the Company’s entering into a Permitted Alternative Agreement and after having paid to Parent the Parent Termination Fee pursuant to </w:t>
      </w:r>
      <w:r>
        <w:rPr>
          <w:rFonts w:ascii="Times New Roman" w:hAnsi="Times New Roman"/>
          <w:sz w:val="20"/>
          <w:u w:val="single"/>
        </w:rPr>
        <w:t>Section 9.3(e)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enter into any Permitted Alternative Agreement unless: (i) Parent shall have received written notice from the Company of the Company’s intention to enter into such Permitted Alternative Agreement at least four (4) Business Days in advance, with such notice describing in reasonable detail the reasons for such intention as well as the material terms and conditions of such Permitted Alternative Agreement, including the identity of the counterparty together with copies of the then current draft of such Permitted Alternative Agreement and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related principal transaction documents, (ii) the Company shall have complied in all material respects with its obligations under </w:t>
      </w:r>
      <w:r>
        <w:rPr>
          <w:rFonts w:ascii="Times New Roman" w:hAnsi="Times New Roman"/>
          <w:sz w:val="20"/>
          <w:u w:val="single"/>
        </w:rPr>
        <w:t>Section 6.4</w:t>
      </w:r>
      <w:r>
        <w:rPr>
          <w:rFonts w:ascii="Times New Roman" w:hAnsi="Times New Roman"/>
          <w:sz w:val="20"/>
        </w:rPr>
        <w:t xml:space="preserve">, and (iii) the Company Board shall have determined in good faith, after consultation with its outside legal counsel, that the failure to enter into such Permitted Alternative Agreement would reasonably be expected to be inconsistent with its fiduciary obligations under applicable Law; or </w:t>
      </w:r>
    </w:p>
    <w:p>
      <w:pPr>
        <w:pStyle w:val="TextBody"/>
        <w:bidi w:val="0"/>
        <w:spacing w:before="240" w:after="0"/>
        <w:jc w:val="left"/>
        <w:rPr>
          <w:rFonts w:ascii="Times New Roman" w:hAnsi="Times New Roman"/>
          <w:sz w:val="20"/>
        </w:rPr>
      </w:pPr>
      <w:r>
        <w:rPr>
          <w:rFonts w:ascii="Times New Roman" w:hAnsi="Times New Roman"/>
          <w:sz w:val="20"/>
        </w:rPr>
        <w:t xml:space="preserve">The party desiring to terminate this Agreement pursuant to this </w:t>
      </w:r>
      <w:r>
        <w:rPr>
          <w:rFonts w:ascii="Times New Roman" w:hAnsi="Times New Roman"/>
          <w:sz w:val="20"/>
          <w:u w:val="single"/>
        </w:rPr>
        <w:t>Section 9.1</w:t>
      </w:r>
      <w:r>
        <w:rPr>
          <w:rFonts w:ascii="Times New Roman" w:hAnsi="Times New Roman"/>
          <w:sz w:val="20"/>
        </w:rPr>
        <w:t xml:space="preserve"> (other than pursuant to </w:t>
      </w:r>
      <w:r>
        <w:rPr>
          <w:rFonts w:ascii="Times New Roman" w:hAnsi="Times New Roman"/>
          <w:sz w:val="20"/>
          <w:u w:val="single"/>
        </w:rPr>
        <w:t>Section 9.1(a)</w:t>
      </w:r>
      <w:r>
        <w:rPr>
          <w:rFonts w:ascii="Times New Roman" w:hAnsi="Times New Roman"/>
          <w:sz w:val="20"/>
        </w:rPr>
        <w:t xml:space="preserve">) shall give a notice of such termination to the other party specifying the provisions hereof pursuant to which such termination is made and the basis therefor described in reasonable detail. </w:t>
      </w:r>
    </w:p>
    <w:p>
      <w:pPr>
        <w:pStyle w:val="TextBody"/>
        <w:bidi w:val="0"/>
        <w:spacing w:before="240" w:after="0"/>
        <w:jc w:val="left"/>
        <w:rPr>
          <w:rFonts w:ascii="Times New Roman" w:hAnsi="Times New Roman"/>
          <w:sz w:val="20"/>
        </w:rPr>
      </w:pPr>
      <w:r>
        <w:rPr>
          <w:rFonts w:ascii="Times New Roman" w:hAnsi="Times New Roman"/>
          <w:sz w:val="20"/>
        </w:rPr>
        <w:t xml:space="preserve">Section 9.2 </w:t>
      </w:r>
      <w:r>
        <w:rPr>
          <w:rFonts w:ascii="Times New Roman" w:hAnsi="Times New Roman"/>
          <w:sz w:val="20"/>
          <w:u w:val="single"/>
        </w:rPr>
        <w:t>Effect of Termination</w:t>
      </w:r>
      <w:r>
        <w:rPr>
          <w:rFonts w:ascii="Times New Roman" w:hAnsi="Times New Roman"/>
          <w:sz w:val="20"/>
        </w:rPr>
        <w:t xml:space="preserve">. In the event of the termination of this Agreement as provided in </w:t>
      </w:r>
      <w:r>
        <w:rPr>
          <w:rFonts w:ascii="Times New Roman" w:hAnsi="Times New Roman"/>
          <w:sz w:val="20"/>
          <w:u w:val="single"/>
        </w:rPr>
        <w:t>Section 9.1</w:t>
      </w:r>
      <w:r>
        <w:rPr>
          <w:rFonts w:ascii="Times New Roman" w:hAnsi="Times New Roman"/>
          <w:sz w:val="20"/>
        </w:rPr>
        <w:t xml:space="preserve">, this Agreement shall be of no further force or effect;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this </w:t>
      </w:r>
      <w:r>
        <w:rPr>
          <w:rFonts w:ascii="Times New Roman" w:hAnsi="Times New Roman"/>
          <w:sz w:val="20"/>
          <w:u w:val="single"/>
        </w:rPr>
        <w:t>Section 9.2</w:t>
      </w:r>
      <w:r>
        <w:rPr>
          <w:rFonts w:ascii="Times New Roman" w:hAnsi="Times New Roman"/>
          <w:sz w:val="20"/>
        </w:rPr>
        <w:t xml:space="preserve">, </w:t>
      </w:r>
      <w:r>
        <w:rPr>
          <w:rFonts w:ascii="Times New Roman" w:hAnsi="Times New Roman"/>
          <w:sz w:val="20"/>
          <w:u w:val="single"/>
        </w:rPr>
        <w:t>Section 9.3</w:t>
      </w:r>
      <w:r>
        <w:rPr>
          <w:rFonts w:ascii="Times New Roman" w:hAnsi="Times New Roman"/>
          <w:sz w:val="20"/>
        </w:rPr>
        <w:t xml:space="preserve"> and </w:t>
      </w:r>
      <w:r>
        <w:rPr>
          <w:rFonts w:ascii="Times New Roman" w:hAnsi="Times New Roman"/>
          <w:sz w:val="20"/>
          <w:u w:val="single"/>
        </w:rPr>
        <w:t>Article X</w:t>
      </w:r>
      <w:r>
        <w:rPr>
          <w:rFonts w:ascii="Times New Roman" w:hAnsi="Times New Roman"/>
          <w:sz w:val="20"/>
        </w:rPr>
        <w:t xml:space="preserve"> (and the related definitions of the defined terms in such section) shall survive the termination of this Agreement and shall remain in full force and effect and (b) the termination of this Agreement and the provisions of </w:t>
      </w:r>
      <w:r>
        <w:rPr>
          <w:rFonts w:ascii="Times New Roman" w:hAnsi="Times New Roman"/>
          <w:sz w:val="20"/>
          <w:u w:val="single"/>
        </w:rPr>
        <w:t>Section 9.3</w:t>
      </w:r>
      <w:r>
        <w:rPr>
          <w:rFonts w:ascii="Times New Roman" w:hAnsi="Times New Roman"/>
          <w:sz w:val="20"/>
        </w:rPr>
        <w:t xml:space="preserve"> shall not relieve any party of any liability for fraud or for any willful and material breach of any representation, warranty, covenant, obligation or other provision contained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9.3 </w:t>
      </w:r>
      <w:r>
        <w:rPr>
          <w:rFonts w:ascii="Times New Roman" w:hAnsi="Times New Roman"/>
          <w:sz w:val="20"/>
          <w:u w:val="single"/>
        </w:rPr>
        <w:t>Expenses; Termination Fees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set forth in this </w:t>
      </w:r>
      <w:r>
        <w:rPr>
          <w:rFonts w:ascii="Times New Roman" w:hAnsi="Times New Roman"/>
          <w:sz w:val="20"/>
          <w:u w:val="single"/>
        </w:rPr>
        <w:t>Section 9.3</w:t>
      </w:r>
      <w:r>
        <w:rPr>
          <w:rFonts w:ascii="Times New Roman" w:hAnsi="Times New Roman"/>
          <w:sz w:val="20"/>
        </w:rPr>
        <w:t xml:space="preserve"> and </w:t>
      </w:r>
      <w:r>
        <w:rPr>
          <w:rFonts w:ascii="Times New Roman" w:hAnsi="Times New Roman"/>
          <w:sz w:val="20"/>
          <w:u w:val="single"/>
        </w:rPr>
        <w:t>Section 7.9</w:t>
      </w:r>
      <w:r>
        <w:rPr>
          <w:rFonts w:ascii="Times New Roman" w:hAnsi="Times New Roman"/>
          <w:sz w:val="20"/>
        </w:rPr>
        <w:t xml:space="preserve"> all fees and expenses incurred in connection with this Agreement and the transactions contemplated hereby shall be paid by the party incurring such expenses, whether or not the Merger is consummated,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and the Company shall share equally all fees and expenses incurred in relation to the printing and filing with the SEC of the Registration Statement (including any financial statements and exhibits) and any amendments or supplements thereto and paid to a financial printer or the SEC. </w:t>
      </w:r>
    </w:p>
    <w:p>
      <w:pPr>
        <w:pStyle w:val="TextBody"/>
        <w:bidi w:val="0"/>
        <w:spacing w:before="120" w:after="0"/>
        <w:jc w:val="left"/>
        <w:rPr>
          <w:rFonts w:ascii="Times New Roman" w:hAnsi="Times New Roman"/>
          <w:sz w:val="20"/>
        </w:rPr>
      </w:pPr>
      <w:r>
        <w:rPr>
          <w:rFonts w:ascii="Times New Roman" w:hAnsi="Times New Roman"/>
          <w:sz w:val="20"/>
        </w:rPr>
        <w:t xml:space="preserve">(b) If (i) this Agreement is terminated by Parent or the Company pursuant to </w:t>
      </w:r>
      <w:r>
        <w:rPr>
          <w:rFonts w:ascii="Times New Roman" w:hAnsi="Times New Roman"/>
          <w:sz w:val="20"/>
          <w:u w:val="single"/>
        </w:rPr>
        <w:t>Section 9.1(e)</w:t>
      </w:r>
      <w:r>
        <w:rPr>
          <w:rFonts w:ascii="Times New Roman" w:hAnsi="Times New Roman"/>
          <w:sz w:val="20"/>
        </w:rPr>
        <w:t>, (ii) at any time after the date of this Agreement and prior to the Parent Stockholder Meeting an Acquisition Proposal with respect to Parent shall have been publicly announced, disclosed or otherwise communicated to the Parent Board (and shall not have been withdrawn) and (iii) within twelve (12) months after the date of such termination, Parent enters into a definitive agreement with respect to a Subsequent Transaction or consummates a Subsequent Transaction, then Parent shall pay the Company, upon such entry into a definitive agreement and/or consummation of a Subsequent Transaction, a nonrefundable fee in an amount equal to $10,000,000 (the “</w:t>
      </w:r>
      <w:r>
        <w:rPr>
          <w:rFonts w:ascii="Times New Roman" w:hAnsi="Times New Roman"/>
          <w:sz w:val="20"/>
          <w:u w:val="single"/>
        </w:rPr>
        <w:t>Company Termination Fee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If this Agreement is terminated (i) by the Company pursuant to </w:t>
      </w:r>
      <w:r>
        <w:rPr>
          <w:rFonts w:ascii="Times New Roman" w:hAnsi="Times New Roman"/>
          <w:sz w:val="20"/>
          <w:u w:val="single"/>
        </w:rPr>
        <w:t>Section 9.1(f)</w:t>
      </w:r>
      <w:r>
        <w:rPr>
          <w:rFonts w:ascii="Times New Roman" w:hAnsi="Times New Roman"/>
          <w:sz w:val="20"/>
        </w:rPr>
        <w:t xml:space="preserve"> (or </w:t>
      </w:r>
      <w:r>
        <w:rPr>
          <w:rFonts w:ascii="Times New Roman" w:hAnsi="Times New Roman"/>
          <w:sz w:val="20"/>
          <w:u w:val="single"/>
        </w:rPr>
        <w:t>Section 9.1(b)</w:t>
      </w:r>
      <w:r>
        <w:rPr>
          <w:rFonts w:ascii="Times New Roman" w:hAnsi="Times New Roman"/>
          <w:sz w:val="20"/>
        </w:rPr>
        <w:t xml:space="preserve"> or </w:t>
      </w:r>
      <w:r>
        <w:rPr>
          <w:rFonts w:ascii="Times New Roman" w:hAnsi="Times New Roman"/>
          <w:sz w:val="20"/>
          <w:u w:val="single"/>
        </w:rPr>
        <w:t>Section 9.1(e)</w:t>
      </w:r>
      <w:r>
        <w:rPr>
          <w:rFonts w:ascii="Times New Roman" w:hAnsi="Times New Roman"/>
          <w:sz w:val="20"/>
        </w:rPr>
        <w:t xml:space="preserve"> in circumstances in which the Company has the right to terminate this Agreement pursuant </w:t>
      </w:r>
      <w:r>
        <w:rPr>
          <w:rFonts w:ascii="Times New Roman" w:hAnsi="Times New Roman"/>
          <w:sz w:val="20"/>
          <w:u w:val="single"/>
        </w:rPr>
        <w:t>Section 9.1(f)</w:t>
      </w:r>
      <w:r>
        <w:rPr>
          <w:rFonts w:ascii="Times New Roman" w:hAnsi="Times New Roman"/>
          <w:sz w:val="20"/>
        </w:rPr>
        <w:t xml:space="preserve">) or (ii) by Parent pursuant to </w:t>
      </w:r>
      <w:r>
        <w:rPr>
          <w:rFonts w:ascii="Times New Roman" w:hAnsi="Times New Roman"/>
          <w:sz w:val="20"/>
          <w:u w:val="single"/>
        </w:rPr>
        <w:t>Section 9.1(j)</w:t>
      </w:r>
      <w:r>
        <w:rPr>
          <w:rFonts w:ascii="Times New Roman" w:hAnsi="Times New Roman"/>
          <w:sz w:val="20"/>
        </w:rPr>
        <w:t xml:space="preserve">, then Parent shall pay to the Company the Company Termination Fee, by wire transfer of same day funds to an account designated by the Company, (x) in the case of a termination by Parent referred to in the foregoing clause (i) or (ii), prior (and as a condition) to such termination or (y) in the case of a termination by the Company described in the foregoing clause (i), within two (2) Business Days after such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(i) this Agreement is terminated by Parent or the Company pursuant to </w:t>
      </w:r>
      <w:r>
        <w:rPr>
          <w:rFonts w:ascii="Times New Roman" w:hAnsi="Times New Roman"/>
          <w:sz w:val="20"/>
          <w:u w:val="single"/>
        </w:rPr>
        <w:t>Section 9.1(d)</w:t>
      </w:r>
      <w:r>
        <w:rPr>
          <w:rFonts w:ascii="Times New Roman" w:hAnsi="Times New Roman"/>
          <w:sz w:val="20"/>
        </w:rPr>
        <w:t>, (ii) at any time after the date of this Agreement and prior to such termination, an Acquisition Proposal with respect to the Company shall have been publicly announced, disclosed or otherwise communicated to the Company Board (and shall not have been withdrawn) and (iii) within six (6) months after the date of such termination, the Company enters into a definitive agreement with respect to a Subsequent Transaction or consummates a Subsequent Transaction, then the Company shall pay to Parent, upon the earlier of such entry into a definitive agreement and/or the consummation of a Subsequent Transaction, a nonrefundable fee in an amount equal to $15,000,000 (the “</w:t>
      </w:r>
      <w:r>
        <w:rPr>
          <w:rFonts w:ascii="Times New Roman" w:hAnsi="Times New Roman"/>
          <w:sz w:val="20"/>
          <w:u w:val="single"/>
        </w:rPr>
        <w:t>Parent Termination Fee</w:t>
      </w:r>
      <w:r>
        <w:rPr>
          <w:rFonts w:ascii="Times New Roman" w:hAnsi="Times New Roman"/>
          <w:sz w:val="20"/>
        </w:rPr>
        <w:t xml:space="preserve">”), by wire transfer of same-day funds to an account designated by Parent. </w:t>
      </w:r>
    </w:p>
    <w:p>
      <w:pPr>
        <w:pStyle w:val="TextBody"/>
        <w:bidi w:val="0"/>
        <w:spacing w:before="120" w:after="0"/>
        <w:jc w:val="left"/>
        <w:rPr>
          <w:rFonts w:ascii="Times New Roman" w:hAnsi="Times New Roman"/>
          <w:sz w:val="20"/>
        </w:rPr>
      </w:pPr>
      <w:r>
        <w:rPr>
          <w:rFonts w:ascii="Times New Roman" w:hAnsi="Times New Roman"/>
          <w:sz w:val="20"/>
        </w:rPr>
        <w:t xml:space="preserve">(e) If this Agreement is terminated (i) by Parent pursuant to </w:t>
      </w:r>
      <w:r>
        <w:rPr>
          <w:rFonts w:ascii="Times New Roman" w:hAnsi="Times New Roman"/>
          <w:sz w:val="20"/>
          <w:u w:val="single"/>
        </w:rPr>
        <w:t>Section 9.1(g)</w:t>
      </w:r>
      <w:r>
        <w:rPr>
          <w:rFonts w:ascii="Times New Roman" w:hAnsi="Times New Roman"/>
          <w:sz w:val="20"/>
        </w:rPr>
        <w:t xml:space="preserve"> (or by the Company in circumstances in which Parent has the right to terminate this Agreement pursuant </w:t>
      </w:r>
      <w:r>
        <w:rPr>
          <w:rFonts w:ascii="Times New Roman" w:hAnsi="Times New Roman"/>
          <w:sz w:val="20"/>
          <w:u w:val="single"/>
        </w:rPr>
        <w:t>Section 9.1(g)</w:t>
      </w:r>
      <w:r>
        <w:rPr>
          <w:rFonts w:ascii="Times New Roman" w:hAnsi="Times New Roman"/>
          <w:sz w:val="20"/>
        </w:rPr>
        <w:t xml:space="preserve">) or (ii) by the Company pursuant to </w:t>
      </w:r>
      <w:r>
        <w:rPr>
          <w:rFonts w:ascii="Times New Roman" w:hAnsi="Times New Roman"/>
          <w:sz w:val="20"/>
          <w:u w:val="single"/>
        </w:rPr>
        <w:t>Section 9.1(k)</w:t>
      </w:r>
      <w:r>
        <w:rPr>
          <w:rFonts w:ascii="Times New Roman" w:hAnsi="Times New Roman"/>
          <w:sz w:val="20"/>
        </w:rPr>
        <w:t xml:space="preserve">, then the Company shall pay to Parent the Parent Termination Fee, by wire transfer of same day funds to an account designated by Parent, (x) in the case of a termination by the Company referred to in the foregoing clause (i) or (ii), prior (and as a condition) to such termination or (y) in the case of a termination by Parent described in the foregoing clause (i), within two (2) Business Days after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(f) If either party fails to pay when due any amount payable by it under this </w:t>
      </w:r>
      <w:r>
        <w:rPr>
          <w:rFonts w:ascii="Times New Roman" w:hAnsi="Times New Roman"/>
          <w:sz w:val="20"/>
          <w:u w:val="single"/>
        </w:rPr>
        <w:t>Section 9.3</w:t>
      </w:r>
      <w:r>
        <w:rPr>
          <w:rFonts w:ascii="Times New Roman" w:hAnsi="Times New Roman"/>
          <w:sz w:val="20"/>
        </w:rPr>
        <w:t xml:space="preserve">, then (i) such party shall reimburse the other party for reasonable costs and expenses (including reasonable fees and disbursements of counsel) incurred in connection with the collection of such overdue amount and the enforcement by the other party of its rights under this </w:t>
      </w:r>
      <w:r>
        <w:rPr>
          <w:rFonts w:ascii="Times New Roman" w:hAnsi="Times New Roman"/>
          <w:sz w:val="20"/>
          <w:u w:val="single"/>
        </w:rPr>
        <w:t>Section 9.3</w:t>
      </w:r>
      <w:r>
        <w:rPr>
          <w:rFonts w:ascii="Times New Roman" w:hAnsi="Times New Roman"/>
          <w:sz w:val="20"/>
        </w:rPr>
        <w:t xml:space="preserve">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announced by Bank of America or any successor thereto) in effect on the date such overdue amount was originally required to be paid plus three percent. </w:t>
      </w:r>
    </w:p>
    <w:p>
      <w:pPr>
        <w:pStyle w:val="TextBody"/>
        <w:bidi w:val="0"/>
        <w:spacing w:before="120" w:after="0"/>
        <w:jc w:val="left"/>
        <w:rPr>
          <w:rFonts w:ascii="Times New Roman" w:hAnsi="Times New Roman"/>
          <w:sz w:val="20"/>
        </w:rPr>
      </w:pPr>
      <w:r>
        <w:rPr>
          <w:rFonts w:ascii="Times New Roman" w:hAnsi="Times New Roman"/>
          <w:sz w:val="20"/>
        </w:rPr>
        <w:t xml:space="preserve">(g) The parties agree that, subject to </w:t>
      </w:r>
      <w:r>
        <w:rPr>
          <w:rFonts w:ascii="Times New Roman" w:hAnsi="Times New Roman"/>
          <w:sz w:val="20"/>
          <w:u w:val="single"/>
        </w:rPr>
        <w:t>Section 9.2</w:t>
      </w:r>
      <w:r>
        <w:rPr>
          <w:rFonts w:ascii="Times New Roman" w:hAnsi="Times New Roman"/>
          <w:sz w:val="20"/>
        </w:rPr>
        <w:t xml:space="preserve">, the payment of fees and expenses set forth in this </w:t>
      </w:r>
      <w:r>
        <w:rPr>
          <w:rFonts w:ascii="Times New Roman" w:hAnsi="Times New Roman"/>
          <w:sz w:val="20"/>
          <w:u w:val="single"/>
        </w:rPr>
        <w:t>Section 9.3</w:t>
      </w:r>
      <w:r>
        <w:rPr>
          <w:rFonts w:ascii="Times New Roman" w:hAnsi="Times New Roman"/>
          <w:sz w:val="20"/>
        </w:rPr>
        <w:t xml:space="preserve"> shall be the sole and exclusive remedy of each party following a termination of this Agreement under the circumstances described in this </w:t>
      </w:r>
      <w:r>
        <w:rPr>
          <w:rFonts w:ascii="Times New Roman" w:hAnsi="Times New Roman"/>
          <w:sz w:val="20"/>
          <w:u w:val="single"/>
        </w:rPr>
        <w:t>Section 9.3</w:t>
      </w:r>
      <w:r>
        <w:rPr>
          <w:rFonts w:ascii="Times New Roman" w:hAnsi="Times New Roman"/>
          <w:sz w:val="20"/>
        </w:rPr>
        <w:t xml:space="preserve">, it being understood that in no event shall either Parent or the Company be required to pay the individual fees, damages or expense reimbursements payable pursuant to this </w:t>
      </w:r>
      <w:r>
        <w:rPr>
          <w:rFonts w:ascii="Times New Roman" w:hAnsi="Times New Roman"/>
          <w:sz w:val="20"/>
          <w:u w:val="single"/>
        </w:rPr>
        <w:t>Section 9.3</w:t>
      </w:r>
      <w:r>
        <w:rPr>
          <w:rFonts w:ascii="Times New Roman" w:hAnsi="Times New Roman"/>
          <w:sz w:val="20"/>
        </w:rPr>
        <w:t xml:space="preserve"> on more than one occasion. Subject to </w:t>
      </w:r>
      <w:r>
        <w:rPr>
          <w:rFonts w:ascii="Times New Roman" w:hAnsi="Times New Roman"/>
          <w:sz w:val="20"/>
          <w:u w:val="single"/>
        </w:rPr>
        <w:t>Section 9.2</w:t>
      </w:r>
      <w:r>
        <w:rPr>
          <w:rFonts w:ascii="Times New Roman" w:hAnsi="Times New Roman"/>
          <w:sz w:val="20"/>
        </w:rPr>
        <w:t xml:space="preserve">, following the payment of the fees and expenses set forth in this </w:t>
      </w:r>
      <w:r>
        <w:rPr>
          <w:rFonts w:ascii="Times New Roman" w:hAnsi="Times New Roman"/>
          <w:sz w:val="20"/>
          <w:u w:val="single"/>
        </w:rPr>
        <w:t>Section 9.3</w:t>
      </w:r>
      <w:r>
        <w:rPr>
          <w:rFonts w:ascii="Times New Roman" w:hAnsi="Times New Roman"/>
          <w:sz w:val="20"/>
        </w:rPr>
        <w:t xml:space="preserve"> by a party, (i) such party shall have no further liability to the other party in connection with or arising out of this Agreement or the termination thereof, any breach of this Agreement by the other party giving rise to such termination, or the failure of the transactions contemplated hereby to be consummated, (ii) no other party or their respective Affiliates shall be entitled to bring or maintain any other claim, action or proceeding against such party or seek to obtain any recovery, judgment or damages of any kind against such party (or any partner, member, stockholder, director, officer, employee, Subsidiary, Affiliate, agent or other Representative of such party) in connection with or arising out of this Agreement or the termination thereof, any breach by such party giving rise to such termination or the failure of the transactions contemplated hereby to be consummated and (iii) all other parties and their respective Affiliates shall be precluded from any other remedy against such party and its Affiliates, at law or in equity or otherwise, in connection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or arising out of this Agreement or the termination thereof, any breach by such party giving rise to such termination or the failure of the transactions contemplated hereby to be consummated. Each of the parties acknowledges that (x) the agreements contained in this </w:t>
      </w:r>
      <w:r>
        <w:rPr>
          <w:rFonts w:ascii="Times New Roman" w:hAnsi="Times New Roman"/>
          <w:sz w:val="20"/>
          <w:u w:val="single"/>
        </w:rPr>
        <w:t>Section 9.3</w:t>
      </w:r>
      <w:r>
        <w:rPr>
          <w:rFonts w:ascii="Times New Roman" w:hAnsi="Times New Roman"/>
          <w:sz w:val="20"/>
        </w:rPr>
        <w:t xml:space="preserve"> are an integral part of the transactions contemplated hereby, (y) without these agreements, the parties would not enter into this Agreement and (z) any amount payable pursuant to this </w:t>
      </w:r>
      <w:r>
        <w:rPr>
          <w:rFonts w:ascii="Times New Roman" w:hAnsi="Times New Roman"/>
          <w:sz w:val="20"/>
          <w:u w:val="single"/>
        </w:rPr>
        <w:t>Section 9.3</w:t>
      </w:r>
      <w:r>
        <w:rPr>
          <w:rFonts w:ascii="Times New Roman" w:hAnsi="Times New Roman"/>
          <w:sz w:val="20"/>
        </w:rPr>
        <w:t xml:space="preserve"> is not a penalty, but rather is liquidated damages in a reasonable amount that will compensate the parties in the circumstances in which such amount is payable;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w:t>
      </w:r>
      <w:r>
        <w:rPr>
          <w:rFonts w:ascii="Times New Roman" w:hAnsi="Times New Roman"/>
          <w:sz w:val="20"/>
          <w:u w:val="single"/>
        </w:rPr>
        <w:t>Section 9.3(g)</w:t>
      </w:r>
      <w:r>
        <w:rPr>
          <w:rFonts w:ascii="Times New Roman" w:hAnsi="Times New Roman"/>
          <w:sz w:val="20"/>
        </w:rPr>
        <w:t xml:space="preserve"> shall limit the rights of the parties under </w:t>
      </w:r>
      <w:r>
        <w:rPr>
          <w:rFonts w:ascii="Times New Roman" w:hAnsi="Times New Roman"/>
          <w:sz w:val="20"/>
          <w:u w:val="single"/>
        </w:rPr>
        <w:t>Section 10.3</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GENERAL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Non-survival of Representations and Warranties</w:t>
      </w:r>
      <w:r>
        <w:rPr>
          <w:rFonts w:ascii="Times New Roman" w:hAnsi="Times New Roman"/>
          <w:sz w:val="20"/>
        </w:rPr>
        <w:t xml:space="preserve">. None of the representations, warranties, covenants or agreements in this Agreement or in any instrument delivered pursuant to this Agreement shall survive the First Effective Time, other than those covenants or agreements of the parties which by their terms apply, or are to be performed in whole or in part, after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Amendment or Supplement</w:t>
      </w:r>
      <w:r>
        <w:rPr>
          <w:rFonts w:ascii="Times New Roman" w:hAnsi="Times New Roman"/>
          <w:sz w:val="20"/>
        </w:rPr>
        <w:t xml:space="preserve">. This Agreement may be amended, modified or supplemented by the parties by action taken or authorized by their respective Boards of Directors at any time, whether before or after Company Stockholder Approval or the Parent Stockholder Approval has been obtained;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the Company Stockholder Approval or the Parent Stockholder Approval has been obtained, no amendment shall be made that pursuant to applicable Law requires further approval or adoption by the stockholders of the Company or Parent, as applicable, without such further approval or adoption. This Agreement may not be amended, modified or supplemented in any manner, whether by course of conduct or otherwise, except by an instrument in writing specifically designated as an amendment hereto, signed on behalf of each of the parties in interest at the time of the amendment.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Waiver</w:t>
      </w:r>
      <w:r>
        <w:rPr>
          <w:rFonts w:ascii="Times New Roman" w:hAnsi="Times New Roman"/>
          <w:sz w:val="20"/>
        </w:rPr>
        <w:t xml:space="preserve">. The parties may, by action taken or authorized by their respective Boards of Directors, to the extent permitted by applicable Law, waive compliance with any of the agreements or conditions of the other parties contained herein;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the Company Stockholder Approval or the Parent Stockholder Approval has been obtained, no waiver may be made that pursuant to applicable Law requires further approval or adoption by the stockholders of the Company or Parent, as applicable, without such further approval or adoption. Any agreement on the part of a party to any such waiver shall be valid only if set forth in a written instrument executed and delivered by a duly authorized officer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which they would otherwise have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Fees and Expenses</w:t>
      </w:r>
      <w:r>
        <w:rPr>
          <w:rFonts w:ascii="Times New Roman" w:hAnsi="Times New Roman"/>
          <w:sz w:val="20"/>
        </w:rPr>
        <w:t xml:space="preserve">. Except as otherwise set forth in this Agreement, all fees and expenses incurred in connection with this Agreement, the Merger and the other transactions contemplated hereby shall be paid by the party incurring such fees or expenses, except that the expenses incurred in connection with the engagement of an exchange agent and all filing and other fees paid to the SEC in connection with the Merger and the transactions contemplated hereby, shall be borne by Parent and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duly given (a) on the date of delivery if delivered personally, or if by e-mail, upon written confirmation of receipt by e-mail or otherwise, (b) on the first (1st) Business Day following the date of dispatch if delivered utilizing a next-day service by a recognized next-day courier or (c) on the earlier of confirmed receipt or the fifth (5th)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Parent or Merger Subs,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Fulcrum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26 Landsdowne Street </w:t>
      </w:r>
    </w:p>
    <w:p>
      <w:pPr>
        <w:pStyle w:val="TextBody"/>
        <w:bidi w:val="0"/>
        <w:spacing w:before="0" w:after="0"/>
        <w:jc w:val="left"/>
        <w:rPr>
          <w:rFonts w:ascii="Times New Roman" w:hAnsi="Times New Roman"/>
          <w:sz w:val="20"/>
        </w:rPr>
      </w:pPr>
      <w:r>
        <w:rPr>
          <w:rFonts w:ascii="Times New Roman" w:hAnsi="Times New Roman"/>
          <w:sz w:val="20"/>
        </w:rPr>
        <w:t xml:space="preserve">Cambridge, MA 02139 </w:t>
      </w:r>
    </w:p>
    <w:p>
      <w:pPr>
        <w:pStyle w:val="TextBody"/>
        <w:bidi w:val="0"/>
        <w:spacing w:before="0" w:after="0"/>
        <w:jc w:val="left"/>
        <w:rPr>
          <w:rFonts w:ascii="Times New Roman" w:hAnsi="Times New Roman"/>
          <w:sz w:val="20"/>
        </w:rPr>
      </w:pPr>
      <w:r>
        <w:rPr>
          <w:rFonts w:ascii="Times New Roman" w:hAnsi="Times New Roman"/>
          <w:sz w:val="20"/>
        </w:rPr>
        <w:t xml:space="preserve">Attention:  Alex Sapir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Goodwin Procter LLP </w:t>
      </w:r>
    </w:p>
    <w:p>
      <w:pPr>
        <w:pStyle w:val="TextBody"/>
        <w:bidi w:val="0"/>
        <w:spacing w:before="0" w:after="0"/>
        <w:jc w:val="left"/>
        <w:rPr>
          <w:rFonts w:ascii="Times New Roman" w:hAnsi="Times New Roman"/>
          <w:sz w:val="20"/>
        </w:rPr>
      </w:pPr>
      <w:r>
        <w:rPr>
          <w:rFonts w:ascii="Times New Roman" w:hAnsi="Times New Roman"/>
          <w:sz w:val="20"/>
        </w:rPr>
        <w:t xml:space="preserve">100 Northern Avenue </w:t>
      </w:r>
    </w:p>
    <w:p>
      <w:pPr>
        <w:pStyle w:val="TextBody"/>
        <w:bidi w:val="0"/>
        <w:spacing w:before="0" w:after="0"/>
        <w:jc w:val="left"/>
        <w:rPr>
          <w:rFonts w:ascii="Times New Roman" w:hAnsi="Times New Roman"/>
          <w:sz w:val="20"/>
        </w:rPr>
      </w:pPr>
      <w:r>
        <w:rPr>
          <w:rFonts w:ascii="Times New Roman" w:hAnsi="Times New Roman"/>
          <w:sz w:val="20"/>
        </w:rPr>
        <w:t xml:space="preserve">Boston, MA 02210 </w:t>
      </w:r>
    </w:p>
    <w:p>
      <w:pPr>
        <w:pStyle w:val="TextBody"/>
        <w:bidi w:val="0"/>
        <w:spacing w:before="0" w:after="0"/>
        <w:jc w:val="left"/>
        <w:rPr>
          <w:rFonts w:ascii="Times New Roman" w:hAnsi="Times New Roman"/>
          <w:sz w:val="20"/>
        </w:rPr>
      </w:pPr>
      <w:r>
        <w:rPr>
          <w:rFonts w:ascii="Times New Roman" w:hAnsi="Times New Roman"/>
          <w:sz w:val="20"/>
        </w:rPr>
        <w:t xml:space="preserve">Attention:  Mitchell S. Bloom </w:t>
      </w:r>
    </w:p>
    <w:p>
      <w:pPr>
        <w:pStyle w:val="TextBody"/>
        <w:bidi w:val="0"/>
        <w:spacing w:before="0" w:after="0"/>
        <w:jc w:val="left"/>
        <w:rPr/>
      </w:pPr>
      <w:r>
        <w:rPr/>
        <w:t>      </w:t>
      </w:r>
      <w:r>
        <w:rPr>
          <w:rFonts w:ascii="Times New Roman" w:hAnsi="Times New Roman"/>
          <w:sz w:val="20"/>
        </w:rPr>
        <w:t xml:space="preserve">Tevia K. Pollard </w:t>
      </w:r>
    </w:p>
    <w:p>
      <w:pPr>
        <w:pStyle w:val="TextBody"/>
        <w:bidi w:val="0"/>
        <w:spacing w:before="0" w:after="0"/>
        <w:jc w:val="left"/>
        <w:rPr/>
      </w:pPr>
      <w:r>
        <w:rPr/>
        <w:t>      </w:t>
      </w:r>
      <w:r>
        <w:rPr>
          <w:rFonts w:ascii="Times New Roman" w:hAnsi="Times New Roman"/>
          <w:sz w:val="20"/>
        </w:rPr>
        <w:t xml:space="preserve">Marianne Sarrazin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Company,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Slate Medicines, Inc. </w:t>
      </w:r>
    </w:p>
    <w:p>
      <w:pPr>
        <w:pStyle w:val="TextBody"/>
        <w:bidi w:val="0"/>
        <w:spacing w:before="0" w:after="0"/>
        <w:jc w:val="left"/>
        <w:rPr>
          <w:rFonts w:ascii="Times New Roman" w:hAnsi="Times New Roman"/>
          <w:sz w:val="20"/>
        </w:rPr>
      </w:pPr>
      <w:r>
        <w:rPr>
          <w:rFonts w:ascii="Times New Roman" w:hAnsi="Times New Roman"/>
          <w:sz w:val="20"/>
        </w:rPr>
        <w:t xml:space="preserve">4114 Center at North Hills, Suite 250 </w:t>
      </w:r>
    </w:p>
    <w:p>
      <w:pPr>
        <w:pStyle w:val="TextBody"/>
        <w:bidi w:val="0"/>
        <w:spacing w:before="0" w:after="0"/>
        <w:jc w:val="left"/>
        <w:rPr>
          <w:rFonts w:ascii="Times New Roman" w:hAnsi="Times New Roman"/>
          <w:sz w:val="20"/>
        </w:rPr>
      </w:pPr>
      <w:r>
        <w:rPr>
          <w:rFonts w:ascii="Times New Roman" w:hAnsi="Times New Roman"/>
          <w:sz w:val="20"/>
        </w:rPr>
        <w:t xml:space="preserve">Raleigh, NC 27609 </w:t>
      </w:r>
    </w:p>
    <w:p>
      <w:pPr>
        <w:pStyle w:val="TextBody"/>
        <w:bidi w:val="0"/>
        <w:spacing w:before="0" w:after="0"/>
        <w:jc w:val="left"/>
        <w:rPr>
          <w:rFonts w:ascii="Times New Roman" w:hAnsi="Times New Roman"/>
          <w:sz w:val="20"/>
        </w:rPr>
      </w:pPr>
      <w:r>
        <w:rPr>
          <w:rFonts w:ascii="Times New Roman" w:hAnsi="Times New Roman"/>
          <w:sz w:val="20"/>
        </w:rPr>
        <w:t xml:space="preserve">Attention: Legal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500 Boylston Street </w:t>
      </w:r>
    </w:p>
    <w:p>
      <w:pPr>
        <w:pStyle w:val="TextBody"/>
        <w:bidi w:val="0"/>
        <w:spacing w:before="0" w:after="0"/>
        <w:jc w:val="left"/>
        <w:rPr>
          <w:rFonts w:ascii="Times New Roman" w:hAnsi="Times New Roman"/>
          <w:sz w:val="20"/>
        </w:rPr>
      </w:pPr>
      <w:r>
        <w:rPr>
          <w:rFonts w:ascii="Times New Roman" w:hAnsi="Times New Roman"/>
          <w:sz w:val="20"/>
        </w:rPr>
        <w:t xml:space="preserve">Boston, MA 02116 </w:t>
      </w:r>
    </w:p>
    <w:p>
      <w:pPr>
        <w:pStyle w:val="TextBody"/>
        <w:bidi w:val="0"/>
        <w:spacing w:before="0" w:after="0"/>
        <w:jc w:val="left"/>
        <w:rPr>
          <w:rFonts w:ascii="Times New Roman" w:hAnsi="Times New Roman"/>
          <w:sz w:val="20"/>
        </w:rPr>
      </w:pPr>
      <w:r>
        <w:rPr>
          <w:rFonts w:ascii="Times New Roman" w:hAnsi="Times New Roman"/>
          <w:sz w:val="20"/>
        </w:rPr>
        <w:t xml:space="preserve">Attention:  Eric Blanchard </w:t>
      </w:r>
    </w:p>
    <w:p>
      <w:pPr>
        <w:pStyle w:val="TextBody"/>
        <w:bidi w:val="0"/>
        <w:spacing w:before="0" w:after="0"/>
        <w:jc w:val="left"/>
        <w:rPr/>
      </w:pPr>
      <w:r>
        <w:rPr/>
        <w:t>      </w:t>
      </w:r>
      <w:r>
        <w:rPr>
          <w:rFonts w:ascii="Times New Roman" w:hAnsi="Times New Roman"/>
          <w:sz w:val="20"/>
        </w:rPr>
        <w:t xml:space="preserve">Miguel Vega </w:t>
      </w:r>
    </w:p>
    <w:p>
      <w:pPr>
        <w:pStyle w:val="TextBody"/>
        <w:bidi w:val="0"/>
        <w:spacing w:before="0" w:after="0"/>
        <w:jc w:val="left"/>
        <w:rPr/>
      </w:pPr>
      <w:r>
        <w:rPr/>
        <w:t>      </w:t>
      </w:r>
      <w:r>
        <w:rPr>
          <w:rFonts w:ascii="Times New Roman" w:hAnsi="Times New Roman"/>
          <w:sz w:val="20"/>
        </w:rPr>
        <w:t xml:space="preserve">Lindsey O. Crow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Entire Agreement</w:t>
      </w:r>
      <w:r>
        <w:rPr>
          <w:rFonts w:ascii="Times New Roman" w:hAnsi="Times New Roman"/>
          <w:sz w:val="20"/>
        </w:rPr>
        <w:t xml:space="preserve">. This Agreement (including the Exhibits hereto), the Company Disclosure Letter, the Parent Disclosure Letter, the Subscription Agreements, and the Confidentiality Agreement constitute the entire agreement, and supersede all prior written agreements, arrangements, communications and understandings and all prior and contemporaneous oral agreements, arrangements, communications and understandings among the parties with respect to the subject matter hereof and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No Third Party Beneficiaries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Nothing in this Agreement, express or implied, is intended to or shall confer upon any Person other than the parties and their respective successors and permitted assigns any legal or equitable right, benefit or remedy of any nature under or by reason of this Agreement, except as provided in </w:t>
      </w:r>
      <w:r>
        <w:rPr>
          <w:rFonts w:ascii="Times New Roman" w:hAnsi="Times New Roman"/>
          <w:sz w:val="20"/>
          <w:u w:val="single"/>
        </w:rPr>
        <w:t>Section 7.5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The representations and warranties in this Agreement are the product of negotiations among the parties hereto and are for the sole benefit of the parties hereto. Any inaccuracies in such representations and warranties are subject to waiver by the parties hereto in accordance with </w:t>
      </w:r>
      <w:r>
        <w:rPr>
          <w:rFonts w:ascii="Times New Roman" w:hAnsi="Times New Roman"/>
          <w:sz w:val="20"/>
          <w:u w:val="single"/>
        </w:rPr>
        <w:t>Section 10.3</w:t>
      </w:r>
      <w:r>
        <w:rPr>
          <w:rFonts w:ascii="Times New Roman" w:hAnsi="Times New Roman"/>
          <w:sz w:val="20"/>
        </w:rPr>
        <w:t xml:space="preserve"> without notice or liability to any other Person. In some instances, the representations and warranties in this Agreement may represent an allocation among the parties hereto of risks associated with particular matters regardless of the knowledge of any of the parties hereto. Consequently, Persons other than the parties hereto may not rely upon the representations and warranties in this Agreement as characterizations of actual facts or circumstances as of the date of this Agreement or as of any other date. </w:t>
      </w:r>
    </w:p>
    <w:p>
      <w:pPr>
        <w:pStyle w:val="TextBody"/>
        <w:bidi w:val="0"/>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Governing Law</w:t>
      </w:r>
      <w:r>
        <w:rPr>
          <w:rFonts w:ascii="Times New Roman" w:hAnsi="Times New Roman"/>
          <w:sz w:val="20"/>
        </w:rPr>
        <w:t xml:space="preserve">. This Agreement and all disputes or controversies arising out of or relating to this Agreement or the transactions contemplated hereby shall be governed by, and construed in accordance with, the internal laws of the State of Delaware, without regard to the laws of any other jurisdiction that might be applied because of the conflicts of laws principles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Section 10.9 </w:t>
      </w:r>
      <w:r>
        <w:rPr>
          <w:rFonts w:ascii="Times New Roman" w:hAnsi="Times New Roman"/>
          <w:sz w:val="20"/>
          <w:u w:val="single"/>
        </w:rPr>
        <w:t>Submission to Jurisdiction</w:t>
      </w:r>
      <w:r>
        <w:rPr>
          <w:rFonts w:ascii="Times New Roman" w:hAnsi="Times New Roman"/>
          <w:sz w:val="20"/>
        </w:rPr>
        <w:t xml:space="preserve">. Each of the parties irrevocably agrees that any legal action or proceeding arising out of or relating to this Agreement brought by any party or its Affiliates against any other party or its Affiliates shall be brought and determined in the Court of Chancery of the State of Delaware; </w:t>
      </w:r>
      <w:r>
        <w:rPr>
          <w:rFonts w:ascii="Times New Roman" w:hAnsi="Times New Roman"/>
          <w:sz w:val="20"/>
          <w:u w:val="single"/>
        </w:rPr>
        <w:t>provided</w:t>
      </w:r>
      <w:r>
        <w:rPr>
          <w:rFonts w:ascii="Times New Roman" w:hAnsi="Times New Roman"/>
          <w:sz w:val="20"/>
        </w:rPr>
        <w:t xml:space="preserve">, that if jurisdiction is not then available in the Court of Chancery of the State of Delaware, then any such legal action or proceeding may be brought in any federal court located in the State of Delaware or any other Delaware state court. Each of the parties hereby irrevocably submits to the jurisdiction of the aforesaid courts for itself and with respect to its property, generally and unconditionally, with regard to any such action or proceeding arising out of or relating to this Agreement and the transactions contemplated hereby. Each of the parties agrees not to commence any action, suit or proceeding relating thereto except in the courts described above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as a defense, counterclaim or otherwise, in any action or proceeding arising out of or relating to this Agreement or the transactions contemplated hereby, (a) any claim that it is not personally subject to the jurisdiction of the courts in Delaware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or the subject matter hereof, may not be enforced in or by such courts. </w:t>
      </w:r>
    </w:p>
    <w:p>
      <w:pPr>
        <w:pStyle w:val="TextBody"/>
        <w:bidi w:val="0"/>
        <w:spacing w:before="240" w:after="0"/>
        <w:jc w:val="left"/>
        <w:rPr>
          <w:rFonts w:ascii="Times New Roman" w:hAnsi="Times New Roman"/>
          <w:sz w:val="20"/>
        </w:rPr>
      </w:pPr>
      <w:r>
        <w:rPr>
          <w:rFonts w:ascii="Times New Roman" w:hAnsi="Times New Roman"/>
          <w:sz w:val="20"/>
        </w:rPr>
        <w:t xml:space="preserve">Section 10.10 </w:t>
      </w:r>
      <w:r>
        <w:rPr>
          <w:rFonts w:ascii="Times New Roman" w:hAnsi="Times New Roman"/>
          <w:sz w:val="20"/>
          <w:u w:val="single"/>
        </w:rPr>
        <w:t>Assignment; Successors</w:t>
      </w:r>
      <w:r>
        <w:rPr>
          <w:rFonts w:ascii="Times New Roman" w:hAnsi="Times New Roman"/>
          <w:sz w:val="20"/>
        </w:rPr>
        <w:t xml:space="preserve">. Neither this Agreement nor any of the rights, interests or obligations under this Agreement may be assigned or delegated, in whole or in part, by operation of law or otherwise, by any party without the prior written consent of the other parties, and any such assignment without such prior written consent shall be null and void. Subject to the preceding sentence, this Agreement will be binding upon, inure to the benefit of, and be enforceable by, the parties and their respective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10.11 </w:t>
      </w:r>
      <w:r>
        <w:rPr>
          <w:rFonts w:ascii="Times New Roman" w:hAnsi="Times New Roman"/>
          <w:sz w:val="20"/>
          <w:u w:val="single"/>
        </w:rPr>
        <w:t>Specific Performance</w:t>
      </w:r>
      <w:r>
        <w:rPr>
          <w:rFonts w:ascii="Times New Roman" w:hAnsi="Times New Roman"/>
          <w:sz w:val="20"/>
        </w:rPr>
        <w:t xml:space="preserve">. The parties agree that irreparable damage would occur in the event that the parties hereto do not perform the provisions of this Agreement in accordance with its terms or otherwise breach such provisions. Accordingly, the parties acknowledge and agree that each party shall be entitled to an injunction, specific performance and other equitable relief to prevent breaches of this Agreement and to enforce specifically the terms and provisions hereof in the Court of Chancery of the State of Delaware, </w:t>
      </w:r>
      <w:r>
        <w:rPr>
          <w:rFonts w:ascii="Times New Roman" w:hAnsi="Times New Roman"/>
          <w:sz w:val="20"/>
          <w:u w:val="single"/>
        </w:rPr>
        <w:t>provided</w:t>
      </w:r>
      <w:r>
        <w:rPr>
          <w:rFonts w:ascii="Times New Roman" w:hAnsi="Times New Roman"/>
          <w:sz w:val="20"/>
        </w:rPr>
        <w:t xml:space="preserve">, that if jurisdiction is not then available in the Court of Chancery of the State of Delaware, then in any federal court located in the State of Delaware or any other Delaware state court, this being in addition to any other remedy to which such party is entitled at law or in equity. Each of the parties hereby further waives (a) any defense in any action for specific performance that a remedy at law would be adequate and (b) any requirement under any law to post security as a prerequisite to obtaining equitable relief. </w:t>
      </w:r>
    </w:p>
    <w:p>
      <w:pPr>
        <w:pStyle w:val="TextBody"/>
        <w:bidi w:val="0"/>
        <w:spacing w:before="240" w:after="0"/>
        <w:jc w:val="left"/>
        <w:rPr>
          <w:rFonts w:ascii="Times New Roman" w:hAnsi="Times New Roman"/>
          <w:sz w:val="20"/>
        </w:rPr>
      </w:pPr>
      <w:r>
        <w:rPr>
          <w:rFonts w:ascii="Times New Roman" w:hAnsi="Times New Roman"/>
          <w:sz w:val="20"/>
        </w:rPr>
        <w:t xml:space="preserve">Section 10.12 </w:t>
      </w:r>
      <w:r>
        <w:rPr>
          <w:rFonts w:ascii="Times New Roman" w:hAnsi="Times New Roman"/>
          <w:sz w:val="20"/>
          <w:u w:val="single"/>
        </w:rPr>
        <w:t>Severability</w:t>
      </w:r>
      <w:r>
        <w:rPr>
          <w:rFonts w:ascii="Times New Roman" w:hAnsi="Times New Roman"/>
          <w:sz w:val="20"/>
        </w:rPr>
        <w:t xml:space="preserve">.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10.13 </w:t>
      </w:r>
      <w:r>
        <w:rPr>
          <w:rFonts w:ascii="Times New Roman" w:hAnsi="Times New Roman"/>
          <w:sz w:val="20"/>
          <w:u w:val="single"/>
        </w:rPr>
        <w:t>Waiver of Jury Trial</w:t>
      </w:r>
      <w:r>
        <w:rPr>
          <w:rFonts w:ascii="Times New Roman" w:hAnsi="Times New Roman"/>
          <w:sz w:val="20"/>
        </w:rPr>
        <w:t xml:space="preserve">. EACH OF THE PARTIES TO THIS AGREEMENT HEREBY IRREVOCABLY WAIVES ALL RIGHT TO A TRIAL BY JURY IN ANY ACTION, PROCEEDING OR COUNTERCLAIM ARISING OUT OF OR RELATING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10.14 </w:t>
      </w:r>
      <w:r>
        <w:rPr>
          <w:rFonts w:ascii="Times New Roman" w:hAnsi="Times New Roman"/>
          <w:sz w:val="20"/>
          <w:u w:val="single"/>
        </w:rPr>
        <w:t>Counterparts</w:t>
      </w:r>
      <w:r>
        <w:rPr>
          <w:rFonts w:ascii="Times New Roman" w:hAnsi="Times New Roman"/>
          <w:sz w:val="20"/>
        </w:rPr>
        <w:t xml:space="preserve">. This Agreement may be executed in two or more counterparts, all of which shall be considered one and the same instrument and shall become effective when one or more counterparts have been signed by each of the parties and delivered to the other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10.15 </w:t>
      </w:r>
      <w:r>
        <w:rPr>
          <w:rFonts w:ascii="Times New Roman" w:hAnsi="Times New Roman"/>
          <w:sz w:val="20"/>
          <w:u w:val="single"/>
        </w:rPr>
        <w:t>Facsimile or .pdf Signature</w:t>
      </w:r>
      <w:r>
        <w:rPr>
          <w:rFonts w:ascii="Times New Roman" w:hAnsi="Times New Roman"/>
          <w:sz w:val="20"/>
        </w:rPr>
        <w:t xml:space="preserve">. This Agreement may be executed by facsimile or .pdf signature and a facsimile or .pdf signature shall constitute an original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10.16 </w:t>
      </w:r>
      <w:r>
        <w:rPr>
          <w:rFonts w:ascii="Times New Roman" w:hAnsi="Times New Roman"/>
          <w:sz w:val="20"/>
          <w:u w:val="single"/>
        </w:rPr>
        <w:t>No Presumption Against Drafting Party</w:t>
      </w:r>
      <w:r>
        <w:rPr>
          <w:rFonts w:ascii="Times New Roman" w:hAnsi="Times New Roman"/>
          <w:sz w:val="20"/>
        </w:rPr>
        <w:t xml:space="preserve">. Each of Parent, Merger Subs and the Company acknowledges that each party to this Agreement has been represented by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The remainder of this page is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executed as of the date first written above by their respective officers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FULCRUM THERAPEUTICS,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Alex Sapir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Alex C. Sapir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President and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FUSION MERGER SUB I,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Alex Sapir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Alex C. Sapir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FUSION MERGER SUB II, LLC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Alex Sapir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Alex C. Sapir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President and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SLATE MEDICINES,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Gregory Oakes</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Gregory Oakes</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Chief Executive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10.1 </w:t>
      </w:r>
    </w:p>
    <w:p>
      <w:pPr>
        <w:pStyle w:val="TextBody"/>
        <w:bidi w:val="0"/>
        <w:spacing w:before="240" w:after="0"/>
        <w:jc w:val="right"/>
        <w:rPr>
          <w:rFonts w:ascii="Times New Roman" w:hAnsi="Times New Roman"/>
          <w:b/>
          <w:sz w:val="20"/>
        </w:rPr>
      </w:pPr>
      <w:r>
        <w:rPr>
          <w:rFonts w:ascii="Times New Roman" w:hAnsi="Times New Roman"/>
          <w:b/>
          <w:sz w:val="20"/>
        </w:rPr>
        <w:t xml:space="preserve">CONFIDENTIAL </w:t>
      </w:r>
    </w:p>
    <w:p>
      <w:pPr>
        <w:pStyle w:val="TextBody"/>
        <w:bidi w:val="0"/>
        <w:spacing w:before="480" w:after="0"/>
        <w:jc w:val="center"/>
        <w:rPr>
          <w:rFonts w:ascii="Times New Roman" w:hAnsi="Times New Roman"/>
          <w:b/>
          <w:sz w:val="20"/>
        </w:rPr>
      </w:pPr>
      <w:r>
        <w:rPr>
          <w:rFonts w:ascii="Times New Roman" w:hAnsi="Times New Roman"/>
          <w:b/>
          <w:sz w:val="20"/>
        </w:rPr>
        <w:t xml:space="preserve">PARENT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 xml:space="preserve">SUPPORT AGREEMENT </w:t>
      </w:r>
      <w:r>
        <w:rPr>
          <w:rFonts w:ascii="Times New Roman" w:hAnsi="Times New Roman"/>
          <w:sz w:val="20"/>
        </w:rPr>
        <w:t>(this “</w:t>
      </w:r>
      <w:r>
        <w:rPr>
          <w:rFonts w:ascii="Times New Roman" w:hAnsi="Times New Roman"/>
          <w:b/>
          <w:i/>
          <w:sz w:val="20"/>
        </w:rPr>
        <w:t>Agreement</w:t>
      </w:r>
      <w:r>
        <w:rPr>
          <w:rFonts w:ascii="Times New Roman" w:hAnsi="Times New Roman"/>
          <w:sz w:val="20"/>
        </w:rPr>
        <w:t xml:space="preserve">”) is made as of August 16, 2026, by and between </w:t>
      </w:r>
      <w:r>
        <w:rPr>
          <w:rFonts w:ascii="Times New Roman" w:hAnsi="Times New Roman"/>
          <w:b/>
          <w:sz w:val="20"/>
        </w:rPr>
        <w:t>SLATE MEDICINES, INC.</w:t>
      </w:r>
      <w:r>
        <w:rPr>
          <w:rFonts w:ascii="Times New Roman" w:hAnsi="Times New Roman"/>
          <w:sz w:val="20"/>
        </w:rPr>
        <w:t>, a Delaware corporation (the “</w:t>
      </w:r>
      <w:r>
        <w:rPr>
          <w:rFonts w:ascii="Times New Roman" w:hAnsi="Times New Roman"/>
          <w:b/>
          <w:i/>
          <w:sz w:val="20"/>
        </w:rPr>
        <w:t>Company</w:t>
      </w:r>
      <w:r>
        <w:rPr>
          <w:rFonts w:ascii="Times New Roman" w:hAnsi="Times New Roman"/>
          <w:sz w:val="20"/>
        </w:rPr>
        <w:t xml:space="preserve">”), and the Person set forth on </w:t>
      </w:r>
      <w:r>
        <w:rPr>
          <w:rFonts w:ascii="Times New Roman" w:hAnsi="Times New Roman"/>
          <w:sz w:val="20"/>
          <w:u w:val="single"/>
        </w:rPr>
        <w:t>Schedule A</w:t>
      </w:r>
      <w:r>
        <w:rPr>
          <w:rFonts w:ascii="Times New Roman" w:hAnsi="Times New Roman"/>
          <w:sz w:val="20"/>
        </w:rPr>
        <w:t xml:space="preserve"> hereto (the “</w:t>
      </w:r>
      <w:r>
        <w:rPr>
          <w:rFonts w:ascii="Times New Roman" w:hAnsi="Times New Roman"/>
          <w:b/>
          <w:i/>
          <w:sz w:val="20"/>
        </w:rPr>
        <w:t>Stockholder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as of the date hereof, the Stockholder is the holder of the number of shares of common stock, par value $0.001 per share (the “</w:t>
      </w:r>
      <w:r>
        <w:rPr>
          <w:rFonts w:ascii="Times New Roman" w:hAnsi="Times New Roman"/>
          <w:b/>
          <w:i/>
          <w:sz w:val="20"/>
        </w:rPr>
        <w:t>Parent Shares</w:t>
      </w:r>
      <w:r>
        <w:rPr>
          <w:rFonts w:ascii="Times New Roman" w:hAnsi="Times New Roman"/>
          <w:sz w:val="20"/>
        </w:rPr>
        <w:t xml:space="preserve">”) and Parent Options or Parent Restricted Stock Unit Awards to acquire the number of Parent Shares, of </w:t>
      </w:r>
      <w:r>
        <w:rPr>
          <w:rFonts w:ascii="Times New Roman" w:hAnsi="Times New Roman"/>
          <w:b/>
          <w:sz w:val="20"/>
        </w:rPr>
        <w:t>FULCRUM THERAPEUTICS, INC.</w:t>
      </w:r>
      <w:r>
        <w:rPr>
          <w:rFonts w:ascii="Times New Roman" w:hAnsi="Times New Roman"/>
          <w:sz w:val="20"/>
        </w:rPr>
        <w:t>, a Delaware corporation (“</w:t>
      </w:r>
      <w:r>
        <w:rPr>
          <w:rFonts w:ascii="Times New Roman" w:hAnsi="Times New Roman"/>
          <w:b/>
          <w:i/>
          <w:sz w:val="20"/>
        </w:rPr>
        <w:t>Parent</w:t>
      </w:r>
      <w:r>
        <w:rPr>
          <w:rFonts w:ascii="Times New Roman" w:hAnsi="Times New Roman"/>
          <w:sz w:val="20"/>
        </w:rPr>
        <w:t xml:space="preserve">”), set forth opposite the Stockholder’s name on </w:t>
      </w:r>
      <w:r>
        <w:rPr>
          <w:rFonts w:ascii="Times New Roman" w:hAnsi="Times New Roman"/>
          <w:sz w:val="20"/>
          <w:u w:val="single"/>
        </w:rPr>
        <w:t>Schedule A</w:t>
      </w:r>
      <w:r>
        <w:rPr>
          <w:rFonts w:ascii="Times New Roman" w:hAnsi="Times New Roman"/>
          <w:sz w:val="20"/>
        </w:rPr>
        <w:t xml:space="preserve"> (all Parent Shares owned by the Stockholder, or hereafter issued pursuant to securities exercisable or convertible to or otherwise acquired, whether beneficially or of record, or owned by the Stockholder prior to the termination of this Agreement, as well as shares set forth on </w:t>
      </w:r>
      <w:r>
        <w:rPr>
          <w:rFonts w:ascii="Times New Roman" w:hAnsi="Times New Roman"/>
          <w:sz w:val="20"/>
          <w:u w:val="single"/>
        </w:rPr>
        <w:t>Schedule A</w:t>
      </w:r>
      <w:r>
        <w:rPr>
          <w:rFonts w:ascii="Times New Roman" w:hAnsi="Times New Roman"/>
          <w:sz w:val="20"/>
        </w:rPr>
        <w:t>, being referred to herein as the “</w:t>
      </w:r>
      <w:r>
        <w:rPr>
          <w:rFonts w:ascii="Times New Roman" w:hAnsi="Times New Roman"/>
          <w:b/>
          <w:i/>
          <w:sz w:val="20"/>
        </w:rPr>
        <w:t>Subject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Parent, </w:t>
      </w:r>
      <w:r>
        <w:rPr>
          <w:rFonts w:ascii="Times New Roman" w:hAnsi="Times New Roman"/>
          <w:b/>
          <w:sz w:val="20"/>
        </w:rPr>
        <w:t>FUSION MERGER SUB I, INC.</w:t>
      </w:r>
      <w:r>
        <w:rPr>
          <w:rFonts w:ascii="Times New Roman" w:hAnsi="Times New Roman"/>
          <w:sz w:val="20"/>
        </w:rPr>
        <w:t>, a Delaware corporation and wholly owned subsidiary of Parent (“</w:t>
      </w:r>
      <w:r>
        <w:rPr>
          <w:rFonts w:ascii="Times New Roman" w:hAnsi="Times New Roman"/>
          <w:b/>
          <w:i/>
          <w:sz w:val="20"/>
        </w:rPr>
        <w:t>First</w:t>
      </w:r>
      <w:r>
        <w:rPr>
          <w:rFonts w:ascii="Times New Roman" w:hAnsi="Times New Roman"/>
          <w:sz w:val="20"/>
        </w:rPr>
        <w:t xml:space="preserve"> </w:t>
      </w:r>
      <w:r>
        <w:rPr>
          <w:rFonts w:ascii="Times New Roman" w:hAnsi="Times New Roman"/>
          <w:b/>
          <w:i/>
          <w:sz w:val="20"/>
        </w:rPr>
        <w:t>Merger Sub</w:t>
      </w:r>
      <w:r>
        <w:rPr>
          <w:rFonts w:ascii="Times New Roman" w:hAnsi="Times New Roman"/>
          <w:sz w:val="20"/>
        </w:rPr>
        <w:t xml:space="preserve">”), and </w:t>
      </w:r>
      <w:r>
        <w:rPr>
          <w:rFonts w:ascii="Times New Roman" w:hAnsi="Times New Roman"/>
          <w:b/>
          <w:sz w:val="20"/>
        </w:rPr>
        <w:t>FUSION MERGER SUB II, LLC</w:t>
      </w:r>
      <w:r>
        <w:rPr>
          <w:rFonts w:ascii="Times New Roman" w:hAnsi="Times New Roman"/>
          <w:sz w:val="20"/>
        </w:rPr>
        <w:t>, a Delaware limited liability company and a wholly owned subsidiary of Parent (“</w:t>
      </w:r>
      <w:r>
        <w:rPr>
          <w:rFonts w:ascii="Times New Roman" w:hAnsi="Times New Roman"/>
          <w:b/>
          <w:i/>
          <w:sz w:val="20"/>
        </w:rPr>
        <w:t>Second Merger Sub</w:t>
      </w:r>
      <w:r>
        <w:rPr>
          <w:rFonts w:ascii="Times New Roman" w:hAnsi="Times New Roman"/>
          <w:sz w:val="20"/>
        </w:rPr>
        <w:t>,” and together with First Merger Sub, “</w:t>
      </w:r>
      <w:r>
        <w:rPr>
          <w:rFonts w:ascii="Times New Roman" w:hAnsi="Times New Roman"/>
          <w:b/>
          <w:i/>
          <w:sz w:val="20"/>
        </w:rPr>
        <w:t>Merger Subs</w:t>
      </w:r>
      <w:r>
        <w:rPr>
          <w:rFonts w:ascii="Times New Roman" w:hAnsi="Times New Roman"/>
          <w:sz w:val="20"/>
        </w:rPr>
        <w:t>”) propose to enter into an Agreement and Plan of Merger, dated as of the date hereof (the “</w:t>
      </w:r>
      <w:r>
        <w:rPr>
          <w:rFonts w:ascii="Times New Roman" w:hAnsi="Times New Roman"/>
          <w:b/>
          <w:i/>
          <w:sz w:val="20"/>
        </w:rPr>
        <w:t>Merger Agreement</w:t>
      </w:r>
      <w:r>
        <w:rPr>
          <w:rFonts w:ascii="Times New Roman" w:hAnsi="Times New Roman"/>
          <w:sz w:val="20"/>
        </w:rPr>
        <w:t>”), which provides, among other things (i) First Merger Sub will merge with and into the Company (the “</w:t>
      </w:r>
      <w:r>
        <w:rPr>
          <w:rFonts w:ascii="Times New Roman" w:hAnsi="Times New Roman"/>
          <w:b/>
          <w:i/>
          <w:sz w:val="20"/>
        </w:rPr>
        <w:t>First Merger</w:t>
      </w:r>
      <w:r>
        <w:rPr>
          <w:rFonts w:ascii="Times New Roman" w:hAnsi="Times New Roman"/>
          <w:sz w:val="20"/>
        </w:rPr>
        <w:t>”), with the Company surviving the First Merger as the surviving corporation and a wholly owned subsidiary of Parent, and (ii) the Company will merge with and into Second Merger Sub (the “</w:t>
      </w:r>
      <w:r>
        <w:rPr>
          <w:rFonts w:ascii="Times New Roman" w:hAnsi="Times New Roman"/>
          <w:b/>
          <w:i/>
          <w:sz w:val="20"/>
        </w:rPr>
        <w:t>Second Merger</w:t>
      </w:r>
      <w:r>
        <w:rPr>
          <w:rFonts w:ascii="Times New Roman" w:hAnsi="Times New Roman"/>
          <w:sz w:val="20"/>
        </w:rPr>
        <w:t>” and, together with the First Merger, the “</w:t>
      </w:r>
      <w:r>
        <w:rPr>
          <w:rFonts w:ascii="Times New Roman" w:hAnsi="Times New Roman"/>
          <w:b/>
          <w:i/>
          <w:sz w:val="20"/>
        </w:rPr>
        <w:t>Merger</w:t>
      </w:r>
      <w:r>
        <w:rPr>
          <w:rFonts w:ascii="Times New Roman" w:hAnsi="Times New Roman"/>
          <w:sz w:val="20"/>
        </w:rPr>
        <w:t xml:space="preserve">”), with Second Merger Sub surviving the Second Merger as the surviving corporation, in each case, upon the terms and subject to the conditions set forth in the Merger Agreement (capitalized terms used but not otherwise defined herein shall have the respective meanings ascribed to such terms in the Merger Agreement);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a condition to its willingness to enter into the Merger Agreement, the Company has required that the Stockholder, and as an inducement and in consideration therefor, the Stockholder (in the Stockholder’s capacity as a holder of the Subject Shares) has agreed to, enter into this Agreement.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VOTING AGREEMENT; GRANT OF PROXY </w:t>
      </w:r>
    </w:p>
    <w:p>
      <w:pPr>
        <w:pStyle w:val="TextBody"/>
        <w:bidi w:val="0"/>
        <w:spacing w:before="240" w:after="0"/>
        <w:jc w:val="left"/>
        <w:rPr>
          <w:rFonts w:ascii="Times New Roman" w:hAnsi="Times New Roman"/>
          <w:sz w:val="20"/>
        </w:rPr>
      </w:pPr>
      <w:r>
        <w:rPr>
          <w:rFonts w:ascii="Times New Roman" w:hAnsi="Times New Roman"/>
          <w:sz w:val="20"/>
        </w:rPr>
        <w:t xml:space="preserve">The Stockholder hereby covenants and agrees that: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u w:val="single"/>
        </w:rPr>
        <w:t>Voting of Subject Shares</w:t>
      </w:r>
      <w:r>
        <w:rPr>
          <w:rFonts w:ascii="Times New Roman" w:hAnsi="Times New Roman"/>
          <w:sz w:val="20"/>
        </w:rPr>
        <w:t>. From and after the date hereof, at every meeting of the holders of Parent Shares (the “</w:t>
      </w:r>
      <w:r>
        <w:rPr>
          <w:rFonts w:ascii="Times New Roman" w:hAnsi="Times New Roman"/>
          <w:b/>
          <w:i/>
          <w:sz w:val="20"/>
        </w:rPr>
        <w:t>Parent Stockholders</w:t>
      </w:r>
      <w:r>
        <w:rPr>
          <w:rFonts w:ascii="Times New Roman" w:hAnsi="Times New Roman"/>
          <w:sz w:val="20"/>
        </w:rPr>
        <w:t xml:space="preserve">”), however called, and at every adjournment or postponement thereof (or pursuant to a written consent if the Parent Stockholders act by written consent in lieu of a meeting, including in connection with the Parent Stockholder Approval), the Stockholder shall, or shall cause the holder of record on any applicable record date to, be present (in person or by proxy) and to vote or cause to be voted the Subject Shares, or to execute and deliver a written consent with respect to the Subject Shares, (a) in favor of adopting the Merger Agreement and approving the Merger and the other transactions contemplated by the Merger Agreement, including, but not limited to the Nasdaq Issuance Proposal and the Reverse Stock Split Proposal, (b) against approval of any proposal made in opposition to, or in competition with, the Merger Agreement or the consummation of the Merger, and (c) against any Acquisition Proposal. Except as permitted under clauses (A) through (K) of </w:t>
      </w:r>
      <w:r>
        <w:rPr>
          <w:rFonts w:ascii="Times New Roman" w:hAnsi="Times New Roman"/>
          <w:sz w:val="20"/>
          <w:u w:val="single"/>
        </w:rPr>
        <w:t>Section 1.2</w:t>
      </w:r>
      <w:r>
        <w:rPr>
          <w:rFonts w:ascii="Times New Roman" w:hAnsi="Times New Roman"/>
          <w:sz w:val="20"/>
        </w:rPr>
        <w:t xml:space="preserve"> below, the Stockholder shall retain at all times the right to vote the Subject Shares in the Stockholder’s sole discretion and without any other limitation on those matters other than those set forth in this </w:t>
      </w:r>
      <w:r>
        <w:rPr>
          <w:rFonts w:ascii="Times New Roman" w:hAnsi="Times New Roman"/>
          <w:sz w:val="20"/>
          <w:u w:val="single"/>
        </w:rPr>
        <w:t>Section 1.1</w:t>
      </w:r>
      <w:r>
        <w:rPr>
          <w:rFonts w:ascii="Times New Roman" w:hAnsi="Times New Roman"/>
          <w:sz w:val="20"/>
        </w:rPr>
        <w:t xml:space="preserve"> that are at any time or from time to time presented for consideration to the Company Stockholders.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u w:val="single"/>
        </w:rPr>
        <w:t>No Inconsistent Arrangements</w:t>
      </w:r>
      <w:r>
        <w:rPr>
          <w:rFonts w:ascii="Times New Roman" w:hAnsi="Times New Roman"/>
          <w:sz w:val="20"/>
        </w:rPr>
        <w:t>. Except as provided hereunder or under the Merger Agreement, prior to the Effective Time, the Stockholder shall not, directly or indirectly, (a) create any Lien other than restrictions imposed by Law or pursuant to this Agreement on any Subject Shares; (b) transfer, sell, assign, gift or otherwise dispose of (collectively, “</w:t>
      </w:r>
      <w:r>
        <w:rPr>
          <w:rFonts w:ascii="Times New Roman" w:hAnsi="Times New Roman"/>
          <w:b/>
          <w:i/>
          <w:sz w:val="20"/>
        </w:rPr>
        <w:t>Transfer</w:t>
      </w:r>
      <w:r>
        <w:rPr>
          <w:rFonts w:ascii="Times New Roman" w:hAnsi="Times New Roman"/>
          <w:sz w:val="20"/>
        </w:rPr>
        <w:t xml:space="preserve">”), or enter into any contract with respect to any Transfer of, the Subject Shares or any interest therein; (c) grant or permit the grant of any proxy, power of attorney or other authorization in or with respect to the Subject Shares; (d) deposit or permit the deposit of the Subject Shares into a voting trust or enter into a voting agreement or arrangement with respect to the Subject Shares; or (e) take any action that, to the knowledge of the Stockholder, would make any representation or warranty of the Stockholder herein untrue or incorrect in any material respect or have the effect of preventing the Stockholder from performing the Stockholder’s obligations hereunder. Any action taken in violation of the foregoing sentence shall be null and void </w:t>
      </w:r>
      <w:r>
        <w:rPr>
          <w:rFonts w:ascii="Times New Roman" w:hAnsi="Times New Roman"/>
          <w:i/>
          <w:sz w:val="20"/>
        </w:rPr>
        <w:t>ab initio</w:t>
      </w:r>
      <w:r>
        <w:rPr>
          <w:rFonts w:ascii="Times New Roman" w:hAnsi="Times New Roman"/>
          <w:sz w:val="20"/>
        </w:rPr>
        <w:t xml:space="preserve">. Notwithstanding the foregoing, the Stockholder may (A) Transfer the Subject Shares as a </w:t>
      </w:r>
      <w:r>
        <w:rPr>
          <w:rFonts w:ascii="Times New Roman" w:hAnsi="Times New Roman"/>
          <w:i/>
          <w:sz w:val="20"/>
        </w:rPr>
        <w:t xml:space="preserve">bona fide </w:t>
      </w:r>
      <w:r>
        <w:rPr>
          <w:rFonts w:ascii="Times New Roman" w:hAnsi="Times New Roman"/>
          <w:sz w:val="20"/>
        </w:rPr>
        <w:t xml:space="preserve">charitable contribution, gift or donation; (B) Transfer the Subject Shares to any trust for the direct or indirect benefit of the Stockholder or the immediate family of the Stockholder; (C) Transfer the Subject Shares by will, other testamentary document or intestate succession to the legal representative, heir, beneficiary or a member of the immediate family of the Stockholder; (D) Transfer the Subject Shares to stockholders, direct or indirect affiliates (within the meaning set forth in Rule 405 under the Securities Act), current or former partners (general or limited), members or managers of the Stockholder, as applicable, or to the estates of any such stockholders, affiliates, partners, members or managers, or to another corporation, partnership, limited liability company or other business entity that controls, is controlled by or is under common control with the Stockholder; (E) make Transfers that occur by operation of law pursuant to a qualified domestic relations order or in connection with a divorce settlement; (F) make Transfers not involving a change in beneficial ownership; (G) if the Stockholder is a trust, Transfer Subject Shares to any beneficiary of the Stockholder or the estate of any such beneficiary; (H) exercise a Parent Option to purchase Company Shares or settle an equity award (including a net or cashless exercise of such option); (I) Transfer Company Shares to the Company to cover tax withholding obligations of the Stockholder in connection with the vesting, settlement or exercise of any Parent Options, Parent Restricted Stock Unit Awards, or other equity awards, as applicable, </w:t>
      </w:r>
      <w:r>
        <w:rPr>
          <w:rFonts w:ascii="Times New Roman" w:hAnsi="Times New Roman"/>
          <w:i/>
          <w:sz w:val="20"/>
          <w:u w:val="single"/>
        </w:rPr>
        <w:t>provided</w:t>
      </w:r>
      <w:r>
        <w:rPr>
          <w:rFonts w:ascii="Times New Roman" w:hAnsi="Times New Roman"/>
          <w:sz w:val="20"/>
        </w:rPr>
        <w:t xml:space="preserve"> that in each case, the underlying Parent Shares shall continue to be subject to the restrictions on transfer set forth in this Agreement; (J) establish a trading plan pursuant to Rule 10b5-1 under the Exchange Act for the transfer of Parent Shares; and (K) Transfer Parent Shares to Parent pursuant to arrangements under which Parent has the option to repurchase such Parent Shares; </w:t>
      </w:r>
      <w:r>
        <w:rPr>
          <w:rFonts w:ascii="Times New Roman" w:hAnsi="Times New Roman"/>
          <w:i/>
          <w:sz w:val="20"/>
          <w:u w:val="single"/>
        </w:rPr>
        <w:t>provided</w:t>
      </w:r>
      <w:r>
        <w:rPr>
          <w:rFonts w:ascii="Times New Roman" w:hAnsi="Times New Roman"/>
          <w:sz w:val="20"/>
        </w:rPr>
        <w:t xml:space="preserve"> that, with respect to clauses (A) through (G) above, the transferee agrees in writing to be bound by the terms and conditions of this Agreement and either the Stockholder or the transferee provides the Company with a copy of such agreement promptly upon consummation of any such Transfer;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further</w:t>
      </w:r>
      <w:r>
        <w:rPr>
          <w:rFonts w:ascii="Times New Roman" w:hAnsi="Times New Roman"/>
          <w:sz w:val="20"/>
        </w:rPr>
        <w:t xml:space="preserve"> that with respect to clauses (A) through (C) and (E) through (G) above, no filing under the Exchange Act or other public announcement shall be required or shall be made voluntarily in connection with such Transfer (other than filings made in respect of involuntary Transfers); </w:t>
      </w:r>
      <w:r>
        <w:rPr>
          <w:rFonts w:ascii="Times New Roman" w:hAnsi="Times New Roman"/>
          <w:i/>
          <w:sz w:val="20"/>
          <w:u w:val="single"/>
        </w:rPr>
        <w:t>provided</w:t>
      </w:r>
      <w:r>
        <w:rPr>
          <w:rFonts w:ascii="Times New Roman" w:hAnsi="Times New Roman"/>
          <w:sz w:val="20"/>
        </w:rPr>
        <w:t xml:space="preserve"> that reasonable notice shall be provided to the Company prior to any such filing and that the underlying Parent Shares shall continue to be subject to the restrictions on Transfer set forth in this Agreement. For purposes of this Agreement, “immediate family” shall mean any relationship by blood, marriage or adoption, not more remote than first cousin.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u w:val="single"/>
        </w:rPr>
        <w:t>Irrevocable Proxy</w:t>
      </w:r>
      <w:r>
        <w:rPr>
          <w:rFonts w:ascii="Times New Roman" w:hAnsi="Times New Roman"/>
          <w:b/>
          <w:sz w:val="20"/>
        </w:rPr>
        <w:t xml:space="preserve">. </w:t>
      </w:r>
      <w:r>
        <w:rPr>
          <w:rFonts w:ascii="Times New Roman" w:hAnsi="Times New Roman"/>
          <w:sz w:val="20"/>
        </w:rPr>
        <w:t xml:space="preserve">The Stockholder hereby revokes (or agrees to cause to be revoked) any proxies that the Stockholder has heretofore granted with respect to the Subject Shares. The Stockholder hereby irrevocably appoints the Company as attorney-in-fact and proxy for and on behalf of the Stockholder, for and in the name, place and stead of the Stockholder, to: (a) attend any and all meetings of the Parent Stockholders, (b) vote, express consent or dissent or issue instructions to the record holder to vote the Subject Shares in accordance with the provisions of </w:t>
      </w:r>
      <w:r>
        <w:rPr>
          <w:rFonts w:ascii="Times New Roman" w:hAnsi="Times New Roman"/>
          <w:sz w:val="20"/>
          <w:u w:val="single"/>
        </w:rPr>
        <w:t>Section 1.1</w:t>
      </w:r>
      <w:r>
        <w:rPr>
          <w:rFonts w:ascii="Times New Roman" w:hAnsi="Times New Roman"/>
          <w:sz w:val="20"/>
        </w:rPr>
        <w:t xml:space="preserve"> at any and all meetings of the Parent Stockholders or in connection with any action sought to be taken by written consent of the Parent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Stockholders without a meeting and (c) grant or withhold, or issue instructions to the record holder to grant or withhold, consistent with the provisions of </w:t>
      </w:r>
      <w:r>
        <w:rPr>
          <w:rFonts w:ascii="Times New Roman" w:hAnsi="Times New Roman"/>
          <w:sz w:val="20"/>
          <w:u w:val="single"/>
        </w:rPr>
        <w:t>Section 1.1</w:t>
      </w:r>
      <w:r>
        <w:rPr>
          <w:rFonts w:ascii="Times New Roman" w:hAnsi="Times New Roman"/>
          <w:sz w:val="20"/>
        </w:rPr>
        <w:t xml:space="preserve">, all written consents with respect to the Subject Shares at any and all meetings of the Parent Stockholders or in connection with any action sought to be taken by written consent of the Parent Stockholders without a meeting. The Company agrees not to exercise the proxy granted herein for any purpose other than the purposes described in this Agreement. The foregoing proxy shall be deemed to be a proxy coupled with an interest, is irrevocable (and as such shall survive and not be affected by the death, incapacity, mental illness or insanity of the Stockholder, as applicable) until the termination of this Agreement and shall not be terminated by operation of law or upon the occurrence of any other event other than the termination of this Agreement pursuant to </w:t>
      </w:r>
      <w:r>
        <w:rPr>
          <w:rFonts w:ascii="Times New Roman" w:hAnsi="Times New Roman"/>
          <w:sz w:val="20"/>
          <w:u w:val="single"/>
        </w:rPr>
        <w:t>Section 4.2</w:t>
      </w:r>
      <w:r>
        <w:rPr>
          <w:rFonts w:ascii="Times New Roman" w:hAnsi="Times New Roman"/>
          <w:sz w:val="20"/>
        </w:rPr>
        <w:t xml:space="preserve">. The Stockholder authorizes such attorney and proxy to substitute any other Person to act hereunder, to revoke any substitution and to file this proxy and any substitution or revocation with the Secretary of Parent. The Stockholder hereby affirms that the proxy set forth in this </w:t>
      </w:r>
      <w:r>
        <w:rPr>
          <w:rFonts w:ascii="Times New Roman" w:hAnsi="Times New Roman"/>
          <w:sz w:val="20"/>
          <w:u w:val="single"/>
        </w:rPr>
        <w:t>Section 1.3</w:t>
      </w:r>
      <w:r>
        <w:rPr>
          <w:rFonts w:ascii="Times New Roman" w:hAnsi="Times New Roman"/>
          <w:sz w:val="20"/>
        </w:rPr>
        <w:t xml:space="preserve"> is given in connection with and granted in consideration of and as an inducement to the Company to enter into the Merger Agreement and that such proxy is given to secure the obligations of the Stockholder under </w:t>
      </w:r>
      <w:r>
        <w:rPr>
          <w:rFonts w:ascii="Times New Roman" w:hAnsi="Times New Roman"/>
          <w:sz w:val="20"/>
          <w:u w:val="single"/>
        </w:rPr>
        <w:t>Section 1.1</w:t>
      </w:r>
      <w:r>
        <w:rPr>
          <w:rFonts w:ascii="Times New Roman" w:hAnsi="Times New Roman"/>
          <w:sz w:val="20"/>
        </w:rPr>
        <w:t xml:space="preserve">. The proxy set forth in this </w:t>
      </w:r>
      <w:r>
        <w:rPr>
          <w:rFonts w:ascii="Times New Roman" w:hAnsi="Times New Roman"/>
          <w:sz w:val="20"/>
          <w:u w:val="single"/>
        </w:rPr>
        <w:t>Section 1.3</w:t>
      </w:r>
      <w:r>
        <w:rPr>
          <w:rFonts w:ascii="Times New Roman" w:hAnsi="Times New Roman"/>
          <w:sz w:val="20"/>
        </w:rPr>
        <w:t xml:space="preserve"> is executed and intended to be irrevocable, subject, however, to its automatic termination upon the termination of this Agreement pursuant to </w:t>
      </w:r>
      <w:r>
        <w:rPr>
          <w:rFonts w:ascii="Times New Roman" w:hAnsi="Times New Roman"/>
          <w:sz w:val="20"/>
          <w:u w:val="single"/>
        </w:rPr>
        <w:t>Section 4.2</w:t>
      </w:r>
      <w:r>
        <w:rPr>
          <w:rFonts w:ascii="Times New Roman" w:hAnsi="Times New Roman"/>
          <w:sz w:val="20"/>
        </w:rPr>
        <w:t xml:space="preserve">. With respect to any Subject Shares that are owned beneficially by the Stockholder but are not held of record by the Stockholder (other than shares beneficially owned by the Stockholder that are held in the name of a bank, broker or nominee), the Stockholder shall take all action necessary to cause the record holder of such Subject Shares to grant the irrevocable proxy and take all other actions provided for in this </w:t>
      </w:r>
      <w:r>
        <w:rPr>
          <w:rFonts w:ascii="Times New Roman" w:hAnsi="Times New Roman"/>
          <w:sz w:val="20"/>
          <w:u w:val="single"/>
        </w:rPr>
        <w:t>Section 1.3</w:t>
      </w:r>
      <w:r>
        <w:rPr>
          <w:rFonts w:ascii="Times New Roman" w:hAnsi="Times New Roman"/>
          <w:sz w:val="20"/>
        </w:rPr>
        <w:t xml:space="preserve"> with respect to such Subject Shares.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b/>
          <w:sz w:val="20"/>
          <w:u w:val="single"/>
        </w:rPr>
        <w:t>No Ownership Interest</w:t>
      </w:r>
      <w:r>
        <w:rPr>
          <w:rFonts w:ascii="Times New Roman" w:hAnsi="Times New Roman"/>
          <w:sz w:val="20"/>
        </w:rPr>
        <w:t xml:space="preserve">. Nothing contained in this Agreement will be deemed to vest in the Company any direct or indirect ownership or incidents of ownership of or with respect to the Subject Shares. All rights, ownership and economic benefits of and relating to the Subject Shares will remain and belong to the Stockholder, and the Company will have no authority to manage, direct, superintend, restrict, regulate, govern or administer any of the policies or operations of Parent or exercise any power or authority to direct the Stockholder in the voting of any of the Subject Shares, except as otherwise expressly provided herein with respect to the Subject Shares and except as otherwise expressly provided in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b/>
          <w:sz w:val="20"/>
          <w:u w:val="single"/>
        </w:rPr>
        <w:t>No Exercise of Appraisal Rights; Waivers</w:t>
      </w:r>
      <w:r>
        <w:rPr>
          <w:rFonts w:ascii="Times New Roman" w:hAnsi="Times New Roman"/>
          <w:sz w:val="20"/>
        </w:rPr>
        <w:t xml:space="preserve">. In connection with the Merger and the other transactions contemplated by the Merger Agreement, the Stockholder hereby expressly (a) waives, to the extent permitted under applicable Law, any and all rights under Section 262 of the Delaware General Corporation Law, a copy of which is attached hereto as Appendix I, with respect to any Subject Shares and any and all rights under any other applicable Law granting the Stockholder the right to have any Subject Shares appraised in connection with the Merger and the other transactions contemplated by the Merger Agreement or to otherwise dissent from the Merger and the other transactions contemplated by the Merger Agreement, (b) agrees that the Stockholder will not, under any circumstances in connection with the Merger and the other transactions contemplated by the Merger Agreement, exercise any dissenters’ or appraisal rights in respect of any Subject Shares, and (c) agrees that the Stockholder will not bring, commence, institute, maintain, prosecute, participate in or voluntarily aid any action, claim, suit or cause of action, in law or in equity, in any court or before any Governmental Entity, which (i) challenges the validity of or seeks to enjoin the operation of any provision of this Agreement or (ii) alleges that the execution and delivery of this Agreement by the Stockholder, or the approval of the Merger Agreement by the Parent Board, breaches any fiduciary duty of the Parent Board or any member thereof; </w:t>
      </w:r>
      <w:r>
        <w:rPr>
          <w:rFonts w:ascii="Times New Roman" w:hAnsi="Times New Roman"/>
          <w:i/>
          <w:sz w:val="20"/>
          <w:u w:val="single"/>
        </w:rPr>
        <w:t>provided</w:t>
      </w:r>
      <w:r>
        <w:rPr>
          <w:rFonts w:ascii="Times New Roman" w:hAnsi="Times New Roman"/>
          <w:sz w:val="20"/>
        </w:rPr>
        <w:t xml:space="preserve"> that the Stockholder may defend against, contest or settle any such action, claim, suit or cause of action brought against the Stockholder that relates solely to the Stockholder’s capacity as a director, officer or securityholder of Parent.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w:t>
      </w:r>
      <w:r>
        <w:rPr>
          <w:rFonts w:ascii="Times New Roman" w:hAnsi="Times New Roman"/>
          <w:b/>
          <w:sz w:val="20"/>
          <w:u w:val="single"/>
        </w:rPr>
        <w:t>No Solicitation</w:t>
      </w:r>
      <w:r>
        <w:rPr>
          <w:rFonts w:ascii="Times New Roman" w:hAnsi="Times New Roman"/>
          <w:sz w:val="20"/>
        </w:rPr>
        <w:t xml:space="preserve">. Subject to Section 4.16, the Stockholder agrees not to, directly or indirectly, including through any of its officers, directors or agents, take any action that Parent is prohibited from taking pursuant to Section 6.4 (No Solicitation) of the Merger Agreement and Section 6.4 of the Merger Agreement is hereby incorporated by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1.7. </w:t>
      </w:r>
      <w:r>
        <w:rPr>
          <w:rFonts w:ascii="Times New Roman" w:hAnsi="Times New Roman"/>
          <w:b/>
          <w:sz w:val="20"/>
          <w:u w:val="single"/>
        </w:rPr>
        <w:t>Documentation and Information</w:t>
      </w:r>
      <w:r>
        <w:rPr>
          <w:rFonts w:ascii="Times New Roman" w:hAnsi="Times New Roman"/>
          <w:sz w:val="20"/>
        </w:rPr>
        <w:t xml:space="preserve">. The Stockholder shall permit and hereby authorizes the Company and Parent to publish and disclose in all documents and schedules filed with the SEC, and any press release or other disclosure document that the Company or Parent reasonably determines to be necessary in connection with the Merger and any of the other transactions contemplated by the Merger Agreement, the Stockholder’s identity and ownership of the Subject Shares and the nature of the Stockholder’s commitments and obligations under this Agreement. Parent is an intended third-party beneficiary of this </w:t>
      </w:r>
      <w:r>
        <w:rPr>
          <w:rFonts w:ascii="Times New Roman" w:hAnsi="Times New Roman"/>
          <w:sz w:val="20"/>
          <w:u w:val="single"/>
        </w:rPr>
        <w:t>Section 1.7</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The Stockholder represents and warrants to the Company that: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b/>
          <w:sz w:val="20"/>
          <w:u w:val="single"/>
        </w:rPr>
        <w:t>Organization; Authorization; Binding Agreement</w:t>
      </w:r>
      <w:r>
        <w:rPr>
          <w:rFonts w:ascii="Times New Roman" w:hAnsi="Times New Roman"/>
          <w:sz w:val="20"/>
        </w:rPr>
        <w:t xml:space="preserve">. The Stockholder, if not a natural person, is duly incorporated or organized, as applicable, validly existing and in good standing under the laws of its jurisdiction of incorporation or organization. The Stockholder has full legal capacity and power, right and authority to execute and deliver this Agreement and to perform the Stockholder’s obligations hereunder and to consummate the transactions contemplated hereby. This Agreement has been duly and validly executed and delivered by the Stockholder, and constitutes a legal, valid and binding obligation of the Stockholder enforceable against the Stockholder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bidi w:val="0"/>
        <w:spacing w:before="120" w:after="0"/>
        <w:jc w:val="left"/>
        <w:rPr>
          <w:rFonts w:ascii="Times New Roman" w:hAnsi="Times New Roman"/>
          <w:sz w:val="20"/>
        </w:rPr>
      </w:pPr>
      <w:r>
        <w:rPr>
          <w:rFonts w:ascii="Times New Roman" w:hAnsi="Times New Roman"/>
          <w:sz w:val="20"/>
        </w:rPr>
        <w:t xml:space="preserve">2.2. </w:t>
      </w:r>
      <w:r>
        <w:rPr>
          <w:rFonts w:ascii="Times New Roman" w:hAnsi="Times New Roman"/>
          <w:b/>
          <w:sz w:val="20"/>
          <w:u w:val="single"/>
        </w:rPr>
        <w:t>Ownership of Subject Shares; Total Shares</w:t>
      </w:r>
      <w:r>
        <w:rPr>
          <w:rFonts w:ascii="Times New Roman" w:hAnsi="Times New Roman"/>
          <w:sz w:val="20"/>
        </w:rPr>
        <w:t xml:space="preserve">. The Stockholder is the record or beneficial owner of the Subject Shares and has good and marketable title to the Subject Shares free and clear of any Liens (including any restriction on the right to vote or otherwise transfer the Subject Shares), except (a) as provided hereunder, (b) pursuant to any applicable restrictions on transfer under the Securities Act, (c) subject to any risk of forfeiture or repurchase rights of Parent with respect to any Parent Shares granted to the Stockholder under an employee benefit plan of Parent and (d) as provided in the certificate of incorporation or bylaws of Parent. The Subject Shares listed on </w:t>
      </w:r>
      <w:r>
        <w:rPr>
          <w:rFonts w:ascii="Times New Roman" w:hAnsi="Times New Roman"/>
          <w:sz w:val="20"/>
          <w:u w:val="single"/>
        </w:rPr>
        <w:t>Schedule A</w:t>
      </w:r>
      <w:r>
        <w:rPr>
          <w:rFonts w:ascii="Times New Roman" w:hAnsi="Times New Roman"/>
          <w:sz w:val="20"/>
        </w:rPr>
        <w:t xml:space="preserve"> opposite the Stockholder’s name constitute all of the Parent Shares owned by the Stockholder as of the date hereof. Except pursuant to Parent’s certificate of incorporation, bylaws and the right of the Company to purchase or acquire any Parent Shares pursuant to an employee benefit plan of Parent, no Person has any contractual or other right or obligation to purchase or otherwise acquire any of the Subject Shares. For purposes of this Agreement “</w:t>
      </w:r>
      <w:r>
        <w:rPr>
          <w:rFonts w:ascii="Times New Roman" w:hAnsi="Times New Roman"/>
          <w:b/>
          <w:i/>
          <w:sz w:val="20"/>
        </w:rPr>
        <w:t>Beneficial Ownership</w:t>
      </w:r>
      <w:r>
        <w:rPr>
          <w:rFonts w:ascii="Times New Roman" w:hAnsi="Times New Roman"/>
          <w:sz w:val="20"/>
        </w:rPr>
        <w:t xml:space="preserve">” shall be interpreted as defined in Rule 13d-3 under the Exchange Act; </w:t>
      </w:r>
      <w:r>
        <w:rPr>
          <w:rFonts w:ascii="Times New Roman" w:hAnsi="Times New Roman"/>
          <w:i/>
          <w:sz w:val="20"/>
          <w:u w:val="single"/>
        </w:rPr>
        <w:t>provided</w:t>
      </w:r>
      <w:r>
        <w:rPr>
          <w:rFonts w:ascii="Times New Roman" w:hAnsi="Times New Roman"/>
          <w:sz w:val="20"/>
        </w:rPr>
        <w:t xml:space="preserve"> that for purposes of determining Beneficial Ownership, a Person shall be deemed to be the Beneficial Owner of any securities that may be acquired by such Person pursuant to any Contract or upon the exercise of conversion rights, exchange rights, warrants or options, or otherwise (irrespective of whether the right to acquire such securities is exercisable immediately or only after the passage of time, including the passage of time in excess of 60 days, the satisfaction of any conditions, the occurrence of any event or any combination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2.3. </w:t>
      </w:r>
      <w:r>
        <w:rPr>
          <w:rFonts w:ascii="Times New Roman" w:hAnsi="Times New Roman"/>
          <w:b/>
          <w:sz w:val="20"/>
          <w:u w:val="single"/>
        </w:rPr>
        <w:t>Voting Power</w:t>
      </w:r>
      <w:r>
        <w:rPr>
          <w:rFonts w:ascii="Times New Roman" w:hAnsi="Times New Roman"/>
          <w:sz w:val="20"/>
        </w:rPr>
        <w:t xml:space="preserve">. The Stockholder has full voting power, with respect to the Subject Shares, and full power of disposition, full power to issue instructions with respect to the matters set forth herein and full power to agree to all of the matters set forth in this Agreement, in each case, with respect to all of the Subject Shares. None of the Subject Shares are subject to any proxy, voting trust or other agreement or arrangement with respect to the voting of the Subject Shares, except as provided 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2.4. </w:t>
      </w:r>
      <w:r>
        <w:rPr>
          <w:rFonts w:ascii="Times New Roman" w:hAnsi="Times New Roman"/>
          <w:b/>
          <w:sz w:val="20"/>
          <w:u w:val="single"/>
        </w:rPr>
        <w:t>Reliance</w:t>
      </w:r>
      <w:r>
        <w:rPr>
          <w:rFonts w:ascii="Times New Roman" w:hAnsi="Times New Roman"/>
          <w:sz w:val="20"/>
        </w:rPr>
        <w:t xml:space="preserve">. The Stockholder has had the opportunity to review the Merger Agreement, including the provisions relating to the payment and allocation of the consideration to be paid to the Parent Stockholders, and this Agreement with counsel of the Stockholder’s own choosing. The Stockholder has had an opportunity to review with its own tax advisors the tax consequences of the Merger and the transactions contemplated by the Merger Agreement. The Stockholder understands that it must rely solely on its advisors and not on any statements or representations made by Parent, the Company or any of their respective agents or representatives. The Stockholder understands that such Stockholder (and not Parent, the Company or the Surviving Corporation) shall be responsible for such Stockholder’s tax liability that may arise as a result of the Merger or the transactions contemplated by the Merger Agreement. The Stockholder understands and acknowledges that the Company, Parent and Merger Subs are entering into the Merger Agreement in reliance upon the Stockholder’s execution, delivery and performance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2.5. </w:t>
      </w:r>
      <w:r>
        <w:rPr>
          <w:rFonts w:ascii="Times New Roman" w:hAnsi="Times New Roman"/>
          <w:b/>
          <w:sz w:val="20"/>
          <w:u w:val="single"/>
        </w:rPr>
        <w:t>Absence of Litigation</w:t>
      </w:r>
      <w:r>
        <w:rPr>
          <w:rFonts w:ascii="Times New Roman" w:hAnsi="Times New Roman"/>
          <w:sz w:val="20"/>
        </w:rPr>
        <w:t xml:space="preserve">. With respect to the Stockholder, as of the date hereof, there is no action, suit, investigation or proceeding pending against, or, to the knowledge of the Stockholder, threatened against, the Stockholder or any of the Stockholder’s properties or assets (including the Subject Shares) that could reasonably be expected to prevent, delay or impair the ability of the Stockholder to perform the Stockholder’s obligations hereunder or to consummate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2.6. </w:t>
      </w:r>
      <w:r>
        <w:rPr>
          <w:rFonts w:ascii="Times New Roman" w:hAnsi="Times New Roman"/>
          <w:b/>
          <w:sz w:val="20"/>
          <w:u w:val="single"/>
        </w:rPr>
        <w:t>Non-Contravention</w:t>
      </w:r>
      <w:r>
        <w:rPr>
          <w:rFonts w:ascii="Times New Roman" w:hAnsi="Times New Roman"/>
          <w:sz w:val="20"/>
        </w:rPr>
        <w:t xml:space="preserve">. The execution and delivery of this Agreement by the Stockholder and the performance of the transactions contemplated by this Agreement by the Stockholder does not and will not violate, conflict with, or result in a breach of: (a) the organizational documents of such Stockholder, (b) any applicable Law or any injunction, judgment, order, decree, ruling, charge, or other restriction of any Governmental Entity to which the Stockholder is subject, or (c) any Contract to which the Stockholder is a party or is bound or to which the Subject Shares are subject, such that it could reasonably be expected to prevent, delay or impair the ability of the Stockholder to perform the Stockholder’s obligations hereunder or to consummate the transactions contemplated hereby.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represents and warrants to the Stockholder that: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b/>
          <w:sz w:val="20"/>
          <w:u w:val="single"/>
        </w:rPr>
        <w:t>Organization; Authorization</w:t>
      </w:r>
      <w:r>
        <w:rPr>
          <w:rFonts w:ascii="Times New Roman" w:hAnsi="Times New Roman"/>
          <w:sz w:val="20"/>
        </w:rPr>
        <w:t xml:space="preserve">. The Company is a corporation duly incorporated, validly existing and in good standing under the laws of the State of Delaware. The consummation of the transactions contemplated hereby is within the Company’s corporate powers and has been duly authorized by all necessary corporate actions on the part of the Company. The Company has full power and authority to execute, deliver and perform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3.2. </w:t>
      </w:r>
      <w:r>
        <w:rPr>
          <w:rFonts w:ascii="Times New Roman" w:hAnsi="Times New Roman"/>
          <w:b/>
          <w:sz w:val="20"/>
          <w:u w:val="single"/>
        </w:rPr>
        <w:t>Binding Agreement</w:t>
      </w:r>
      <w:r>
        <w:rPr>
          <w:rFonts w:ascii="Times New Roman" w:hAnsi="Times New Roman"/>
          <w:sz w:val="20"/>
        </w:rPr>
        <w:t xml:space="preserve">. This Agreement has been duly authorized, executed and delivered by the Company and constitutes a valid and binding obligation of the Company enforceable against the Company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b/>
          <w:sz w:val="20"/>
          <w:u w:val="single"/>
        </w:rPr>
        <w:t>Notices</w:t>
      </w:r>
      <w:r>
        <w:rPr>
          <w:rFonts w:ascii="Times New Roman" w:hAnsi="Times New Roman"/>
          <w:sz w:val="20"/>
        </w:rPr>
        <w:t xml:space="preserve">. All notices, requests and other communications to either party hereunder shall be in writing (including electronic mail) and shall be given, (a) if to Parent, in accordance with the provisions of the Merger Agreement and (b) if to the Stockholder, to the Stockholder’s address or electronic mail address set forth on a signature page hereto, or to such other address or electronic mail address as the Stockholder may hereafter specify in writing to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4.2. </w:t>
      </w:r>
      <w:r>
        <w:rPr>
          <w:rFonts w:ascii="Times New Roman" w:hAnsi="Times New Roman"/>
          <w:b/>
          <w:sz w:val="20"/>
          <w:u w:val="single"/>
        </w:rPr>
        <w:t>Termination</w:t>
      </w:r>
      <w:r>
        <w:rPr>
          <w:rFonts w:ascii="Times New Roman" w:hAnsi="Times New Roman"/>
          <w:sz w:val="20"/>
        </w:rPr>
        <w:t xml:space="preserve">. This Agreement shall terminate automatically, without any notice or other action by any Person, upon the earlier of (a) the termination of the Merger Agreement in accordance with its terms, (b) the Effective Time, and (c) the amendment of the Merger Agreement, without the prior written consent of the Stockholder, in a manner that affects the economics or material terms of the Merger Agreement in a manner that is adverse to the Stockholder. Upon termination of this Agreement, neither party shall have any further obligations or liabilities under this Agreement; </w:t>
      </w:r>
      <w:r>
        <w:rPr>
          <w:rFonts w:ascii="Times New Roman" w:hAnsi="Times New Roman"/>
          <w:i/>
          <w:sz w:val="20"/>
          <w:u w:val="single"/>
        </w:rPr>
        <w:t>provided</w:t>
      </w:r>
      <w:r>
        <w:rPr>
          <w:rFonts w:ascii="Times New Roman" w:hAnsi="Times New Roman"/>
          <w:i/>
          <w:sz w:val="20"/>
        </w:rPr>
        <w:t xml:space="preserve">, </w:t>
      </w:r>
      <w:r>
        <w:rPr>
          <w:rFonts w:ascii="Times New Roman" w:hAnsi="Times New Roman"/>
          <w:i/>
          <w:sz w:val="20"/>
          <w:u w:val="single"/>
        </w:rPr>
        <w:t>however</w:t>
      </w:r>
      <w:r>
        <w:rPr>
          <w:rFonts w:ascii="Times New Roman" w:hAnsi="Times New Roman"/>
          <w:i/>
          <w:sz w:val="20"/>
        </w:rPr>
        <w:t xml:space="preserve">, </w:t>
      </w:r>
      <w:r>
        <w:rPr>
          <w:rFonts w:ascii="Times New Roman" w:hAnsi="Times New Roman"/>
          <w:sz w:val="20"/>
        </w:rPr>
        <w:t xml:space="preserve">that (i) nothing set forth in this </w:t>
      </w:r>
      <w:r>
        <w:rPr>
          <w:rFonts w:ascii="Times New Roman" w:hAnsi="Times New Roman"/>
          <w:sz w:val="20"/>
          <w:u w:val="single"/>
        </w:rPr>
        <w:t>Section 4.2</w:t>
      </w:r>
      <w:r>
        <w:rPr>
          <w:rFonts w:ascii="Times New Roman" w:hAnsi="Times New Roman"/>
          <w:sz w:val="20"/>
        </w:rPr>
        <w:t xml:space="preserve"> shall relieve either party from liability for any breach of this Agreement prior to termination hereof, and (ii) the provisions of this </w:t>
      </w:r>
      <w:r>
        <w:rPr>
          <w:rFonts w:ascii="Times New Roman" w:hAnsi="Times New Roman"/>
          <w:sz w:val="20"/>
          <w:u w:val="single"/>
        </w:rPr>
        <w:t>Article IV</w:t>
      </w:r>
      <w:r>
        <w:rPr>
          <w:rFonts w:ascii="Times New Roman" w:hAnsi="Times New Roman"/>
          <w:sz w:val="20"/>
        </w:rPr>
        <w:t xml:space="preserve"> shall survive any termination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4.3. </w:t>
      </w:r>
      <w:r>
        <w:rPr>
          <w:rFonts w:ascii="Times New Roman" w:hAnsi="Times New Roman"/>
          <w:b/>
          <w:sz w:val="20"/>
          <w:u w:val="single"/>
        </w:rPr>
        <w:t>Confidentiality</w:t>
      </w:r>
      <w:r>
        <w:rPr>
          <w:rFonts w:ascii="Times New Roman" w:hAnsi="Times New Roman"/>
          <w:sz w:val="20"/>
        </w:rPr>
        <w:t>. Except to the extent required by applicable Law, the Stockholder shall hold any non-public information regarding this Agreement, the Merger Agreement and the Merger in strict confidence and shall not divulge any such information to any third person until the Company has publicly disclosed its entry into the Merger Agreement and this Agreement;</w:t>
      </w:r>
      <w:r>
        <w:rPr>
          <w:rFonts w:ascii="Times New Roman" w:hAnsi="Times New Roman"/>
          <w:sz w:val="20"/>
          <w:u w:val="single"/>
        </w:rPr>
        <w:t> </w:t>
      </w:r>
      <w:r>
        <w:rPr>
          <w:rFonts w:ascii="Times New Roman" w:hAnsi="Times New Roman"/>
          <w:i/>
          <w:sz w:val="20"/>
          <w:u w:val="single"/>
        </w:rPr>
        <w:t>provided</w:t>
      </w:r>
      <w:r>
        <w:rPr>
          <w:rFonts w:ascii="Times New Roman" w:hAnsi="Times New Roman"/>
          <w:sz w:val="20"/>
        </w:rPr>
        <w:t>,</w:t>
      </w:r>
      <w:r>
        <w:rPr>
          <w:rFonts w:ascii="Times New Roman" w:hAnsi="Times New Roman"/>
          <w:sz w:val="20"/>
          <w:u w:val="single"/>
        </w:rPr>
        <w:t> </w:t>
      </w:r>
      <w:r>
        <w:rPr>
          <w:rFonts w:ascii="Times New Roman" w:hAnsi="Times New Roman"/>
          <w:i/>
          <w:sz w:val="20"/>
          <w:u w:val="single"/>
        </w:rPr>
        <w:t>however</w:t>
      </w:r>
      <w:r>
        <w:rPr>
          <w:rFonts w:ascii="Times New Roman" w:hAnsi="Times New Roman"/>
          <w:sz w:val="20"/>
        </w:rPr>
        <w:t>, that the Stockholder may disclose such information (a) to its attorneys, accountants, consultants, trustees, beneficiaries and other representatives (</w:t>
      </w:r>
      <w:r>
        <w:rPr>
          <w:rFonts w:ascii="Times New Roman" w:hAnsi="Times New Roman"/>
          <w:i/>
          <w:sz w:val="20"/>
          <w:u w:val="single"/>
        </w:rPr>
        <w:t>provided</w:t>
      </w:r>
      <w:r>
        <w:rPr>
          <w:rFonts w:ascii="Times New Roman" w:hAnsi="Times New Roman"/>
          <w:sz w:val="20"/>
        </w:rPr>
        <w:t> such representatives are subject to confidentiality obligations at least as restrictive as those contained herein), and (b) to any Affiliate, partner, member, stockholder, parent or subsidiary of the Stockholder,</w:t>
      </w:r>
      <w:r>
        <w:rPr>
          <w:rFonts w:ascii="Times New Roman" w:hAnsi="Times New Roman"/>
          <w:sz w:val="20"/>
          <w:u w:val="single"/>
        </w:rPr>
        <w:t> </w:t>
      </w:r>
      <w:r>
        <w:rPr>
          <w:rFonts w:ascii="Times New Roman" w:hAnsi="Times New Roman"/>
          <w:i/>
          <w:sz w:val="20"/>
          <w:u w:val="single"/>
        </w:rPr>
        <w:t>provided</w:t>
      </w:r>
      <w:r>
        <w:rPr>
          <w:rFonts w:ascii="Times New Roman" w:hAnsi="Times New Roman"/>
          <w:sz w:val="20"/>
        </w:rPr>
        <w:t> in each case that the Stockholder informs the Person receiving the information that such information is confidential and such Person agrees in writing to abide by the terms of this</w:t>
      </w:r>
      <w:r>
        <w:rPr>
          <w:rFonts w:ascii="Times New Roman" w:hAnsi="Times New Roman"/>
          <w:sz w:val="20"/>
          <w:u w:val="single"/>
        </w:rPr>
        <w:t> Section 4.3</w:t>
      </w:r>
      <w:r>
        <w:rPr>
          <w:rFonts w:ascii="Times New Roman" w:hAnsi="Times New Roman"/>
          <w:sz w:val="20"/>
        </w:rPr>
        <w:t xml:space="preserve">. Neither the Stockholder nor any of its Affiliates (other than Parent,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 Parent is an intended third-party beneficiary of this </w:t>
      </w:r>
      <w:r>
        <w:rPr>
          <w:rFonts w:ascii="Times New Roman" w:hAnsi="Times New Roman"/>
          <w:sz w:val="20"/>
          <w:u w:val="single"/>
        </w:rPr>
        <w:t>Section 4.3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4.4. </w:t>
      </w:r>
      <w:r>
        <w:rPr>
          <w:rFonts w:ascii="Times New Roman" w:hAnsi="Times New Roman"/>
          <w:b/>
          <w:sz w:val="20"/>
          <w:u w:val="single"/>
        </w:rPr>
        <w:t>Amendments and Waivers</w:t>
      </w:r>
      <w:r>
        <w:rPr>
          <w:rFonts w:ascii="Times New Roman" w:hAnsi="Times New Roman"/>
          <w:sz w:val="20"/>
        </w:rPr>
        <w:t xml:space="preserve">. Any provision of this Agreement may be amended or waived if such amendment or waiver is in writing and is signed, in the case of an amendment, by each party to this Agreement, or in the case of a waiver, by the party against whom the waiver is to be effective. No failure or delay by either party in exercising any right, power or privilege hereunder shall operate as a waiver thereof nor shall any single or partial exercise thereof preclude any other or further exercise thereof or the exercise of any other right, power or privilege. </w:t>
      </w:r>
    </w:p>
    <w:p>
      <w:pPr>
        <w:pStyle w:val="TextBody"/>
        <w:bidi w:val="0"/>
        <w:spacing w:before="120" w:after="0"/>
        <w:jc w:val="left"/>
        <w:rPr>
          <w:rFonts w:ascii="Times New Roman" w:hAnsi="Times New Roman"/>
          <w:sz w:val="20"/>
        </w:rPr>
      </w:pPr>
      <w:r>
        <w:rPr>
          <w:rFonts w:ascii="Times New Roman" w:hAnsi="Times New Roman"/>
          <w:sz w:val="20"/>
        </w:rPr>
        <w:t xml:space="preserve">4.5. </w:t>
      </w:r>
      <w:r>
        <w:rPr>
          <w:rFonts w:ascii="Times New Roman" w:hAnsi="Times New Roman"/>
          <w:b/>
          <w:sz w:val="20"/>
          <w:u w:val="single"/>
        </w:rPr>
        <w:t>Binding Effect; Benefit; Assignment</w:t>
      </w:r>
      <w:r>
        <w:rPr>
          <w:rFonts w:ascii="Times New Roman" w:hAnsi="Times New Roman"/>
          <w:sz w:val="20"/>
        </w:rPr>
        <w:t xml:space="preserve">. The provisions of this Agreement shall be binding upon and shall inure to the benefit of the parties hereto and their respective successors and assigns. Except as set forth in </w:t>
      </w:r>
      <w:r>
        <w:rPr>
          <w:rFonts w:ascii="Times New Roman" w:hAnsi="Times New Roman"/>
          <w:sz w:val="20"/>
          <w:u w:val="single"/>
        </w:rPr>
        <w:t>Section 1.7</w:t>
      </w:r>
      <w:r>
        <w:rPr>
          <w:rFonts w:ascii="Times New Roman" w:hAnsi="Times New Roman"/>
          <w:sz w:val="20"/>
        </w:rPr>
        <w:t xml:space="preserve"> and </w:t>
      </w:r>
      <w:r>
        <w:rPr>
          <w:rFonts w:ascii="Times New Roman" w:hAnsi="Times New Roman"/>
          <w:sz w:val="20"/>
          <w:u w:val="single"/>
        </w:rPr>
        <w:t>Section 4.3</w:t>
      </w:r>
      <w:r>
        <w:rPr>
          <w:rFonts w:ascii="Times New Roman" w:hAnsi="Times New Roman"/>
          <w:sz w:val="20"/>
        </w:rPr>
        <w:t xml:space="preserve">, no provision of this Agreement is intended to confer any rights, benefits, remedies, obligations or liabilities hereunder upon any Person other than the parties hereto and their respective successors and assigns. Neither party may assign, delegate or otherwise transfer any of its rights or obligations under this Agreement without the consent of the other party hereto, except that the Company may transfer or assign its rights and obligations under this Agreement, in whole or from time to time in part, to one or more of its Affiliates at any time; </w:t>
      </w:r>
      <w:r>
        <w:rPr>
          <w:rFonts w:ascii="Times New Roman" w:hAnsi="Times New Roman"/>
          <w:i/>
          <w:sz w:val="20"/>
          <w:u w:val="single"/>
        </w:rPr>
        <w:t>provided</w:t>
      </w:r>
      <w:r>
        <w:rPr>
          <w:rFonts w:ascii="Times New Roman" w:hAnsi="Times New Roman"/>
          <w:sz w:val="20"/>
        </w:rPr>
        <w:t xml:space="preserve"> that such transfer or assignment shall not relieve the Company of any of its obligations hereunder; </w:t>
      </w:r>
      <w:r>
        <w:rPr>
          <w:rFonts w:ascii="Times New Roman" w:hAnsi="Times New Roman"/>
          <w:i/>
          <w:sz w:val="20"/>
          <w:u w:val="single"/>
        </w:rPr>
        <w:t>provided however</w:t>
      </w:r>
      <w:r>
        <w:rPr>
          <w:rFonts w:ascii="Times New Roman" w:hAnsi="Times New Roman"/>
          <w:sz w:val="20"/>
        </w:rPr>
        <w:t xml:space="preserve"> that the Stockholder may transfer the Parent Shares to stockholders, direct or indirect affiliates (within the meaning set forth in Rule 405 under the Securities Act), current or former partners (general or limited), members or managers of the Stockholder, so long as the transferee agrees in writing to be bound by the terms and conditions of this Agreement and either the Stockholder or the transferee provides the Company with a copy of such Agreement promptly upon consummation of any such transfer.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4.6. </w:t>
      </w:r>
      <w:r>
        <w:rPr>
          <w:rFonts w:ascii="Times New Roman" w:hAnsi="Times New Roman"/>
          <w:b/>
          <w:sz w:val="20"/>
          <w:u w:val="single"/>
        </w:rPr>
        <w:t>Governing Law; Jurisdiction</w:t>
      </w:r>
      <w:r>
        <w:rPr>
          <w:rFonts w:ascii="Times New Roman" w:hAnsi="Times New Roman"/>
          <w:sz w:val="20"/>
        </w:rPr>
        <w:t xml:space="preserve">. This Agreement shall be governed by, and construed in accordance with, the internal laws of the State of Delaware, without regard to the laws of any other jurisdiction that might be applied because of the conflicts of laws principles of the State of Delaware. Each of the parties hereto irrevocably agrees that any legal action or proceeding arising out of or relating to this Agreement brought by any party or its Affiliates against any other party or its Affiliates shall be brought and determined in the Court of Chancery of the State of Delaware; </w:t>
      </w:r>
      <w:r>
        <w:rPr>
          <w:rFonts w:ascii="Times New Roman" w:hAnsi="Times New Roman"/>
          <w:i/>
          <w:sz w:val="20"/>
          <w:u w:val="single"/>
        </w:rPr>
        <w:t>provided</w:t>
      </w:r>
      <w:r>
        <w:rPr>
          <w:rFonts w:ascii="Times New Roman" w:hAnsi="Times New Roman"/>
          <w:sz w:val="20"/>
        </w:rPr>
        <w:t xml:space="preserve"> that if jurisdiction is not then available in the Court of Chancery of the State of Delaware, then any such legal action or proceeding may be brought in any federal court located in the State of Delaware or any other Delaware state court (collectively, the “</w:t>
      </w:r>
      <w:r>
        <w:rPr>
          <w:rFonts w:ascii="Times New Roman" w:hAnsi="Times New Roman"/>
          <w:b/>
          <w:i/>
          <w:sz w:val="20"/>
        </w:rPr>
        <w:t>Delaware Courts</w:t>
      </w:r>
      <w:r>
        <w:rPr>
          <w:rFonts w:ascii="Times New Roman" w:hAnsi="Times New Roman"/>
          <w:sz w:val="20"/>
        </w:rPr>
        <w:t xml:space="preserve">”). Each of the parties hereto: (a) irrevocably and unconditionally consents and submits to the exclusive jurisdiction and venue of the </w:t>
      </w:r>
      <w:r>
        <w:rPr>
          <w:rFonts w:ascii="Times New Roman" w:hAnsi="Times New Roman"/>
          <w:b/>
          <w:i/>
          <w:sz w:val="20"/>
        </w:rPr>
        <w:t>Delaware Courts</w:t>
      </w:r>
      <w:r>
        <w:rPr>
          <w:rFonts w:ascii="Times New Roman" w:hAnsi="Times New Roman"/>
          <w:sz w:val="20"/>
        </w:rPr>
        <w:t xml:space="preserve">; (b) agrees that all claims in respect of such action or proceeding shall be heard and determined exclusively in accordance with clause (a) of this </w:t>
      </w:r>
      <w:r>
        <w:rPr>
          <w:rFonts w:ascii="Times New Roman" w:hAnsi="Times New Roman"/>
          <w:sz w:val="20"/>
          <w:u w:val="single"/>
        </w:rPr>
        <w:t>Section 4.6</w:t>
      </w:r>
      <w:r>
        <w:rPr>
          <w:rFonts w:ascii="Times New Roman" w:hAnsi="Times New Roman"/>
          <w:sz w:val="20"/>
        </w:rPr>
        <w:t xml:space="preserve">; (c) waives any objection to laying venue in any such action or proceeding in such courts; (d) waives any objection that such courts are an inconvenient forum or do not have jurisdiction over any party hereto; (e) agrees that service of process upon such party in any such action or proceeding shall be effective if notice is given in accordance with </w:t>
      </w:r>
      <w:r>
        <w:rPr>
          <w:rFonts w:ascii="Times New Roman" w:hAnsi="Times New Roman"/>
          <w:sz w:val="20"/>
          <w:u w:val="single"/>
        </w:rPr>
        <w:t>Section 4.1</w:t>
      </w:r>
      <w:r>
        <w:rPr>
          <w:rFonts w:ascii="Times New Roman" w:hAnsi="Times New Roman"/>
          <w:sz w:val="20"/>
        </w:rPr>
        <w:t xml:space="preserve"> of this Agreement; and (f) irrevocably and unconditionally waives the right to trial by jury. </w:t>
      </w:r>
    </w:p>
    <w:p>
      <w:pPr>
        <w:pStyle w:val="TextBody"/>
        <w:bidi w:val="0"/>
        <w:spacing w:before="120" w:after="0"/>
        <w:jc w:val="left"/>
        <w:rPr>
          <w:rFonts w:ascii="Times New Roman" w:hAnsi="Times New Roman"/>
          <w:sz w:val="20"/>
        </w:rPr>
      </w:pPr>
      <w:r>
        <w:rPr>
          <w:rFonts w:ascii="Times New Roman" w:hAnsi="Times New Roman"/>
          <w:sz w:val="20"/>
        </w:rPr>
        <w:t xml:space="preserve">4.7. </w:t>
      </w:r>
      <w:r>
        <w:rPr>
          <w:rFonts w:ascii="Times New Roman" w:hAnsi="Times New Roman"/>
          <w:b/>
          <w:sz w:val="20"/>
          <w:u w:val="single"/>
        </w:rPr>
        <w:t>Counterparts</w:t>
      </w:r>
      <w:r>
        <w:rPr>
          <w:rFonts w:ascii="Times New Roman" w:hAnsi="Times New Roman"/>
          <w:sz w:val="20"/>
        </w:rPr>
        <w:t xml:space="preserve">.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4.8. </w:t>
      </w:r>
      <w:r>
        <w:rPr>
          <w:rFonts w:ascii="Times New Roman" w:hAnsi="Times New Roman"/>
          <w:b/>
          <w:sz w:val="20"/>
          <w:u w:val="single"/>
        </w:rPr>
        <w:t>Entire Agreement</w:t>
      </w:r>
      <w:r>
        <w:rPr>
          <w:rFonts w:ascii="Times New Roman" w:hAnsi="Times New Roman"/>
          <w:sz w:val="20"/>
        </w:rPr>
        <w:t xml:space="preserve">. This Agreement constitutes the entire agreement and supersedes all prior agreements and understandings, both written and oral, among or between any of the parties with respect to the subject matter hereof and thereof. </w:t>
      </w:r>
    </w:p>
    <w:p>
      <w:pPr>
        <w:pStyle w:val="TextBody"/>
        <w:bidi w:val="0"/>
        <w:spacing w:before="120" w:after="0"/>
        <w:jc w:val="left"/>
        <w:rPr>
          <w:rFonts w:ascii="Times New Roman" w:hAnsi="Times New Roman"/>
          <w:sz w:val="20"/>
        </w:rPr>
      </w:pPr>
      <w:r>
        <w:rPr>
          <w:rFonts w:ascii="Times New Roman" w:hAnsi="Times New Roman"/>
          <w:sz w:val="20"/>
        </w:rPr>
        <w:t xml:space="preserve">4.9. </w:t>
      </w:r>
      <w:r>
        <w:rPr>
          <w:rFonts w:ascii="Times New Roman" w:hAnsi="Times New Roman"/>
          <w:b/>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will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120" w:after="0"/>
        <w:jc w:val="left"/>
        <w:rPr>
          <w:rFonts w:ascii="Times New Roman" w:hAnsi="Times New Roman"/>
          <w:sz w:val="20"/>
        </w:rPr>
      </w:pPr>
      <w:r>
        <w:rPr>
          <w:rFonts w:ascii="Times New Roman" w:hAnsi="Times New Roman"/>
          <w:sz w:val="20"/>
        </w:rPr>
        <w:t xml:space="preserve">4.10. </w:t>
      </w:r>
      <w:r>
        <w:rPr>
          <w:rFonts w:ascii="Times New Roman" w:hAnsi="Times New Roman"/>
          <w:b/>
          <w:sz w:val="20"/>
          <w:u w:val="single"/>
        </w:rPr>
        <w:t>Specific Performance</w:t>
      </w:r>
      <w:r>
        <w:rPr>
          <w:rFonts w:ascii="Times New Roman" w:hAnsi="Times New Roman"/>
          <w:sz w:val="20"/>
        </w:rPr>
        <w:t xml:space="preserve">.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Delaware Court, this being in addition to any other remedy to which they are entitled at law or in equity, and each of the parties hereto waives any bond, surety or other security that might be required of any other party with respect thereto.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4.11. </w:t>
      </w:r>
      <w:r>
        <w:rPr>
          <w:rFonts w:ascii="Times New Roman" w:hAnsi="Times New Roman"/>
          <w:b/>
          <w:sz w:val="20"/>
          <w:u w:val="single"/>
        </w:rPr>
        <w:t>Construction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parties hereto agree that any rule of construction to the effect that ambiguities are to be resolved against the drafting party shall not be applied in the construction or interpretation of this Agreement.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As used in this Agreement, the words “include” and “including,” and variations thereof, shall not be deemed to be terms of limitation, but rather shall be deemed to be followed by the words “without limitation.”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Except as otherwise indicated, all references in this Agreement to “Sections,” “Articles,” and “Schedules” are intended to refer to Sections or Articles of this Agreement and Schedules to this Agreement, respectively. </w:t>
      </w:r>
    </w:p>
    <w:p>
      <w:pPr>
        <w:pStyle w:val="TextBody"/>
        <w:bidi w:val="0"/>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The bold-faced headings contained in this Agreement are for convenience of reference only, shall not be deemed to be a part of this Agreement and shall not be referred to in connection with the construction or interpretation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4.12. </w:t>
      </w:r>
      <w:r>
        <w:rPr>
          <w:rFonts w:ascii="Times New Roman" w:hAnsi="Times New Roman"/>
          <w:b/>
          <w:sz w:val="20"/>
          <w:u w:val="single"/>
        </w:rPr>
        <w:t>Further Assurances</w:t>
      </w:r>
      <w:r>
        <w:rPr>
          <w:rFonts w:ascii="Times New Roman" w:hAnsi="Times New Roman"/>
          <w:sz w:val="20"/>
        </w:rPr>
        <w:t xml:space="preserve">. Each of the parties hereto will execute and deliver, or cause to be executed and delivered, all further documents and instruments and use their respective reasonable best efforts to take, or cause to be taken, all actions and to do, or cause to be done, all things necessary under applicable Law to perform their respective obligations as expressly set forth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4.13. </w:t>
      </w:r>
      <w:r>
        <w:rPr>
          <w:rFonts w:ascii="Times New Roman" w:hAnsi="Times New Roman"/>
          <w:b/>
          <w:sz w:val="20"/>
          <w:u w:val="single"/>
        </w:rPr>
        <w:t>No Legal Actions.</w:t>
      </w:r>
      <w:r>
        <w:rPr>
          <w:rFonts w:ascii="Times New Roman" w:hAnsi="Times New Roman"/>
          <w:sz w:val="20"/>
        </w:rPr>
        <w:t xml:space="preserve"> Each Stockholder will not in its capacity as a Stockholder of Parent bring, commence, institute, maintain, prosecute or voluntarily aid any Action which (i) challenges the validity or seeks to enjoin the operation of any provision of this Agreement or (ii) alleges that the execution and delivery of this Agreement by such Stockholder, either alone or together with the other voting agreements and proxies to be delivered in connection with the execution of the Merger Agreement, or the approval of the Merger Agreement and the transactions contemplated thereby by the Parent Board, constitutes a breach of any fiduciary duty of the Parent Board or any member thereof. </w:t>
      </w:r>
    </w:p>
    <w:p>
      <w:pPr>
        <w:pStyle w:val="TextBody"/>
        <w:bidi w:val="0"/>
        <w:spacing w:before="120" w:after="0"/>
        <w:jc w:val="left"/>
        <w:rPr>
          <w:rFonts w:ascii="Times New Roman" w:hAnsi="Times New Roman"/>
          <w:sz w:val="20"/>
        </w:rPr>
      </w:pPr>
      <w:r>
        <w:rPr>
          <w:rFonts w:ascii="Times New Roman" w:hAnsi="Times New Roman"/>
          <w:sz w:val="20"/>
        </w:rPr>
        <w:t xml:space="preserve">4.14. </w:t>
      </w:r>
      <w:r>
        <w:rPr>
          <w:rFonts w:ascii="Times New Roman" w:hAnsi="Times New Roman"/>
          <w:b/>
          <w:sz w:val="20"/>
          <w:u w:val="single"/>
        </w:rPr>
        <w:t>Voluntary Execution of Agreement</w:t>
      </w:r>
      <w:r>
        <w:rPr>
          <w:rFonts w:ascii="Times New Roman" w:hAnsi="Times New Roman"/>
          <w:sz w:val="20"/>
        </w:rPr>
        <w:t xml:space="preserve">. This Agreement is executed voluntarily and without any duress or undue influence on the part or behalf of the parties. Each of the parties hereby acknowledges, represents and warrants that (i) it has read and fully understood the Merger Agreement, this Agreement and the implications and consequences thereof; (ii) it has been represented in the preparation, negotiation, and execution of this Agreement by legal counsel of its own choice, or it has made a voluntary and informed decision to decline to seek such counsel; and (iii) it is fully aware of the legal and binding effect of this Agreement. The Stockholder has had an opportunity to review with its own tax advisors the tax consequences of the Merger and the other transactions contemplated by the Merger Agreement. The Stockholder understands that it must rely solely on its advisors and not on any statements or representations made by Parent, the Company or any of their respective agents or representatives. The Stockholder understands that such Stockholder (and not Parent, or the Company) shall be responsible for such Stockholder’s tax liability that may arise as a result of the Merger and the other transactions contemplated by the Merger Agreement. The Stockholder understands and acknowledges that Parent, the Company and Merger Subs are entering into the Merger Agreement in reliance upon the Stockholder’s execution, delivery and performance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4.15. </w:t>
      </w:r>
      <w:r>
        <w:rPr>
          <w:rFonts w:ascii="Times New Roman" w:hAnsi="Times New Roman"/>
          <w:b/>
          <w:sz w:val="20"/>
          <w:u w:val="single"/>
        </w:rPr>
        <w:t>Fees and Expenses</w:t>
      </w:r>
      <w:r>
        <w:rPr>
          <w:rFonts w:ascii="Times New Roman" w:hAnsi="Times New Roman"/>
          <w:sz w:val="20"/>
        </w:rPr>
        <w:t xml:space="preserve">. Except as otherwise specifically provided herein, the Merger Agreement or any other agreement contemplated by the Merger Agreement to which a party hereto is a party, each party hereto shall bear its own expenses in connection with this Agreement and the transactions contemplated hereby.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4.16. </w:t>
      </w:r>
      <w:r>
        <w:rPr>
          <w:rFonts w:ascii="Times New Roman" w:hAnsi="Times New Roman"/>
          <w:b/>
          <w:sz w:val="20"/>
          <w:u w:val="single"/>
        </w:rPr>
        <w:t>Capacity as Stockholder</w:t>
      </w:r>
      <w:r>
        <w:rPr>
          <w:rFonts w:ascii="Times New Roman" w:hAnsi="Times New Roman"/>
          <w:sz w:val="20"/>
        </w:rPr>
        <w:t xml:space="preserve">. The Stockholder signs this Agreement solely in the Stockholder’s capacity as a holder of Parent Shares, and not in the Stockholder’s capacity as a director, officer or employee of Parent or in the Stockholder’s capacity as a trustee or fiduciary of any employee benefit plan or trust. Notwithstanding anything herein to the contrary, nothing herein shall in any way restrict a director or officer of Parent in the exercise of his or her fiduciary duties as a director or officer of Parent or in his or her capacity as a trustee or fiduciary of any employee benefit plan or trust or prevent or be construed to create any obligation on the part of any director or officer of Parent or any trustee or fiduciary of any employee benefit plan or trust from taking any action in his or her capacity as such director, officer, trustee or fiduciary. </w:t>
      </w:r>
    </w:p>
    <w:p>
      <w:pPr>
        <w:pStyle w:val="TextBody"/>
        <w:bidi w:val="0"/>
        <w:spacing w:before="120" w:after="0"/>
        <w:jc w:val="left"/>
        <w:rPr>
          <w:rFonts w:ascii="Times New Roman" w:hAnsi="Times New Roman"/>
          <w:sz w:val="20"/>
        </w:rPr>
      </w:pPr>
      <w:r>
        <w:rPr>
          <w:rFonts w:ascii="Times New Roman" w:hAnsi="Times New Roman"/>
          <w:sz w:val="20"/>
        </w:rPr>
        <w:t xml:space="preserve">4.17. </w:t>
      </w:r>
      <w:r>
        <w:rPr>
          <w:rFonts w:ascii="Times New Roman" w:hAnsi="Times New Roman"/>
          <w:b/>
          <w:sz w:val="20"/>
          <w:u w:val="single"/>
        </w:rPr>
        <w:t>No Agreement Until Executed</w:t>
      </w:r>
      <w:r>
        <w:rPr>
          <w:rFonts w:ascii="Times New Roman" w:hAnsi="Times New Roman"/>
          <w:sz w:val="20"/>
        </w:rPr>
        <w:t xml:space="preserve">. Irrespective of negotiations among the parties or the exchanging of drafts of this Agreement, this Agreement shall not constitute or be deemed to evidence a contract, agreement, arrangement or understanding between the parties hereto unless and until (a) the Parent Board has approved, for purposes of any applicable anti-takeover laws and regulations, and any applicable provision of the Parent’s organizational documents, the Merger, (b) the Merger Agreement is executed by all parties thereto, and (c) this Agreement is executed by all parties hereto.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57"/>
        <w:gridCol w:w="77"/>
        <w:gridCol w:w="3548"/>
      </w:tblGrid>
      <w:tr>
        <w:trPr/>
        <w:tc>
          <w:tcPr>
            <w:tcW w:w="457"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35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w:t>
            </w:r>
            <w:r>
              <w:rPr>
                <w:b/>
                <w:sz w:val="20"/>
              </w:rPr>
              <w:t>LATE</w:t>
            </w:r>
            <w:r>
              <w:rPr>
                <w:b/>
              </w:rPr>
              <w:t xml:space="preserve"> M</w:t>
            </w:r>
            <w:r>
              <w:rPr>
                <w:b/>
                <w:sz w:val="20"/>
              </w:rPr>
              <w:t>EDICINES</w:t>
            </w:r>
            <w:r>
              <w:rPr>
                <w:b/>
              </w:rPr>
              <w:t>, I</w:t>
            </w:r>
            <w:r>
              <w:rPr>
                <w:b/>
                <w:sz w:val="20"/>
              </w:rPr>
              <w:t>NC</w:t>
            </w:r>
            <w:r>
              <w:rPr>
                <w:b/>
              </w:rPr>
              <w:t xml:space="preserve">. </w:t>
            </w:r>
          </w:p>
        </w:tc>
      </w:tr>
      <w:tr>
        <w:trPr>
          <w:trHeight w:val="240" w:hRule="atLeast"/>
        </w:trPr>
        <w:tc>
          <w:tcPr>
            <w:tcW w:w="457" w:type="dxa"/>
            <w:tcBorders/>
            <w:vAlign w:val="center"/>
          </w:tcPr>
          <w:p>
            <w:pPr>
              <w:pStyle w:val="TableContents"/>
              <w:bidi w:val="0"/>
              <w:spacing w:before="0" w:after="283"/>
              <w:jc w:val="left"/>
              <w:rPr>
                <w:sz w:val="4"/>
                <w:szCs w:val="4"/>
              </w:rPr>
            </w:pPr>
            <w:r>
              <w:rPr>
                <w:sz w:val="4"/>
                <w:szCs w:val="4"/>
              </w:rPr>
            </w:r>
          </w:p>
        </w:tc>
        <w:tc>
          <w:tcPr>
            <w:tcW w:w="3625" w:type="dxa"/>
            <w:gridSpan w:val="2"/>
            <w:tcBorders/>
            <w:vAlign w:val="center"/>
          </w:tcPr>
          <w:p>
            <w:pPr>
              <w:pStyle w:val="TableContents"/>
              <w:bidi w:val="0"/>
              <w:spacing w:before="0" w:after="283"/>
              <w:jc w:val="left"/>
              <w:rPr>
                <w:sz w:val="4"/>
                <w:szCs w:val="4"/>
              </w:rPr>
            </w:pPr>
            <w:r>
              <w:rPr>
                <w:sz w:val="4"/>
                <w:szCs w:val="4"/>
              </w:rPr>
            </w:r>
          </w:p>
        </w:tc>
      </w:tr>
      <w:tr>
        <w:trPr/>
        <w:tc>
          <w:tcPr>
            <w:tcW w:w="457" w:type="dxa"/>
            <w:tcBorders/>
          </w:tcPr>
          <w:p>
            <w:pPr>
              <w:pStyle w:val="TableContents"/>
              <w:bidi w:val="0"/>
              <w:spacing w:before="0" w:after="283"/>
              <w:jc w:val="left"/>
              <w:rPr/>
            </w:pPr>
            <w:r>
              <w:rPr/>
              <w:t>By:</w:t>
            </w:r>
          </w:p>
        </w:tc>
        <w:tc>
          <w:tcPr>
            <w:tcW w:w="77" w:type="dxa"/>
            <w:tcBorders/>
            <w:vAlign w:val="bottom"/>
          </w:tcPr>
          <w:p>
            <w:pPr>
              <w:pStyle w:val="TableContents"/>
              <w:bidi w:val="0"/>
              <w:spacing w:before="0" w:after="283"/>
              <w:jc w:val="left"/>
              <w:rPr/>
            </w:pPr>
            <w:r>
              <w:rPr/>
              <w:t> </w:t>
            </w:r>
          </w:p>
        </w:tc>
        <w:tc>
          <w:tcPr>
            <w:tcW w:w="3548" w:type="dxa"/>
            <w:tcBorders/>
          </w:tcPr>
          <w:p>
            <w:pPr>
              <w:pStyle w:val="TableContents"/>
              <w:pBdr>
                <w:bottom w:val="single" w:sz="2" w:space="1" w:color="000000"/>
              </w:pBdr>
              <w:bidi w:val="0"/>
              <w:spacing w:before="0" w:after="20"/>
              <w:jc w:val="left"/>
              <w:rPr/>
            </w:pPr>
            <w:r>
              <w:rPr/>
              <w:t> </w:t>
            </w:r>
          </w:p>
        </w:tc>
      </w:tr>
      <w:tr>
        <w:trPr/>
        <w:tc>
          <w:tcPr>
            <w:tcW w:w="457" w:type="dxa"/>
            <w:tcBorders/>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3548" w:type="dxa"/>
            <w:tcBorders/>
          </w:tcPr>
          <w:p>
            <w:pPr>
              <w:pStyle w:val="TableContents"/>
              <w:bidi w:val="0"/>
              <w:spacing w:before="0" w:after="283"/>
              <w:jc w:val="left"/>
              <w:rPr/>
            </w:pPr>
            <w:r>
              <w:rPr/>
              <w:t>Name:</w:t>
            </w:r>
          </w:p>
        </w:tc>
      </w:tr>
      <w:tr>
        <w:trPr/>
        <w:tc>
          <w:tcPr>
            <w:tcW w:w="457" w:type="dxa"/>
            <w:tcBorders/>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3548"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Parent Stockholder Support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STOCKHOLDER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(Print Name of Stockholder)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(Signature)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Address for Notices: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Email:_____________________________</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Parent Stockholder Support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240" w:after="0"/>
        <w:jc w:val="left"/>
        <w:rPr>
          <w:rFonts w:ascii="Times New Roman" w:hAnsi="Times New Roman"/>
          <w:sz w:val="20"/>
        </w:rPr>
      </w:pPr>
      <w:r>
        <w:rPr>
          <w:rFonts w:ascii="Times New Roman" w:hAnsi="Times New Roman"/>
          <w:b/>
          <w:sz w:val="20"/>
        </w:rPr>
        <w:t>Name of Stockholder</w:t>
      </w:r>
      <w:r>
        <w:rPr>
          <w:rFonts w:ascii="Times New Roman" w:hAnsi="Times New Roman"/>
          <w:sz w:val="20"/>
        </w:rPr>
        <w:t xml:space="preserve">: _____________________ </w:t>
      </w:r>
    </w:p>
    <w:p>
      <w:pPr>
        <w:pStyle w:val="TextBody"/>
        <w:bidi w:val="0"/>
        <w:spacing w:before="240" w:after="0"/>
        <w:jc w:val="left"/>
        <w:rPr>
          <w:rFonts w:ascii="Times New Roman" w:hAnsi="Times New Roman"/>
          <w:b/>
          <w:sz w:val="20"/>
        </w:rPr>
      </w:pPr>
      <w:r>
        <w:rPr>
          <w:rFonts w:ascii="Times New Roman" w:hAnsi="Times New Roman"/>
          <w:b/>
          <w:sz w:val="20"/>
        </w:rPr>
        <w:t xml:space="preserve">Subject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13"/>
        <w:gridCol w:w="556"/>
        <w:gridCol w:w="437"/>
        <w:gridCol w:w="438"/>
        <w:gridCol w:w="61"/>
      </w:tblGrid>
      <w:tr>
        <w:trPr/>
        <w:tc>
          <w:tcPr>
            <w:tcW w:w="8713" w:type="dxa"/>
            <w:tcBorders/>
            <w:vAlign w:val="center"/>
          </w:tcPr>
          <w:p>
            <w:pPr>
              <w:pStyle w:val="TableContents"/>
              <w:bidi w:val="0"/>
              <w:spacing w:before="0" w:after="283"/>
              <w:jc w:val="left"/>
              <w:rPr>
                <w:sz w:val="4"/>
                <w:szCs w:val="4"/>
              </w:rPr>
            </w:pPr>
            <w:r>
              <w:rPr>
                <w:sz w:val="4"/>
                <w:szCs w:val="4"/>
              </w:rPr>
            </w:r>
          </w:p>
        </w:tc>
        <w:tc>
          <w:tcPr>
            <w:tcW w:w="556" w:type="dxa"/>
            <w:tcBorders/>
            <w:vAlign w:val="bottom"/>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871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Type</w:t>
            </w:r>
          </w:p>
        </w:tc>
        <w:tc>
          <w:tcPr>
            <w:tcW w:w="556"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1" w:type="dxa"/>
            <w:tcBorders/>
            <w:vAlign w:val="bottom"/>
          </w:tcPr>
          <w:p>
            <w:pPr>
              <w:pStyle w:val="TableContents"/>
              <w:bidi w:val="0"/>
              <w:spacing w:before="0" w:after="283"/>
              <w:jc w:val="left"/>
              <w:rPr/>
            </w:pPr>
            <w:r>
              <w:rPr/>
              <w:t> </w:t>
            </w:r>
          </w:p>
        </w:tc>
      </w:tr>
      <w:tr>
        <w:trPr/>
        <w:tc>
          <w:tcPr>
            <w:tcW w:w="87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556"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8713" w:type="dxa"/>
            <w:tcBorders/>
          </w:tcPr>
          <w:p>
            <w:pPr>
              <w:pStyle w:val="TableContents"/>
              <w:bidi w:val="0"/>
              <w:spacing w:before="0" w:after="0"/>
              <w:jc w:val="left"/>
              <w:rPr>
                <w:rFonts w:ascii="Times New Roman" w:hAnsi="Times New Roman"/>
                <w:sz w:val="20"/>
              </w:rPr>
            </w:pPr>
            <w:r>
              <w:rPr>
                <w:rFonts w:ascii="Times New Roman" w:hAnsi="Times New Roman"/>
                <w:sz w:val="20"/>
              </w:rPr>
              <w:t>Parent Options</w:t>
            </w:r>
          </w:p>
        </w:tc>
        <w:tc>
          <w:tcPr>
            <w:tcW w:w="556"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c>
          <w:tcPr>
            <w:tcW w:w="87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Parent Restricted Stock Unit Awards</w:t>
            </w:r>
          </w:p>
        </w:tc>
        <w:tc>
          <w:tcPr>
            <w:tcW w:w="556"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Appendix I </w:t>
      </w:r>
    </w:p>
    <w:p>
      <w:pPr>
        <w:pStyle w:val="TextBody"/>
        <w:bidi w:val="0"/>
        <w:spacing w:before="240" w:after="0"/>
        <w:jc w:val="left"/>
        <w:rPr>
          <w:rFonts w:ascii="Times New Roman" w:hAnsi="Times New Roman"/>
          <w:b/>
          <w:sz w:val="20"/>
        </w:rPr>
      </w:pPr>
      <w:r>
        <w:rPr>
          <w:rFonts w:ascii="Times New Roman" w:hAnsi="Times New Roman"/>
          <w:b/>
          <w:sz w:val="20"/>
        </w:rPr>
        <w:t xml:space="preserve">§ 262. Appraisal rights [For application of this section, see § 17; 82 Del. Laws, c. 45, § 23; 82 Del. Laws, c. 256, § 24; and 83 Del. Laws, c. 377, § 22]. </w:t>
      </w:r>
    </w:p>
    <w:p>
      <w:pPr>
        <w:pStyle w:val="TextBody"/>
        <w:bidi w:val="0"/>
        <w:spacing w:before="120" w:after="0"/>
        <w:jc w:val="left"/>
        <w:rPr>
          <w:rFonts w:ascii="Times New Roman" w:hAnsi="Times New Roman"/>
          <w:sz w:val="20"/>
        </w:rPr>
      </w:pPr>
      <w:r>
        <w:rPr>
          <w:rFonts w:ascii="Times New Roman" w:hAnsi="Times New Roman"/>
          <w:sz w:val="20"/>
        </w:rPr>
        <w:t xml:space="preserve">(a) Any stockholder of a corporation of this State who holds shares of stock on the date of the making of a demand pursuant to subsection (d) of this section with respect to such shares, who continuously holds such shares through the effective date of the merger, consolidation, or conversion, who has otherwise complied with subsection (d) of this section and who has neither voted in favor of the merger, consolidation or conversion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 </w:t>
      </w:r>
    </w:p>
    <w:p>
      <w:pPr>
        <w:pStyle w:val="TextBody"/>
        <w:bidi w:val="0"/>
        <w:spacing w:before="120" w:after="0"/>
        <w:jc w:val="left"/>
        <w:rPr>
          <w:rFonts w:ascii="Times New Roman" w:hAnsi="Times New Roman"/>
          <w:sz w:val="20"/>
        </w:rPr>
      </w:pPr>
      <w:r>
        <w:rPr>
          <w:rFonts w:ascii="Times New Roman" w:hAnsi="Times New Roman"/>
          <w:sz w:val="20"/>
        </w:rPr>
        <w:t xml:space="preserve">(b) Appraisal rights shall be available for the shares of any class or series of stock of a constituent or converting corporation in a merger, consolidation or conversion to be effected pursuant to § 251 (other than a merger effected pursuant to § 251(g) of this title), § 252, § 254, § 255, § 256, § 257, § 258, § 263, § 264 or § 266 of this title (other than, in each case and solely with respect to a domesticated corporation, a merger, consolidation or conversion authorized pursuant to and in accordance with the provisions of § 388 of this title): </w:t>
      </w:r>
    </w:p>
    <w:p>
      <w:pPr>
        <w:pStyle w:val="TextBody"/>
        <w:bidi w:val="0"/>
        <w:spacing w:before="120" w:after="0"/>
        <w:jc w:val="left"/>
        <w:rPr>
          <w:rFonts w:ascii="Times New Roman" w:hAnsi="Times New Roman"/>
          <w:sz w:val="20"/>
        </w:rPr>
      </w:pPr>
      <w:r>
        <w:rPr>
          <w:rFonts w:ascii="Times New Roman" w:hAnsi="Times New Roman"/>
          <w:sz w:val="20"/>
        </w:rPr>
        <w:t xml:space="preserve">(1) 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conversion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 </w:t>
      </w:r>
    </w:p>
    <w:p>
      <w:pPr>
        <w:pStyle w:val="TextBody"/>
        <w:bidi w:val="0"/>
        <w:spacing w:before="120" w:after="0"/>
        <w:jc w:val="left"/>
        <w:rPr>
          <w:rFonts w:ascii="Times New Roman" w:hAnsi="Times New Roman"/>
          <w:sz w:val="20"/>
        </w:rPr>
      </w:pPr>
      <w:r>
        <w:rPr>
          <w:rFonts w:ascii="Times New Roman" w:hAnsi="Times New Roman"/>
          <w:sz w:val="20"/>
        </w:rPr>
        <w:t xml:space="preserve">(2) Notwithstanding paragraph (b)(1) of this section, appraisal rights under this section shall be available for the shares of any class or series of stock of a constituent or converting corporation if the holders thereof are required by the terms of an agreement of merger or consolidation, or by the terms of a resolution providing for conversion, pursuant to § 251, § 252, § 254, § 255, § 256, § 257, § 258, § 263, § 264 or § 266 of this title to accept for such stock anything except: </w:t>
      </w:r>
    </w:p>
    <w:p>
      <w:pPr>
        <w:pStyle w:val="TextBody"/>
        <w:bidi w:val="0"/>
        <w:spacing w:before="120" w:after="0"/>
        <w:jc w:val="left"/>
        <w:rPr>
          <w:rFonts w:ascii="Times New Roman" w:hAnsi="Times New Roman"/>
          <w:sz w:val="20"/>
        </w:rPr>
      </w:pPr>
      <w:r>
        <w:rPr>
          <w:rFonts w:ascii="Times New Roman" w:hAnsi="Times New Roman"/>
          <w:sz w:val="20"/>
        </w:rPr>
        <w:t xml:space="preserve">a. Shares of stock of the corporation surviving or resulting from such merger or consolidation, or of the converted entity if such entity is a corporation as a result of the conversion, or depository receipts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b. Shares of stock of any other corporation, or depository receipts in respect thereof, which shares of stock (or depository receipts in respect thereof) or depository receipts at the effective date of the merger, consolidation or conversion will be either listed on a national securities exchange or held of record by more than 2,000 holders;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Cash in lieu of fractional shares or fractional depository receipts described in the foregoing paragraphs (b)(2)a. and b. of this section; or </w:t>
      </w:r>
    </w:p>
    <w:p>
      <w:pPr>
        <w:pStyle w:val="TextBody"/>
        <w:bidi w:val="0"/>
        <w:spacing w:before="120" w:after="0"/>
        <w:jc w:val="left"/>
        <w:rPr>
          <w:rFonts w:ascii="Times New Roman" w:hAnsi="Times New Roman"/>
          <w:sz w:val="20"/>
        </w:rPr>
      </w:pPr>
      <w:r>
        <w:rPr>
          <w:rFonts w:ascii="Times New Roman" w:hAnsi="Times New Roman"/>
          <w:sz w:val="20"/>
        </w:rPr>
        <w:t xml:space="preserve">d. Any combination of the shares of stock, depository receipts and cash in lieu of fractional shares or fractional depository receipts described in the foregoing paragraphs (b)(2)a., b. and c.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(3) In the event all of the stock of a subsidiary Delaware corporation party to a merger effected under § 253 or § 267 of this title is not owned by the parent immediately prior to the merger, appraisal rights shall be available for the shares of the subsidiary Delaware corporation. </w:t>
      </w:r>
    </w:p>
    <w:p>
      <w:pPr>
        <w:pStyle w:val="TextBody"/>
        <w:bidi w:val="0"/>
        <w:spacing w:before="120" w:after="0"/>
        <w:jc w:val="left"/>
        <w:rPr>
          <w:rFonts w:ascii="Times New Roman" w:hAnsi="Times New Roman"/>
          <w:sz w:val="20"/>
        </w:rPr>
      </w:pPr>
      <w:r>
        <w:rPr>
          <w:rFonts w:ascii="Times New Roman" w:hAnsi="Times New Roman"/>
          <w:sz w:val="20"/>
        </w:rPr>
        <w:t xml:space="preserve">(4) [Repealed.] </w:t>
      </w:r>
    </w:p>
    <w:p>
      <w:pPr>
        <w:pStyle w:val="TextBody"/>
        <w:bidi w:val="0"/>
        <w:spacing w:before="120" w:after="0"/>
        <w:jc w:val="left"/>
        <w:rPr>
          <w:rFonts w:ascii="Times New Roman" w:hAnsi="Times New Roman"/>
          <w:sz w:val="20"/>
        </w:rPr>
      </w:pPr>
      <w:r>
        <w:rPr>
          <w:rFonts w:ascii="Times New Roman" w:hAnsi="Times New Roman"/>
          <w:sz w:val="20"/>
        </w:rPr>
        <w:t xml:space="preserve">(c) 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If the certificate of incorporation contains such a provision, the provisions of this section, including those set forth in subsections (d), (e), and (g) of this section, shall apply as nearly as is practicable. </w:t>
      </w:r>
    </w:p>
    <w:p>
      <w:pPr>
        <w:pStyle w:val="TextBody"/>
        <w:bidi w:val="0"/>
        <w:spacing w:before="120" w:after="0"/>
        <w:jc w:val="left"/>
        <w:rPr>
          <w:rFonts w:ascii="Times New Roman" w:hAnsi="Times New Roman"/>
          <w:sz w:val="20"/>
        </w:rPr>
      </w:pPr>
      <w:r>
        <w:rPr>
          <w:rFonts w:ascii="Times New Roman" w:hAnsi="Times New Roman"/>
          <w:sz w:val="20"/>
        </w:rPr>
        <w:t xml:space="preserve">(d) Appraisal rights shall be perfected as follows: </w:t>
      </w:r>
    </w:p>
    <w:p>
      <w:pPr>
        <w:pStyle w:val="TextBody"/>
        <w:bidi w:val="0"/>
        <w:spacing w:before="120" w:after="0"/>
        <w:jc w:val="left"/>
        <w:rPr>
          <w:rFonts w:ascii="Times New Roman" w:hAnsi="Times New Roman"/>
          <w:sz w:val="20"/>
        </w:rPr>
      </w:pPr>
      <w:r>
        <w:rPr>
          <w:rFonts w:ascii="Times New Roman" w:hAnsi="Times New Roman"/>
          <w:sz w:val="20"/>
        </w:rPr>
        <w:t xml:space="preserve">(1) If a proposed merger, consolidation or conversion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or conversion,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or conversion shall not constitute such a demand. A stockholder electing to take such action must do so by a separate written demand as herein provided. Within 10 days after the effective date of such merger, consolidation or conversion, the surviving, resulting or converted entity shall notify each stockholder of each constituent or converting corporation who has complied with this subsection and has not voted in favor of or consented to the merger, consolidation or conversion, and any beneficial owner who has demanded appraisal under paragraph (d)(3) of this section, of the date that the merger, consolidation or conversion has become effective; or </w:t>
      </w:r>
    </w:p>
    <w:p>
      <w:pPr>
        <w:pStyle w:val="TextBody"/>
        <w:bidi w:val="0"/>
        <w:spacing w:before="120" w:after="0"/>
        <w:jc w:val="left"/>
        <w:rPr>
          <w:rFonts w:ascii="Times New Roman" w:hAnsi="Times New Roman"/>
          <w:sz w:val="20"/>
        </w:rPr>
      </w:pPr>
      <w:r>
        <w:rPr>
          <w:rFonts w:ascii="Times New Roman" w:hAnsi="Times New Roman"/>
          <w:sz w:val="20"/>
        </w:rPr>
        <w:t xml:space="preserve">(2) If the merger, consolidation or conversion was approved pursuant to § 228, § 251(h), § 253, or § 267 of this title, then either a constituent or converting corporation before the effective date of the merger, consolidation or conversion, or the surviving, resulting or converted entity within 10 days after such effective date, shall notify each stockholder of any class or series of stock of such constituent or converting corporation who is entitled to appraisal rights of the approval of the merger,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consolidation or conversion and that appraisal rights are available for any or all shares of such class or series of stock of such constituent or converting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or conversion, shall, also notify such stockholders of the effective date of the merger, consolidation or conversion.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or resulting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or conversion, either (i) each such constituent corporation or the converting corporation shall send a second notice before the effective date of the merger, consolidation or conversion notifying each of the holders of any class or series of stock of such constituent or converting corporation that are entitled to appraisal rights of the effective date of the merger, consolidation or conversion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corporation may fix, in advance, a record date that shall be not more than 10 days prior to the date the notice is given, provided, that if the notice is given on or after the effective date of the merger, consolidation or conversion, the record date shall be such effective date. If no record date is fixed and the notice is given prior to the effective date, the record date shall be the close of business on the day next preceding the day on which the notice is given. </w:t>
      </w:r>
    </w:p>
    <w:p>
      <w:pPr>
        <w:pStyle w:val="TextBody"/>
        <w:bidi w:val="0"/>
        <w:spacing w:before="120" w:after="0"/>
        <w:jc w:val="left"/>
        <w:rPr>
          <w:rFonts w:ascii="Times New Roman" w:hAnsi="Times New Roman"/>
          <w:sz w:val="20"/>
        </w:rPr>
      </w:pPr>
      <w:r>
        <w:rPr>
          <w:rFonts w:ascii="Times New Roman" w:hAnsi="Times New Roman"/>
          <w:sz w:val="20"/>
        </w:rPr>
        <w:t xml:space="preserve">(3) 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or conversion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Within 120 days after the effective date of the merger, consolidation or conversion, the surviving, resulting or converted entity, or any person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or conversion, any person entitled to appraisal rights who has not commenced an appraisal proceeding or joined that proceeding as a named party shall have the right to withdraw such person’s demand for appraisal and to accept the terms offered upon the merger, consolidation or conversion. Within 120 days after the effective date of the merger, consolidation or conversion, any person who has complied with the requirements of subsections (a) and (d) of this section hereof,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or conversion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hereof, whichever is later. </w:t>
      </w:r>
    </w:p>
    <w:p>
      <w:pPr>
        <w:pStyle w:val="TextBody"/>
        <w:bidi w:val="0"/>
        <w:spacing w:before="120" w:after="0"/>
        <w:jc w:val="left"/>
        <w:rPr>
          <w:rFonts w:ascii="Times New Roman" w:hAnsi="Times New Roman"/>
          <w:sz w:val="20"/>
        </w:rPr>
      </w:pPr>
      <w:r>
        <w:rPr>
          <w:rFonts w:ascii="Times New Roman" w:hAnsi="Times New Roman"/>
          <w:sz w:val="20"/>
        </w:rPr>
        <w:t xml:space="preserve">(f) 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 </w:t>
      </w:r>
    </w:p>
    <w:p>
      <w:pPr>
        <w:pStyle w:val="TextBody"/>
        <w:bidi w:val="0"/>
        <w:spacing w:before="120" w:after="0"/>
        <w:jc w:val="left"/>
        <w:rPr>
          <w:rFonts w:ascii="Times New Roman" w:hAnsi="Times New Roman"/>
          <w:sz w:val="20"/>
        </w:rPr>
      </w:pPr>
      <w:r>
        <w:rPr>
          <w:rFonts w:ascii="Times New Roman" w:hAnsi="Times New Roman"/>
          <w:sz w:val="20"/>
        </w:rPr>
        <w:t xml:space="preserve">(g) 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or conversion the shares of the class or series of stock of the constituent or converting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or conversion for such total number of shares exceeds $1 million, or (3) the merger was approved pursuant to § 253 or § 267 of this title.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or conversion,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or conversion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 </w:t>
      </w:r>
    </w:p>
    <w:p>
      <w:pPr>
        <w:pStyle w:val="TextBody"/>
        <w:bidi w:val="0"/>
        <w:spacing w:before="120" w:after="0"/>
        <w:jc w:val="left"/>
        <w:rPr>
          <w:rFonts w:ascii="Times New Roman" w:hAnsi="Times New Roman"/>
          <w:sz w:val="20"/>
        </w:rPr>
      </w:pPr>
      <w:r>
        <w:rPr>
          <w:rFonts w:ascii="Times New Roman" w:hAnsi="Times New Roman"/>
          <w:sz w:val="20"/>
        </w:rPr>
        <w:t xml:space="preserve">(i) 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 </w:t>
      </w:r>
    </w:p>
    <w:p>
      <w:pPr>
        <w:pStyle w:val="TextBody"/>
        <w:bidi w:val="0"/>
        <w:spacing w:before="120" w:after="0"/>
        <w:jc w:val="left"/>
        <w:rPr>
          <w:rFonts w:ascii="Times New Roman" w:hAnsi="Times New Roman"/>
          <w:sz w:val="20"/>
        </w:rPr>
      </w:pPr>
      <w:r>
        <w:rPr>
          <w:rFonts w:ascii="Times New Roman" w:hAnsi="Times New Roman"/>
          <w:sz w:val="20"/>
        </w:rPr>
        <w:t xml:space="preserve">(j) 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(k) From and after the effective date of the merger, consolidation or conversion,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or conversion); provided, however, that if no petition for an appraisal is filed within the time provided in subsection (e) of this section, or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then the right of such person to an appraisal of the shares subject to the withdrawal shall cease. Notwithstanding the foregoing, no appraisal proceeding in the Court of Chancery shall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or conversion within 60 days after the effective date of the merger, consolidation or conversion, as set forth in subsection (e) of this section.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i/>
          <w:sz w:val="20"/>
        </w:rPr>
        <w:t>l</w:t>
      </w:r>
      <w:r>
        <w:rPr>
          <w:rFonts w:ascii="Times New Roman" w:hAnsi="Times New Roman"/>
          <w:sz w:val="20"/>
        </w:rPr>
        <w:t xml:space="preserve">)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10.2 </w:t>
      </w:r>
    </w:p>
    <w:p>
      <w:pPr>
        <w:pStyle w:val="TextBody"/>
        <w:bidi w:val="0"/>
        <w:spacing w:before="240" w:after="0"/>
        <w:jc w:val="right"/>
        <w:rPr>
          <w:rFonts w:ascii="Times New Roman" w:hAnsi="Times New Roman"/>
          <w:b/>
          <w:sz w:val="20"/>
        </w:rPr>
      </w:pPr>
      <w:r>
        <w:rPr>
          <w:rFonts w:ascii="Times New Roman" w:hAnsi="Times New Roman"/>
          <w:b/>
          <w:sz w:val="20"/>
        </w:rPr>
        <w:t xml:space="preserve">CONFIDENTIAL </w:t>
      </w:r>
    </w:p>
    <w:p>
      <w:pPr>
        <w:pStyle w:val="TextBody"/>
        <w:bidi w:val="0"/>
        <w:spacing w:before="240" w:after="0"/>
        <w:jc w:val="center"/>
        <w:rPr>
          <w:rFonts w:ascii="Times New Roman" w:hAnsi="Times New Roman"/>
          <w:b/>
          <w:sz w:val="20"/>
        </w:rPr>
      </w:pPr>
      <w:r>
        <w:rPr>
          <w:rFonts w:ascii="Times New Roman" w:hAnsi="Times New Roman"/>
          <w:b/>
          <w:sz w:val="20"/>
        </w:rPr>
        <w:t xml:space="preserve">COMPANY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 xml:space="preserve">SUPPORT AGREEMENT </w:t>
      </w:r>
      <w:r>
        <w:rPr>
          <w:rFonts w:ascii="Times New Roman" w:hAnsi="Times New Roman"/>
          <w:sz w:val="20"/>
        </w:rPr>
        <w:t>(this “</w:t>
      </w:r>
      <w:r>
        <w:rPr>
          <w:rFonts w:ascii="Times New Roman" w:hAnsi="Times New Roman"/>
          <w:b/>
          <w:i/>
          <w:sz w:val="20"/>
        </w:rPr>
        <w:t>Agreement</w:t>
      </w:r>
      <w:r>
        <w:rPr>
          <w:rFonts w:ascii="Times New Roman" w:hAnsi="Times New Roman"/>
          <w:sz w:val="20"/>
        </w:rPr>
        <w:t xml:space="preserve">”) is made as of August 16, 2026, by and between </w:t>
      </w:r>
      <w:r>
        <w:rPr>
          <w:rFonts w:ascii="Times New Roman" w:hAnsi="Times New Roman"/>
          <w:b/>
          <w:sz w:val="20"/>
        </w:rPr>
        <w:t>FULCRUM THERAPEUTICS, INC.</w:t>
      </w:r>
      <w:r>
        <w:rPr>
          <w:rFonts w:ascii="Times New Roman" w:hAnsi="Times New Roman"/>
          <w:sz w:val="20"/>
        </w:rPr>
        <w:t>, a Delaware corporation (“</w:t>
      </w:r>
      <w:r>
        <w:rPr>
          <w:rFonts w:ascii="Times New Roman" w:hAnsi="Times New Roman"/>
          <w:b/>
          <w:i/>
          <w:sz w:val="20"/>
        </w:rPr>
        <w:t>Parent</w:t>
      </w:r>
      <w:r>
        <w:rPr>
          <w:rFonts w:ascii="Times New Roman" w:hAnsi="Times New Roman"/>
          <w:sz w:val="20"/>
        </w:rPr>
        <w:t xml:space="preserve">”), and the [Person] set forth on </w:t>
      </w:r>
      <w:r>
        <w:rPr>
          <w:rFonts w:ascii="Times New Roman" w:hAnsi="Times New Roman"/>
          <w:sz w:val="20"/>
          <w:u w:val="single"/>
        </w:rPr>
        <w:t>Schedule A</w:t>
      </w:r>
      <w:r>
        <w:rPr>
          <w:rFonts w:ascii="Times New Roman" w:hAnsi="Times New Roman"/>
          <w:sz w:val="20"/>
        </w:rPr>
        <w:t xml:space="preserve"> hereto (the “</w:t>
      </w:r>
      <w:r>
        <w:rPr>
          <w:rFonts w:ascii="Times New Roman" w:hAnsi="Times New Roman"/>
          <w:b/>
          <w:i/>
          <w:sz w:val="20"/>
        </w:rPr>
        <w:t>Stockholder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as of the date hereof, the Stockholder is the holder of the number of shares of common stock, par value $0.00001 per share (“</w:t>
      </w:r>
      <w:r>
        <w:rPr>
          <w:rFonts w:ascii="Times New Roman" w:hAnsi="Times New Roman"/>
          <w:b/>
          <w:i/>
          <w:sz w:val="20"/>
        </w:rPr>
        <w:t>Common Stock</w:t>
      </w:r>
      <w:r>
        <w:rPr>
          <w:rFonts w:ascii="Times New Roman" w:hAnsi="Times New Roman"/>
          <w:sz w:val="20"/>
        </w:rPr>
        <w:t>”), preferred stock, par value $0.00001 per share (“</w:t>
      </w:r>
      <w:r>
        <w:rPr>
          <w:rFonts w:ascii="Times New Roman" w:hAnsi="Times New Roman"/>
          <w:b/>
          <w:i/>
          <w:sz w:val="20"/>
        </w:rPr>
        <w:t>Preferred Stock</w:t>
      </w:r>
      <w:r>
        <w:rPr>
          <w:rFonts w:ascii="Times New Roman" w:hAnsi="Times New Roman"/>
          <w:sz w:val="20"/>
        </w:rPr>
        <w:t>” and collectively with the Common Stock, the “</w:t>
      </w:r>
      <w:r>
        <w:rPr>
          <w:rFonts w:ascii="Times New Roman" w:hAnsi="Times New Roman"/>
          <w:b/>
          <w:i/>
          <w:sz w:val="20"/>
        </w:rPr>
        <w:t>Company Shares</w:t>
      </w:r>
      <w:r>
        <w:rPr>
          <w:rFonts w:ascii="Times New Roman" w:hAnsi="Times New Roman"/>
          <w:sz w:val="20"/>
        </w:rPr>
        <w:t xml:space="preserve">”) and Company Options to acquire the number of Company Shares, of </w:t>
      </w:r>
      <w:r>
        <w:rPr>
          <w:rFonts w:ascii="Times New Roman" w:hAnsi="Times New Roman"/>
          <w:b/>
          <w:sz w:val="20"/>
        </w:rPr>
        <w:t>SLATE MEDICINES, INC.</w:t>
      </w:r>
      <w:r>
        <w:rPr>
          <w:rFonts w:ascii="Times New Roman" w:hAnsi="Times New Roman"/>
          <w:sz w:val="20"/>
        </w:rPr>
        <w:t>, a Delaware corporation (the “</w:t>
      </w:r>
      <w:r>
        <w:rPr>
          <w:rFonts w:ascii="Times New Roman" w:hAnsi="Times New Roman"/>
          <w:b/>
          <w:i/>
          <w:sz w:val="20"/>
        </w:rPr>
        <w:t>Company</w:t>
      </w:r>
      <w:r>
        <w:rPr>
          <w:rFonts w:ascii="Times New Roman" w:hAnsi="Times New Roman"/>
          <w:sz w:val="20"/>
        </w:rPr>
        <w:t xml:space="preserve">”), set forth opposite the Stockholder’s name on </w:t>
      </w:r>
      <w:r>
        <w:rPr>
          <w:rFonts w:ascii="Times New Roman" w:hAnsi="Times New Roman"/>
          <w:sz w:val="20"/>
          <w:u w:val="single"/>
        </w:rPr>
        <w:t>Schedule A</w:t>
      </w:r>
      <w:r>
        <w:rPr>
          <w:rFonts w:ascii="Times New Roman" w:hAnsi="Times New Roman"/>
          <w:sz w:val="20"/>
        </w:rPr>
        <w:t xml:space="preserve"> (all Company Shares owned by the Stockholder, or hereafter issued pursuant to securities exercisable or convertible to or otherwise acquired, whether beneficially or of record, or owned by the Stockholder prior to the termination of this Agreement, as well as shares set forth on </w:t>
      </w:r>
      <w:r>
        <w:rPr>
          <w:rFonts w:ascii="Times New Roman" w:hAnsi="Times New Roman"/>
          <w:sz w:val="20"/>
          <w:u w:val="single"/>
        </w:rPr>
        <w:t>Schedule A</w:t>
      </w:r>
      <w:r>
        <w:rPr>
          <w:rFonts w:ascii="Times New Roman" w:hAnsi="Times New Roman"/>
          <w:sz w:val="20"/>
        </w:rPr>
        <w:t>, being referred to herein as the “</w:t>
      </w:r>
      <w:r>
        <w:rPr>
          <w:rFonts w:ascii="Times New Roman" w:hAnsi="Times New Roman"/>
          <w:b/>
          <w:i/>
          <w:sz w:val="20"/>
        </w:rPr>
        <w:t>Subject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Parent, </w:t>
      </w:r>
      <w:r>
        <w:rPr>
          <w:rFonts w:ascii="Times New Roman" w:hAnsi="Times New Roman"/>
          <w:b/>
          <w:sz w:val="20"/>
        </w:rPr>
        <w:t>FUSION MERGER SUB I, INC.</w:t>
      </w:r>
      <w:r>
        <w:rPr>
          <w:rFonts w:ascii="Times New Roman" w:hAnsi="Times New Roman"/>
          <w:sz w:val="20"/>
        </w:rPr>
        <w:t>, a Delaware corporation and wholly owned subsidiary of Parent (“</w:t>
      </w:r>
      <w:r>
        <w:rPr>
          <w:rFonts w:ascii="Times New Roman" w:hAnsi="Times New Roman"/>
          <w:b/>
          <w:i/>
          <w:sz w:val="20"/>
        </w:rPr>
        <w:t>First</w:t>
      </w:r>
      <w:r>
        <w:rPr>
          <w:rFonts w:ascii="Times New Roman" w:hAnsi="Times New Roman"/>
          <w:sz w:val="20"/>
        </w:rPr>
        <w:t xml:space="preserve"> </w:t>
      </w:r>
      <w:r>
        <w:rPr>
          <w:rFonts w:ascii="Times New Roman" w:hAnsi="Times New Roman"/>
          <w:b/>
          <w:i/>
          <w:sz w:val="20"/>
        </w:rPr>
        <w:t>Merger Sub</w:t>
      </w:r>
      <w:r>
        <w:rPr>
          <w:rFonts w:ascii="Times New Roman" w:hAnsi="Times New Roman"/>
          <w:sz w:val="20"/>
        </w:rPr>
        <w:t xml:space="preserve">”), and </w:t>
      </w:r>
      <w:r>
        <w:rPr>
          <w:rFonts w:ascii="Times New Roman" w:hAnsi="Times New Roman"/>
          <w:b/>
          <w:sz w:val="20"/>
        </w:rPr>
        <w:t>FUSION MERGER SUB II, LLC</w:t>
      </w:r>
      <w:r>
        <w:rPr>
          <w:rFonts w:ascii="Times New Roman" w:hAnsi="Times New Roman"/>
          <w:sz w:val="20"/>
        </w:rPr>
        <w:t>, a Delaware limited liability company and a wholly owned subsidiary of Parent (“</w:t>
      </w:r>
      <w:r>
        <w:rPr>
          <w:rFonts w:ascii="Times New Roman" w:hAnsi="Times New Roman"/>
          <w:b/>
          <w:i/>
          <w:sz w:val="20"/>
        </w:rPr>
        <w:t>Second Merger Sub</w:t>
      </w:r>
      <w:r>
        <w:rPr>
          <w:rFonts w:ascii="Times New Roman" w:hAnsi="Times New Roman"/>
          <w:sz w:val="20"/>
        </w:rPr>
        <w:t>,” and together with First Merger Sub, “</w:t>
      </w:r>
      <w:r>
        <w:rPr>
          <w:rFonts w:ascii="Times New Roman" w:hAnsi="Times New Roman"/>
          <w:b/>
          <w:i/>
          <w:sz w:val="20"/>
        </w:rPr>
        <w:t>Merger Subs</w:t>
      </w:r>
      <w:r>
        <w:rPr>
          <w:rFonts w:ascii="Times New Roman" w:hAnsi="Times New Roman"/>
          <w:sz w:val="20"/>
        </w:rPr>
        <w:t>”) propose to enter into an Agreement and Plan of Merger, dated as of the date hereof (the “</w:t>
      </w:r>
      <w:r>
        <w:rPr>
          <w:rFonts w:ascii="Times New Roman" w:hAnsi="Times New Roman"/>
          <w:b/>
          <w:i/>
          <w:sz w:val="20"/>
        </w:rPr>
        <w:t>Merger Agreement</w:t>
      </w:r>
      <w:r>
        <w:rPr>
          <w:rFonts w:ascii="Times New Roman" w:hAnsi="Times New Roman"/>
          <w:sz w:val="20"/>
        </w:rPr>
        <w:t>”), which provides, among other things (i) First Merger Sub will merge with and into the Company (the “</w:t>
      </w:r>
      <w:r>
        <w:rPr>
          <w:rFonts w:ascii="Times New Roman" w:hAnsi="Times New Roman"/>
          <w:b/>
          <w:i/>
          <w:sz w:val="20"/>
        </w:rPr>
        <w:t>First Merger</w:t>
      </w:r>
      <w:r>
        <w:rPr>
          <w:rFonts w:ascii="Times New Roman" w:hAnsi="Times New Roman"/>
          <w:sz w:val="20"/>
        </w:rPr>
        <w:t>”), with the Company surviving the First Merger as the surviving corporation and a wholly owned subsidiary of Parent, and (ii) the Company will merge with and into Second Merger Sub (the “</w:t>
      </w:r>
      <w:r>
        <w:rPr>
          <w:rFonts w:ascii="Times New Roman" w:hAnsi="Times New Roman"/>
          <w:b/>
          <w:i/>
          <w:sz w:val="20"/>
        </w:rPr>
        <w:t>Second Merger</w:t>
      </w:r>
      <w:r>
        <w:rPr>
          <w:rFonts w:ascii="Times New Roman" w:hAnsi="Times New Roman"/>
          <w:sz w:val="20"/>
        </w:rPr>
        <w:t>” and, together with the First Merger, the “</w:t>
      </w:r>
      <w:r>
        <w:rPr>
          <w:rFonts w:ascii="Times New Roman" w:hAnsi="Times New Roman"/>
          <w:b/>
          <w:i/>
          <w:sz w:val="20"/>
        </w:rPr>
        <w:t>Merger</w:t>
      </w:r>
      <w:r>
        <w:rPr>
          <w:rFonts w:ascii="Times New Roman" w:hAnsi="Times New Roman"/>
          <w:sz w:val="20"/>
        </w:rPr>
        <w:t xml:space="preserve">”), with Second Merger Sub surviving the Second Merger as the surviving corporation, in each case, upon the terms and subject to the conditions set forth in the Merger Agreement (capitalized terms used but not otherwise defined herein shall have the respective meanings ascribed to such terms in the Merger Agreement);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a condition to its willingness to enter into the Merger Agreement, Parent has required that the Stockholder, and as an inducement and in consideration therefor, the Stockholder (in the Stockholder’s capacity as a holder of the Subject Shares) has agreed to, enter into this Agreement.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VOTING AGREEMENT; GRANT OF PROXY </w:t>
      </w:r>
    </w:p>
    <w:p>
      <w:pPr>
        <w:pStyle w:val="TextBody"/>
        <w:bidi w:val="0"/>
        <w:spacing w:before="240" w:after="0"/>
        <w:jc w:val="left"/>
        <w:rPr>
          <w:rFonts w:ascii="Times New Roman" w:hAnsi="Times New Roman"/>
          <w:sz w:val="20"/>
        </w:rPr>
      </w:pPr>
      <w:r>
        <w:rPr>
          <w:rFonts w:ascii="Times New Roman" w:hAnsi="Times New Roman"/>
          <w:sz w:val="20"/>
        </w:rPr>
        <w:t xml:space="preserve">The Stockholder hereby covenants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u w:val="single"/>
        </w:rPr>
        <w:t>Voting of Subject Shares</w:t>
      </w:r>
      <w:r>
        <w:rPr>
          <w:rFonts w:ascii="Times New Roman" w:hAnsi="Times New Roman"/>
          <w:sz w:val="20"/>
        </w:rPr>
        <w:t>. From and after the date hereof, at every meeting of the holders of Company Shares (the “</w:t>
      </w:r>
      <w:r>
        <w:rPr>
          <w:rFonts w:ascii="Times New Roman" w:hAnsi="Times New Roman"/>
          <w:b/>
          <w:i/>
          <w:sz w:val="20"/>
        </w:rPr>
        <w:t>Company Stockholders</w:t>
      </w:r>
      <w:r>
        <w:rPr>
          <w:rFonts w:ascii="Times New Roman" w:hAnsi="Times New Roman"/>
          <w:sz w:val="20"/>
        </w:rPr>
        <w:t xml:space="preserve">”), however called, and at every adjournment or postponement thereof (or pursuant to a written consent if the Company Stockholders act by written consent in lieu of a meeting, including in connection with the Company Stockholder Approval), the Stockholder shall, or shall cause the holder of record on any applicable record date to, be present (in person or by proxy) and to vote or cause to be voted the Subject Shares, or to execute and deliver a written consent with respect to the Subject Shares, (a) in favor of adopting the Merger Agreement and approving the Merger and the other transactions contemplated by the Merger Agreement, (b) against approval of any proposal made in opposition to, or in competition with, the Merger Agreement or the consummation of the Merger, and (c) against any Acquisition Proposal. Except as permitted under clauses (A) through (K) of </w:t>
      </w:r>
      <w:r>
        <w:rPr>
          <w:rFonts w:ascii="Times New Roman" w:hAnsi="Times New Roman"/>
          <w:sz w:val="20"/>
          <w:u w:val="single"/>
        </w:rPr>
        <w:t>Section 1.2</w:t>
      </w:r>
      <w:r>
        <w:rPr>
          <w:rFonts w:ascii="Times New Roman" w:hAnsi="Times New Roman"/>
          <w:sz w:val="20"/>
        </w:rPr>
        <w:t xml:space="preserve"> below, the Stockholder shall retain at all times the right to vote the Subject Shares in the Stockholder’s sole discretion and without any other limitation on those matters other than those set forth in this </w:t>
      </w:r>
      <w:r>
        <w:rPr>
          <w:rFonts w:ascii="Times New Roman" w:hAnsi="Times New Roman"/>
          <w:sz w:val="20"/>
          <w:u w:val="single"/>
        </w:rPr>
        <w:t>Section 1.1</w:t>
      </w:r>
      <w:r>
        <w:rPr>
          <w:rFonts w:ascii="Times New Roman" w:hAnsi="Times New Roman"/>
          <w:sz w:val="20"/>
        </w:rPr>
        <w:t xml:space="preserve"> that are at any time or from time to time presented for consideration to the Company Stockholders.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u w:val="single"/>
        </w:rPr>
        <w:t>No Inconsistent Arrangements</w:t>
      </w:r>
      <w:r>
        <w:rPr>
          <w:rFonts w:ascii="Times New Roman" w:hAnsi="Times New Roman"/>
          <w:sz w:val="20"/>
        </w:rPr>
        <w:t>. Except as provided hereunder or under the Merger Agreement, prior to the Effective Time, the Stockholder shall not, directly or indirectly, (a) create any Lien other than restrictions imposed by Law or pursuant to this Agreement on any Subject Shares; (b) transfer, sell, assign, gift or otherwise dispose of (collectively, “</w:t>
      </w:r>
      <w:r>
        <w:rPr>
          <w:rFonts w:ascii="Times New Roman" w:hAnsi="Times New Roman"/>
          <w:b/>
          <w:i/>
          <w:sz w:val="20"/>
        </w:rPr>
        <w:t>Transfer</w:t>
      </w:r>
      <w:r>
        <w:rPr>
          <w:rFonts w:ascii="Times New Roman" w:hAnsi="Times New Roman"/>
          <w:sz w:val="20"/>
        </w:rPr>
        <w:t xml:space="preserve">”), or enter into any contract with respect to any Transfer of, the Subject Shares or any interest therein; (c) grant or permit the grant of any proxy, power of attorney or other authorization in or with respect to the Subject Shares; (d) deposit or permit the deposit of the Subject Shares into a voting trust or enter into a voting agreement or arrangement with respect to the Subject Shares; or (e) take any action that, to the knowledge of the Stockholder, would make any representation or warranty of the Stockholder herein untrue or incorrect in any material respect or have the effect of preventing the Stockholder from performing the Stockholder’s obligations hereunder. Any action taken in violation of the foregoing sentence shall be null and void </w:t>
      </w:r>
      <w:r>
        <w:rPr>
          <w:rFonts w:ascii="Times New Roman" w:hAnsi="Times New Roman"/>
          <w:i/>
          <w:sz w:val="20"/>
        </w:rPr>
        <w:t>ab initio</w:t>
      </w:r>
      <w:r>
        <w:rPr>
          <w:rFonts w:ascii="Times New Roman" w:hAnsi="Times New Roman"/>
          <w:sz w:val="20"/>
        </w:rPr>
        <w:t xml:space="preserve">. Notwithstanding the foregoing, the Stockholder may (A) Transfer the Subject Shares as a </w:t>
      </w:r>
      <w:r>
        <w:rPr>
          <w:rFonts w:ascii="Times New Roman" w:hAnsi="Times New Roman"/>
          <w:i/>
          <w:sz w:val="20"/>
        </w:rPr>
        <w:t xml:space="preserve">bona fide </w:t>
      </w:r>
      <w:r>
        <w:rPr>
          <w:rFonts w:ascii="Times New Roman" w:hAnsi="Times New Roman"/>
          <w:sz w:val="20"/>
        </w:rPr>
        <w:t xml:space="preserve">charitable contribution, gift or donation; (B) Transfer the Subject Shares to any trust for the direct or indirect benefit of the Stockholder or the immediate family of the Stockholder; (C) Transfer the Subject Shares by will, other testamentary document or intestate succession to the legal representative, heir, beneficiary or a member of the immediate family of the Stockholder; (D) Transfer the Subject Shares to stockholders, direct or indirect affiliates (within the meaning set forth in Rule 405 under the Securities Act), current or former partners (general or limited), members or managers of the Stockholder, as applicable, or to the estates of any such stockholders, affiliates, partners, members or managers, or to another corporation, partnership, limited liability company or other business entity that controls, is controlled by or is under common control with the Stockholder; (E) make Transfers that occur by operation of law pursuant to a qualified domestic relations order or in connection with a divorce settlement; (F) make Transfers not involving a change in beneficial ownership; (G) if the Stockholder is a trust, Transfer Subject Shares to any beneficiary of the Stockholder or the estate of any such beneficiary; (H) exercise a Company Option to purchase Company Shares or settle an equity award (including a net or cashless exercise of such option); (I) Transfer Company Shares to the Company to cover tax withholding obligations of the Stockholder in connection with the vesting, settlement or exercise of any Company Options, or other equity awards, as applicable, </w:t>
      </w:r>
      <w:r>
        <w:rPr>
          <w:rFonts w:ascii="Times New Roman" w:hAnsi="Times New Roman"/>
          <w:i/>
          <w:sz w:val="20"/>
          <w:u w:val="single"/>
        </w:rPr>
        <w:t>provided</w:t>
      </w:r>
      <w:r>
        <w:rPr>
          <w:rFonts w:ascii="Times New Roman" w:hAnsi="Times New Roman"/>
          <w:sz w:val="20"/>
        </w:rPr>
        <w:t xml:space="preserve"> that in each case, the underlying Company Shares shall continue to be subject to the restrictions on transfer set forth in this Agreement; (J) establish a trading plan pursuant to Rule 10b5-1 under the Exchange Act for the transfer of Company Shares; and (K) Transfer Company Shares to the Company pursuant to arrangements under which the Company has the option to repurchase such Company Shares; </w:t>
      </w:r>
      <w:r>
        <w:rPr>
          <w:rFonts w:ascii="Times New Roman" w:hAnsi="Times New Roman"/>
          <w:i/>
          <w:sz w:val="20"/>
          <w:u w:val="single"/>
        </w:rPr>
        <w:t>provided</w:t>
      </w:r>
      <w:r>
        <w:rPr>
          <w:rFonts w:ascii="Times New Roman" w:hAnsi="Times New Roman"/>
          <w:sz w:val="20"/>
        </w:rPr>
        <w:t xml:space="preserve"> that, with respect to clauses (A) through (G) above, the transferee agrees in writing to be bound by the terms and conditions of this Agreement and either the Stockholder or the transferee provides Parent with a copy of such agreement promptly upon consummation of any such Transfer;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further</w:t>
      </w:r>
      <w:r>
        <w:rPr>
          <w:rFonts w:ascii="Times New Roman" w:hAnsi="Times New Roman"/>
          <w:sz w:val="20"/>
        </w:rPr>
        <w:t xml:space="preserve"> that with respect to clauses (A) through (C) and (E) through (G) above, no filing under the Exchange Act or other public announcement shall be required or shall be made voluntarily in connection with such Transfer (other than filings made in respect of involuntary Transfers); </w:t>
      </w:r>
      <w:r>
        <w:rPr>
          <w:rFonts w:ascii="Times New Roman" w:hAnsi="Times New Roman"/>
          <w:i/>
          <w:sz w:val="20"/>
          <w:u w:val="single"/>
        </w:rPr>
        <w:t>provided</w:t>
      </w:r>
      <w:r>
        <w:rPr>
          <w:rFonts w:ascii="Times New Roman" w:hAnsi="Times New Roman"/>
          <w:sz w:val="20"/>
        </w:rPr>
        <w:t xml:space="preserve"> that reasonable notice shall be provided to Parent prior to any such filing and that the underlying Company Shares shall continue to be subject to the restrictions on Transfer set forth in this Agreement. For purposes of this Agreement, “immediate family” shall mean any relationship by blood, marriage or adoption, not more remote than first cousin.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u w:val="single"/>
        </w:rPr>
        <w:t>Irrevocable Proxy</w:t>
      </w:r>
      <w:r>
        <w:rPr>
          <w:rFonts w:ascii="Times New Roman" w:hAnsi="Times New Roman"/>
          <w:b/>
          <w:sz w:val="20"/>
        </w:rPr>
        <w:t xml:space="preserve">. </w:t>
      </w:r>
      <w:r>
        <w:rPr>
          <w:rFonts w:ascii="Times New Roman" w:hAnsi="Times New Roman"/>
          <w:sz w:val="20"/>
        </w:rPr>
        <w:t xml:space="preserve">The Stockholder hereby revokes (or agrees to cause to be revoked) any proxies that the Stockholder has heretofore granted with respect to the Subject Shares. The Stockholder hereby irrevocably appoints Parent as attorney-in-fact and proxy for and on behalf of the Stockholder, for and in the name, place and stead of the Stockholder, to: (a) attend any and all meetings of the Company Stockholders, (b) vote, express consent or dissent or issue instructions to the record holder to vote the Subject Shares in accordance with the provisions of </w:t>
      </w:r>
      <w:r>
        <w:rPr>
          <w:rFonts w:ascii="Times New Roman" w:hAnsi="Times New Roman"/>
          <w:sz w:val="20"/>
          <w:u w:val="single"/>
        </w:rPr>
        <w:t>Section 1.1</w:t>
      </w:r>
      <w:r>
        <w:rPr>
          <w:rFonts w:ascii="Times New Roman" w:hAnsi="Times New Roman"/>
          <w:sz w:val="20"/>
        </w:rPr>
        <w:t xml:space="preserve"> at any and all meetings of the Company Stockholders or in connection with any action sought to be taken by written consent of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Stockholders without a meeting and (c) grant or withhold, or issue instructions to the record holder to grant or withhold, consistent with the provisions of </w:t>
      </w:r>
      <w:r>
        <w:rPr>
          <w:rFonts w:ascii="Times New Roman" w:hAnsi="Times New Roman"/>
          <w:sz w:val="20"/>
          <w:u w:val="single"/>
        </w:rPr>
        <w:t>Section 1.1</w:t>
      </w:r>
      <w:r>
        <w:rPr>
          <w:rFonts w:ascii="Times New Roman" w:hAnsi="Times New Roman"/>
          <w:sz w:val="20"/>
        </w:rPr>
        <w:t xml:space="preserve">, all written consents with respect to the Subject Shares at any and all meetings of the Company Stockholders or in connection with any action sought to be taken by written consent of the Company Stockholders without a meeting. Parent agrees not to exercise the proxy granted herein for any purpose other than the purposes described in this Agreement. The foregoing proxy shall be deemed to be a proxy coupled with an interest, is irrevocable (and as such shall survive and not be affected by the death, incapacity, mental illness or insanity of the Stockholder, as applicable) until the termination of this Agreement and shall not be terminated by operation of law or upon the occurrence of any other event other than the termination of this Agreement pursuant to </w:t>
      </w:r>
      <w:r>
        <w:rPr>
          <w:rFonts w:ascii="Times New Roman" w:hAnsi="Times New Roman"/>
          <w:sz w:val="20"/>
          <w:u w:val="single"/>
        </w:rPr>
        <w:t>Section 4.2</w:t>
      </w:r>
      <w:r>
        <w:rPr>
          <w:rFonts w:ascii="Times New Roman" w:hAnsi="Times New Roman"/>
          <w:sz w:val="20"/>
        </w:rPr>
        <w:t xml:space="preserve">. The Stockholder authorizes such attorney and proxy to substitute any other Person to act hereunder, to revoke any substitution and to file this proxy and any substitution or revocation with the Secretary of the Company. The Stockholder hereby affirms that the proxy set forth in this </w:t>
      </w:r>
      <w:r>
        <w:rPr>
          <w:rFonts w:ascii="Times New Roman" w:hAnsi="Times New Roman"/>
          <w:sz w:val="20"/>
          <w:u w:val="single"/>
        </w:rPr>
        <w:t>Section 1.3</w:t>
      </w:r>
      <w:r>
        <w:rPr>
          <w:rFonts w:ascii="Times New Roman" w:hAnsi="Times New Roman"/>
          <w:sz w:val="20"/>
        </w:rPr>
        <w:t xml:space="preserve"> is given in connection with and granted in consideration of and as an inducement to Parent to enter into the Merger Agreement and that such proxy is given to secure the obligations of the Stockholder under </w:t>
      </w:r>
      <w:r>
        <w:rPr>
          <w:rFonts w:ascii="Times New Roman" w:hAnsi="Times New Roman"/>
          <w:sz w:val="20"/>
          <w:u w:val="single"/>
        </w:rPr>
        <w:t>Section 1.1</w:t>
      </w:r>
      <w:r>
        <w:rPr>
          <w:rFonts w:ascii="Times New Roman" w:hAnsi="Times New Roman"/>
          <w:sz w:val="20"/>
        </w:rPr>
        <w:t xml:space="preserve">. The proxy set forth in this </w:t>
      </w:r>
      <w:r>
        <w:rPr>
          <w:rFonts w:ascii="Times New Roman" w:hAnsi="Times New Roman"/>
          <w:sz w:val="20"/>
          <w:u w:val="single"/>
        </w:rPr>
        <w:t>Section 1.3</w:t>
      </w:r>
      <w:r>
        <w:rPr>
          <w:rFonts w:ascii="Times New Roman" w:hAnsi="Times New Roman"/>
          <w:sz w:val="20"/>
        </w:rPr>
        <w:t xml:space="preserve"> is executed and intended to be irrevocable, subject, however, to its automatic termination upon the termination of this Agreement pursuant to </w:t>
      </w:r>
      <w:r>
        <w:rPr>
          <w:rFonts w:ascii="Times New Roman" w:hAnsi="Times New Roman"/>
          <w:sz w:val="20"/>
          <w:u w:val="single"/>
        </w:rPr>
        <w:t>Section 4.2</w:t>
      </w:r>
      <w:r>
        <w:rPr>
          <w:rFonts w:ascii="Times New Roman" w:hAnsi="Times New Roman"/>
          <w:sz w:val="20"/>
        </w:rPr>
        <w:t xml:space="preserve">. With respect to any Subject Shares that are owned beneficially by the Stockholder but are not held of record by the Stockholder (other than shares beneficially owned by the Stockholder that are held in the name of a bank, broker or nominee), the Stockholder shall take all action necessary to cause the record holder of such Subject Shares to grant the irrevocable proxy and take all other actions provided for in this </w:t>
      </w:r>
      <w:r>
        <w:rPr>
          <w:rFonts w:ascii="Times New Roman" w:hAnsi="Times New Roman"/>
          <w:sz w:val="20"/>
          <w:u w:val="single"/>
        </w:rPr>
        <w:t>Section 1.3</w:t>
      </w:r>
      <w:r>
        <w:rPr>
          <w:rFonts w:ascii="Times New Roman" w:hAnsi="Times New Roman"/>
          <w:sz w:val="20"/>
        </w:rPr>
        <w:t xml:space="preserve"> with respect to such Subject Shares.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b/>
          <w:sz w:val="20"/>
          <w:u w:val="single"/>
        </w:rPr>
        <w:t>No Ownership Interest</w:t>
      </w:r>
      <w:r>
        <w:rPr>
          <w:rFonts w:ascii="Times New Roman" w:hAnsi="Times New Roman"/>
          <w:sz w:val="20"/>
        </w:rPr>
        <w:t xml:space="preserve">. Nothing contained in this Agreement will be deemed to vest in Parent any direct or indirect ownership or incidents of ownership of or with respect to the Subject Shares. All rights, ownership and economic benefits of and relating to the Subject Shares will remain and belong to the Stockholder, and Parent will have no authority to manage, direct, superintend, restrict, regulate, govern or administer any of the policies or operations of the Company or exercise any power or authority to direct the Stockholder in the voting of any of the Subject Shares, except as otherwise expressly provided herein with respect to the Subject Shares and except as otherwise expressly provided in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b/>
          <w:sz w:val="20"/>
          <w:u w:val="single"/>
        </w:rPr>
        <w:t>No Exercise of Appraisal Rights; Waivers</w:t>
      </w:r>
      <w:r>
        <w:rPr>
          <w:rFonts w:ascii="Times New Roman" w:hAnsi="Times New Roman"/>
          <w:sz w:val="20"/>
        </w:rPr>
        <w:t xml:space="preserve">. In connection with the Merger and the other transactions contemplated by the Merger Agreement, the Stockholder hereby expressly (a) waives, to the extent permitted under applicable Law, any and all rights under Section 262 of the Delaware General Corporation Law, a copy of which is attached hereto as Appendix I, with respect to any Subject Shares and any and all rights under any other applicable Law granting the Stockholder the right to have any Subject Shares appraised in connection with the Merger and the other transactions contemplated by the Merger Agreement or to otherwise dissent from the Merger and the other transactions contemplated by the Merger Agreement, (b) agrees that the Stockholder will not, under any circumstances in connection with the Merger and the other transactions contemplated by the Merger Agreement, exercise any dissenters’ or appraisal rights in respect of any Subject Shares, and (c) agrees that the Stockholder will not bring, commence, institute, maintain, prosecute, participate in or voluntarily aid any action, claim, suit or cause of action, in law or in equity, in any court or before any Governmental Entity, which (i) challenges the validity of or seeks to enjoin the operation of any provision of this Agreement or (ii) alleges that the execution and delivery of this Agreement by the Stockholder, or the approval of the Merger Agreement by Company Board, breaches any fiduciary duty of the Company Board or any member thereof; </w:t>
      </w:r>
      <w:r>
        <w:rPr>
          <w:rFonts w:ascii="Times New Roman" w:hAnsi="Times New Roman"/>
          <w:i/>
          <w:sz w:val="20"/>
          <w:u w:val="single"/>
        </w:rPr>
        <w:t>provided</w:t>
      </w:r>
      <w:r>
        <w:rPr>
          <w:rFonts w:ascii="Times New Roman" w:hAnsi="Times New Roman"/>
          <w:sz w:val="20"/>
        </w:rPr>
        <w:t xml:space="preserve"> that the Stockholder may defend against, contest or settle any such action, claim, suit or cause of action brought against the Stockholder that relates solely to the Stockholder’s capacity as a director, officer or securityholder of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w:t>
      </w:r>
      <w:r>
        <w:rPr>
          <w:rFonts w:ascii="Times New Roman" w:hAnsi="Times New Roman"/>
          <w:b/>
          <w:sz w:val="20"/>
          <w:u w:val="single"/>
        </w:rPr>
        <w:t xml:space="preserve">No Solicitation </w:t>
      </w:r>
      <w:r>
        <w:rPr>
          <w:rFonts w:ascii="Times New Roman" w:hAnsi="Times New Roman"/>
          <w:sz w:val="20"/>
        </w:rPr>
        <w:t xml:space="preserve">. Subject to Section 4.16, the Stockholder agrees not to, directly or indirectly, including through any of its officers, directors or agents, take any action that the Company is prohibited from taking pursuant to Section 6.4 (No Solicitation) of the Merger Agreement and Section 6.4 of the Merger Agreement is hereby incorporated by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1.7. </w:t>
      </w:r>
      <w:r>
        <w:rPr>
          <w:rFonts w:ascii="Times New Roman" w:hAnsi="Times New Roman"/>
          <w:b/>
          <w:sz w:val="20"/>
          <w:u w:val="single"/>
        </w:rPr>
        <w:t>Documentation and Information</w:t>
      </w:r>
      <w:r>
        <w:rPr>
          <w:rFonts w:ascii="Times New Roman" w:hAnsi="Times New Roman"/>
          <w:sz w:val="20"/>
        </w:rPr>
        <w:t xml:space="preserve">. The Stockholder shall permit and hereby authorizes the Company and Parent to publish and disclose in all documents and schedules filed with the SEC, and any press release or other disclosure document that the Company or Parent reasonably determines to be necessary in connection with the Merger and any of the other transactions contemplated by the Merger Agreement, the Stockholder’s identity and ownership of the Subject Shares and the nature of the Stockholder’s commitments and obligations under this Agreement. The Company is an intended third-party beneficiary of this </w:t>
      </w:r>
      <w:r>
        <w:rPr>
          <w:rFonts w:ascii="Times New Roman" w:hAnsi="Times New Roman"/>
          <w:sz w:val="20"/>
          <w:u w:val="single"/>
        </w:rPr>
        <w:t>Section 1.7</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The Stockholder represents and warrants to Parent that: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b/>
          <w:sz w:val="20"/>
          <w:u w:val="single"/>
        </w:rPr>
        <w:t>Organization; Authorization; Binding Agreement</w:t>
      </w:r>
      <w:r>
        <w:rPr>
          <w:rFonts w:ascii="Times New Roman" w:hAnsi="Times New Roman"/>
          <w:sz w:val="20"/>
        </w:rPr>
        <w:t xml:space="preserve">. The Stockholder, if not a natural person, is duly incorporated or organized, as applicable, validly existing and in good standing under the laws of its jurisdiction of incorporation or organization. The Stockholder has full legal capacity and power, right and authority to execute and deliver this Agreement and to perform the Stockholder’s obligations hereunder and to consummate the transactions contemplated hereby. This Agreement has been duly and validly executed and delivered by the Stockholder, and constitutes a legal, valid and binding obligation of the Stockholder enforceable against the Stockholder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bidi w:val="0"/>
        <w:spacing w:before="120" w:after="0"/>
        <w:jc w:val="left"/>
        <w:rPr>
          <w:rFonts w:ascii="Times New Roman" w:hAnsi="Times New Roman"/>
          <w:sz w:val="20"/>
        </w:rPr>
      </w:pPr>
      <w:r>
        <w:rPr>
          <w:rFonts w:ascii="Times New Roman" w:hAnsi="Times New Roman"/>
          <w:sz w:val="20"/>
        </w:rPr>
        <w:t xml:space="preserve">2.2. </w:t>
      </w:r>
      <w:r>
        <w:rPr>
          <w:rFonts w:ascii="Times New Roman" w:hAnsi="Times New Roman"/>
          <w:b/>
          <w:sz w:val="20"/>
          <w:u w:val="single"/>
        </w:rPr>
        <w:t>Ownership of Subject Shares; Total Shares</w:t>
      </w:r>
      <w:r>
        <w:rPr>
          <w:rFonts w:ascii="Times New Roman" w:hAnsi="Times New Roman"/>
          <w:sz w:val="20"/>
        </w:rPr>
        <w:t>. The Stockholder is the record or beneficial owner of the Subject Shares and has good and marketable title to the Subject Shares free and clear of any Liens (including any restriction on the right to vote or otherwise transfer the Subject Shares), except (a) as provided hereunder, (b) pursuant to any applicable restrictions on transfer under the Securities Act, (c) subject to any risk of forfeiture or repurchase rights of the Company with respect to any Company Shares granted to the Stockholder under an employee benefit plan of Company and (d) as provided in the certificate of incorporation or bylaws of the Company or that certain Amended and Restated Right of First Refusal and Co-Sale Agreement, dated as of February 17, 2026, by and among the Company and certain stockholders of the Company, and that certain Amended and Restated Voting Agreement, dated as of February 17, 2026, by and among the Company and certain stockholders of the Company (the “</w:t>
      </w:r>
      <w:r>
        <w:rPr>
          <w:rFonts w:ascii="Times New Roman" w:hAnsi="Times New Roman"/>
          <w:b/>
          <w:i/>
          <w:sz w:val="20"/>
        </w:rPr>
        <w:t>Voting Agreement</w:t>
      </w:r>
      <w:r>
        <w:rPr>
          <w:rFonts w:ascii="Times New Roman" w:hAnsi="Times New Roman"/>
          <w:sz w:val="20"/>
        </w:rPr>
        <w:t xml:space="preserve">”). The Subject Shares listed on </w:t>
      </w:r>
      <w:r>
        <w:rPr>
          <w:rFonts w:ascii="Times New Roman" w:hAnsi="Times New Roman"/>
          <w:sz w:val="20"/>
          <w:u w:val="single"/>
        </w:rPr>
        <w:t>Schedule A</w:t>
      </w:r>
      <w:r>
        <w:rPr>
          <w:rFonts w:ascii="Times New Roman" w:hAnsi="Times New Roman"/>
          <w:sz w:val="20"/>
        </w:rPr>
        <w:t xml:space="preserve"> opposite the Stockholder’s name constitute all of the Company Shares owned by the Stockholder as of the date hereof. Except pursuant to the Company’s certificate of incorporation, bylaws and the right of the Company to purchase or acquire any Company Shares pursuant to an employee benefit plan of the Company, no Person has any contractual or other right or obligation to purchase or otherwise acquire any of the Subject Shares. For purposes of this Agreement “</w:t>
      </w:r>
      <w:r>
        <w:rPr>
          <w:rFonts w:ascii="Times New Roman" w:hAnsi="Times New Roman"/>
          <w:b/>
          <w:i/>
          <w:sz w:val="20"/>
        </w:rPr>
        <w:t>Beneficial Ownership</w:t>
      </w:r>
      <w:r>
        <w:rPr>
          <w:rFonts w:ascii="Times New Roman" w:hAnsi="Times New Roman"/>
          <w:sz w:val="20"/>
        </w:rPr>
        <w:t xml:space="preserve">” shall be interpreted as defined in Rule 13d-3 under the Exchange Act; </w:t>
      </w:r>
      <w:r>
        <w:rPr>
          <w:rFonts w:ascii="Times New Roman" w:hAnsi="Times New Roman"/>
          <w:i/>
          <w:sz w:val="20"/>
          <w:u w:val="single"/>
        </w:rPr>
        <w:t>provided</w:t>
      </w:r>
      <w:r>
        <w:rPr>
          <w:rFonts w:ascii="Times New Roman" w:hAnsi="Times New Roman"/>
          <w:sz w:val="20"/>
        </w:rPr>
        <w:t xml:space="preserve"> that for purposes of determining Beneficial Ownership, a Person shall be deemed to be the Beneficial Owner of any securities that may be acquired by such Person pursuant to any Contract or upon the exercise of conversion rights, exchange rights, warrants or options, or otherwise (irrespective of whether the right to acquire such securities is exercisable immediately or only after the passage of time, including the passage of time in excess of 60 days, the satisfaction of any conditions, the occurrence of any event or any combination of the foregoing).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2.3. </w:t>
      </w:r>
      <w:r>
        <w:rPr>
          <w:rFonts w:ascii="Times New Roman" w:hAnsi="Times New Roman"/>
          <w:b/>
          <w:sz w:val="20"/>
          <w:u w:val="single"/>
        </w:rPr>
        <w:t>Voting Power</w:t>
      </w:r>
      <w:r>
        <w:rPr>
          <w:rFonts w:ascii="Times New Roman" w:hAnsi="Times New Roman"/>
          <w:sz w:val="20"/>
        </w:rPr>
        <w:t xml:space="preserve">. The Stockholder has full voting power, with respect to the Subject Shares, and full power of disposition, full power to issue instructions with respect to the matters set forth herein and full power to agree to all of the matters set forth in this Agreement, in each case, with respect to all of the Subject Shares. None of the Subject Shares are subject to any proxy, voting trust or other agreement or arrangement with respect to the voting of the Subject Shares, except as provided in the Voting Agreement and as provided hereunder. </w:t>
      </w:r>
    </w:p>
    <w:p>
      <w:pPr>
        <w:pStyle w:val="TextBody"/>
        <w:bidi w:val="0"/>
        <w:spacing w:before="120" w:after="0"/>
        <w:jc w:val="left"/>
        <w:rPr>
          <w:rFonts w:ascii="Times New Roman" w:hAnsi="Times New Roman"/>
          <w:sz w:val="20"/>
        </w:rPr>
      </w:pPr>
      <w:r>
        <w:rPr>
          <w:rFonts w:ascii="Times New Roman" w:hAnsi="Times New Roman"/>
          <w:sz w:val="20"/>
        </w:rPr>
        <w:t xml:space="preserve">2.4. </w:t>
      </w:r>
      <w:r>
        <w:rPr>
          <w:rFonts w:ascii="Times New Roman" w:hAnsi="Times New Roman"/>
          <w:b/>
          <w:sz w:val="20"/>
          <w:u w:val="single"/>
        </w:rPr>
        <w:t>Reliance</w:t>
      </w:r>
      <w:r>
        <w:rPr>
          <w:rFonts w:ascii="Times New Roman" w:hAnsi="Times New Roman"/>
          <w:sz w:val="20"/>
        </w:rPr>
        <w:t xml:space="preserve">. The Stockholder has had the opportunity to review the Merger Agreement, including the provisions relating to the payment and allocation of the consideration to be paid to the Company Stockholders, and this Agreement with counsel of the Stockholder’s own choosing. The Stockholder has had an opportunity to review with its own tax advisors the tax consequences of the Merger and the transactions contemplated by the Merger Agreement. The Stockholder understands that it must rely solely on its advisors and not on any statements or representations made by Parent, the Company or any of their respective agents or representatives. The Stockholder understands that such Stockholder (and not Parent, the Company or the Surviving Corporation) shall be responsible for such Stockholder’s tax liability that may arise as a result of the Merger or the transactions contemplated by the Merger Agreement. The Stockholder understands and acknowledges that the Company, Parent and Merger Subs are entering into the Merger Agreement in reliance upon the Stockholder’s execution, delivery and performance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2.5. </w:t>
      </w:r>
      <w:r>
        <w:rPr>
          <w:rFonts w:ascii="Times New Roman" w:hAnsi="Times New Roman"/>
          <w:b/>
          <w:sz w:val="20"/>
          <w:u w:val="single"/>
        </w:rPr>
        <w:t>Absence of Litigation</w:t>
      </w:r>
      <w:r>
        <w:rPr>
          <w:rFonts w:ascii="Times New Roman" w:hAnsi="Times New Roman"/>
          <w:sz w:val="20"/>
        </w:rPr>
        <w:t xml:space="preserve">. With respect to the Stockholder, as of the date hereof, there is no action, suit, investigation or proceeding pending against, or, to the knowledge of the Stockholder, threatened against, the Stockholder or any of the Stockholder’s properties or assets (including the Subject Shares) that could reasonably be expected to prevent, delay or impair the ability of the Stockholder to perform the Stockholder’s obligations hereunder or to consummate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2.6. </w:t>
      </w:r>
      <w:r>
        <w:rPr>
          <w:rFonts w:ascii="Times New Roman" w:hAnsi="Times New Roman"/>
          <w:b/>
          <w:sz w:val="20"/>
          <w:u w:val="single"/>
        </w:rPr>
        <w:t>Non-Contravention</w:t>
      </w:r>
      <w:r>
        <w:rPr>
          <w:rFonts w:ascii="Times New Roman" w:hAnsi="Times New Roman"/>
          <w:sz w:val="20"/>
        </w:rPr>
        <w:t xml:space="preserve">. The execution and delivery of this Agreement by the Stockholder and the performance of the transactions contemplated by this Agreement by the Stockholder does not and will not violate, conflict with, or result in a breach of: (a) the organizational documents of such Stockholder, (b) any applicable Law or any injunction, judgment, order, decree, ruling, charge, or other restriction of any Governmental Entity to which the Stockholder is subject, or (c) any Contract to which the Stockholder is a party or is bound or to which the Subject Shares are subject, such that it could reasonably be expected to prevent, delay or impair the ability of the Stockholder to perform the Stockholder’s obligations hereunder or to consummate the transactions contemplated hereby.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PARENT </w:t>
      </w:r>
    </w:p>
    <w:p>
      <w:pPr>
        <w:pStyle w:val="TextBody"/>
        <w:bidi w:val="0"/>
        <w:spacing w:before="240" w:after="0"/>
        <w:jc w:val="left"/>
        <w:rPr>
          <w:rFonts w:ascii="Times New Roman" w:hAnsi="Times New Roman"/>
          <w:sz w:val="20"/>
        </w:rPr>
      </w:pPr>
      <w:r>
        <w:rPr>
          <w:rFonts w:ascii="Times New Roman" w:hAnsi="Times New Roman"/>
          <w:sz w:val="20"/>
        </w:rPr>
        <w:t xml:space="preserve">Parent represents and warrants to the Stockholder that: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b/>
          <w:sz w:val="20"/>
          <w:u w:val="single"/>
        </w:rPr>
        <w:t>Organization; Authorization</w:t>
      </w:r>
      <w:r>
        <w:rPr>
          <w:rFonts w:ascii="Times New Roman" w:hAnsi="Times New Roman"/>
          <w:sz w:val="20"/>
        </w:rPr>
        <w:t xml:space="preserve">. Parent is a corporation duly incorporated, validly existing and in good standing under the laws of the State of Delaware. The consummation of the transactions contemplated hereby is within Parent’s corporate powers and has been duly authorized by all necessary corporate actions on the part of Parent. Parent has full power and authority to execute, deliver and perform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3.2. </w:t>
      </w:r>
      <w:r>
        <w:rPr>
          <w:rFonts w:ascii="Times New Roman" w:hAnsi="Times New Roman"/>
          <w:b/>
          <w:sz w:val="20"/>
          <w:u w:val="single"/>
        </w:rPr>
        <w:t>Binding Agreement</w:t>
      </w:r>
      <w:r>
        <w:rPr>
          <w:rFonts w:ascii="Times New Roman" w:hAnsi="Times New Roman"/>
          <w:sz w:val="20"/>
        </w:rPr>
        <w:t xml:space="preserve">. This Agreement has been duly authorized, executed and delivered by Parent and constitutes a valid and binding obligation of Parent enforceable against Parent in accordance with its terms, except to the extent that enforceability may be limited by applicable bankruptcy, insolvency, moratorium, reorganization or similar Laws affecting the enforcement of creditors’ rights generally or by general principles of equity.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b/>
          <w:sz w:val="20"/>
          <w:u w:val="single"/>
        </w:rPr>
        <w:t>Notices</w:t>
      </w:r>
      <w:r>
        <w:rPr>
          <w:rFonts w:ascii="Times New Roman" w:hAnsi="Times New Roman"/>
          <w:sz w:val="20"/>
        </w:rPr>
        <w:t xml:space="preserve">. All notices, requests and other communications to either party hereunder shall be in writing (including electronic mail) and shall be given, (a) if to Parent, in accordance with the provisions of the Merger Agreement and (b) if to the Stockholder, to the Stockholder’s address or electronic mail address set forth on a signature page hereto, or to such other address or electronic mail address as the Stockholder may hereafter specify in writing to Parent. </w:t>
      </w:r>
    </w:p>
    <w:p>
      <w:pPr>
        <w:pStyle w:val="TextBody"/>
        <w:bidi w:val="0"/>
        <w:spacing w:before="120" w:after="0"/>
        <w:jc w:val="left"/>
        <w:rPr>
          <w:rFonts w:ascii="Times New Roman" w:hAnsi="Times New Roman"/>
          <w:sz w:val="20"/>
        </w:rPr>
      </w:pPr>
      <w:r>
        <w:rPr>
          <w:rFonts w:ascii="Times New Roman" w:hAnsi="Times New Roman"/>
          <w:sz w:val="20"/>
        </w:rPr>
        <w:t xml:space="preserve">4.2. </w:t>
      </w:r>
      <w:r>
        <w:rPr>
          <w:rFonts w:ascii="Times New Roman" w:hAnsi="Times New Roman"/>
          <w:b/>
          <w:sz w:val="20"/>
          <w:u w:val="single"/>
        </w:rPr>
        <w:t>Termination</w:t>
      </w:r>
      <w:r>
        <w:rPr>
          <w:rFonts w:ascii="Times New Roman" w:hAnsi="Times New Roman"/>
          <w:sz w:val="20"/>
        </w:rPr>
        <w:t xml:space="preserve">. This Agreement shall terminate automatically, without any notice or other action by any Person, upon the earlier of (a) the termination of the Merger Agreement in accordance with its terms, (b) the Effective Time, and (c) the amendment of the Merger Agreement, without the prior written consent of the Stockholder, in a manner that affects the economics or material terms of the Merger Agreement in a manner that is adverse to the Stockholder. Upon termination of this Agreement, neither party shall have any further obligations or liabilities under this Agreement; </w:t>
      </w:r>
      <w:r>
        <w:rPr>
          <w:rFonts w:ascii="Times New Roman" w:hAnsi="Times New Roman"/>
          <w:i/>
          <w:sz w:val="20"/>
          <w:u w:val="single"/>
        </w:rPr>
        <w:t>provided</w:t>
      </w:r>
      <w:r>
        <w:rPr>
          <w:rFonts w:ascii="Times New Roman" w:hAnsi="Times New Roman"/>
          <w:i/>
          <w:sz w:val="20"/>
        </w:rPr>
        <w:t xml:space="preserve">, </w:t>
      </w:r>
      <w:r>
        <w:rPr>
          <w:rFonts w:ascii="Times New Roman" w:hAnsi="Times New Roman"/>
          <w:i/>
          <w:sz w:val="20"/>
          <w:u w:val="single"/>
        </w:rPr>
        <w:t>however</w:t>
      </w:r>
      <w:r>
        <w:rPr>
          <w:rFonts w:ascii="Times New Roman" w:hAnsi="Times New Roman"/>
          <w:i/>
          <w:sz w:val="20"/>
        </w:rPr>
        <w:t xml:space="preserve">, </w:t>
      </w:r>
      <w:r>
        <w:rPr>
          <w:rFonts w:ascii="Times New Roman" w:hAnsi="Times New Roman"/>
          <w:sz w:val="20"/>
        </w:rPr>
        <w:t xml:space="preserve">that (i) nothing set forth in this </w:t>
      </w:r>
      <w:r>
        <w:rPr>
          <w:rFonts w:ascii="Times New Roman" w:hAnsi="Times New Roman"/>
          <w:sz w:val="20"/>
          <w:u w:val="single"/>
        </w:rPr>
        <w:t>Section 4.2</w:t>
      </w:r>
      <w:r>
        <w:rPr>
          <w:rFonts w:ascii="Times New Roman" w:hAnsi="Times New Roman"/>
          <w:sz w:val="20"/>
        </w:rPr>
        <w:t xml:space="preserve"> shall relieve either party from liability for any breach of this Agreement prior to termination hereof, and (ii) the provisions of this </w:t>
      </w:r>
      <w:r>
        <w:rPr>
          <w:rFonts w:ascii="Times New Roman" w:hAnsi="Times New Roman"/>
          <w:sz w:val="20"/>
          <w:u w:val="single"/>
        </w:rPr>
        <w:t>Article IV</w:t>
      </w:r>
      <w:r>
        <w:rPr>
          <w:rFonts w:ascii="Times New Roman" w:hAnsi="Times New Roman"/>
          <w:sz w:val="20"/>
        </w:rPr>
        <w:t xml:space="preserve"> shall survive any termination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4.3. </w:t>
      </w:r>
      <w:r>
        <w:rPr>
          <w:rFonts w:ascii="Times New Roman" w:hAnsi="Times New Roman"/>
          <w:b/>
          <w:sz w:val="20"/>
          <w:u w:val="single"/>
        </w:rPr>
        <w:t>Confidentiality</w:t>
      </w:r>
      <w:r>
        <w:rPr>
          <w:rFonts w:ascii="Times New Roman" w:hAnsi="Times New Roman"/>
          <w:sz w:val="20"/>
        </w:rPr>
        <w:t>. Except to the extent required by applicable Law, the Stockholder shall hold any non-public information regarding this Agreement, the Merger Agreement and the Merger in strict confidence and shall not divulge any such information to any third person until Parent has publicly disclosed its entry into the Merger Agreement and this Agreement;</w:t>
      </w:r>
      <w:r>
        <w:rPr>
          <w:rFonts w:ascii="Times New Roman" w:hAnsi="Times New Roman"/>
          <w:sz w:val="20"/>
          <w:u w:val="single"/>
        </w:rPr>
        <w:t> </w:t>
      </w:r>
      <w:r>
        <w:rPr>
          <w:rFonts w:ascii="Times New Roman" w:hAnsi="Times New Roman"/>
          <w:i/>
          <w:sz w:val="20"/>
          <w:u w:val="single"/>
        </w:rPr>
        <w:t>provided</w:t>
      </w:r>
      <w:r>
        <w:rPr>
          <w:rFonts w:ascii="Times New Roman" w:hAnsi="Times New Roman"/>
          <w:sz w:val="20"/>
        </w:rPr>
        <w:t>,</w:t>
      </w:r>
      <w:r>
        <w:rPr>
          <w:rFonts w:ascii="Times New Roman" w:hAnsi="Times New Roman"/>
          <w:sz w:val="20"/>
          <w:u w:val="single"/>
        </w:rPr>
        <w:t> </w:t>
      </w:r>
      <w:r>
        <w:rPr>
          <w:rFonts w:ascii="Times New Roman" w:hAnsi="Times New Roman"/>
          <w:i/>
          <w:sz w:val="20"/>
          <w:u w:val="single"/>
        </w:rPr>
        <w:t>however</w:t>
      </w:r>
      <w:r>
        <w:rPr>
          <w:rFonts w:ascii="Times New Roman" w:hAnsi="Times New Roman"/>
          <w:sz w:val="20"/>
        </w:rPr>
        <w:t>, that the Stockholder may disclose such information (a) to its attorneys, accountants, consultants, trustees, beneficiaries and other representatives (</w:t>
      </w:r>
      <w:r>
        <w:rPr>
          <w:rFonts w:ascii="Times New Roman" w:hAnsi="Times New Roman"/>
          <w:i/>
          <w:sz w:val="20"/>
          <w:u w:val="single"/>
        </w:rPr>
        <w:t>provided</w:t>
      </w:r>
      <w:r>
        <w:rPr>
          <w:rFonts w:ascii="Times New Roman" w:hAnsi="Times New Roman"/>
          <w:sz w:val="20"/>
        </w:rPr>
        <w:t> such representatives are subject to confidentiality obligations at least as restrictive as those contained herein), and (b) to any Affiliate, partner, member, stockholder, parent or subsidiary of the Stockholder,</w:t>
      </w:r>
      <w:r>
        <w:rPr>
          <w:rFonts w:ascii="Times New Roman" w:hAnsi="Times New Roman"/>
          <w:sz w:val="20"/>
          <w:u w:val="single"/>
        </w:rPr>
        <w:t> </w:t>
      </w:r>
      <w:r>
        <w:rPr>
          <w:rFonts w:ascii="Times New Roman" w:hAnsi="Times New Roman"/>
          <w:i/>
          <w:sz w:val="20"/>
          <w:u w:val="single"/>
        </w:rPr>
        <w:t>provided</w:t>
      </w:r>
      <w:r>
        <w:rPr>
          <w:rFonts w:ascii="Times New Roman" w:hAnsi="Times New Roman"/>
          <w:sz w:val="20"/>
        </w:rPr>
        <w:t> in each case that the Stockholder informs the Person receiving the information that such information is confidential and such Person agrees in writing to abide by the terms of this</w:t>
      </w:r>
      <w:r>
        <w:rPr>
          <w:rFonts w:ascii="Times New Roman" w:hAnsi="Times New Roman"/>
          <w:sz w:val="20"/>
          <w:u w:val="single"/>
        </w:rPr>
        <w:t> Section 4.3</w:t>
      </w:r>
      <w:r>
        <w:rPr>
          <w:rFonts w:ascii="Times New Roman" w:hAnsi="Times New Roman"/>
          <w:sz w:val="20"/>
        </w:rPr>
        <w:t xml:space="preserve">. Neither the Stockholder nor any of its Affiliates (other than the Company,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 The Company is an intended third-party beneficiary of this </w:t>
      </w:r>
      <w:r>
        <w:rPr>
          <w:rFonts w:ascii="Times New Roman" w:hAnsi="Times New Roman"/>
          <w:sz w:val="20"/>
          <w:u w:val="single"/>
        </w:rPr>
        <w:t>Section 4.3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4.4. </w:t>
      </w:r>
      <w:r>
        <w:rPr>
          <w:rFonts w:ascii="Times New Roman" w:hAnsi="Times New Roman"/>
          <w:b/>
          <w:sz w:val="20"/>
          <w:u w:val="single"/>
        </w:rPr>
        <w:t>Amendments and Waivers</w:t>
      </w:r>
      <w:r>
        <w:rPr>
          <w:rFonts w:ascii="Times New Roman" w:hAnsi="Times New Roman"/>
          <w:sz w:val="20"/>
        </w:rPr>
        <w:t xml:space="preserve">. Any provision of this Agreement may be amended or waived if such amendment or waiver is in writing and is signed, in the case of an amendment, by each party to this Agreement, or in the case of a waiver, by the party against whom the waiver is to be effective. No failure or delay by either party in exercising any right, power or privilege hereunder shall operate as a waiver thereof nor shall any single or partial exercise thereof preclude any other or further exercise thereof or the exercise of any other right, power or privilege. </w:t>
      </w:r>
    </w:p>
    <w:p>
      <w:pPr>
        <w:pStyle w:val="TextBody"/>
        <w:bidi w:val="0"/>
        <w:spacing w:before="120" w:after="0"/>
        <w:jc w:val="left"/>
        <w:rPr>
          <w:rFonts w:ascii="Times New Roman" w:hAnsi="Times New Roman"/>
          <w:sz w:val="20"/>
        </w:rPr>
      </w:pPr>
      <w:r>
        <w:rPr>
          <w:rFonts w:ascii="Times New Roman" w:hAnsi="Times New Roman"/>
          <w:sz w:val="20"/>
        </w:rPr>
        <w:t xml:space="preserve">4.5. </w:t>
      </w:r>
      <w:r>
        <w:rPr>
          <w:rFonts w:ascii="Times New Roman" w:hAnsi="Times New Roman"/>
          <w:b/>
          <w:sz w:val="20"/>
          <w:u w:val="single"/>
        </w:rPr>
        <w:t>Binding Effect; Benefit; Assignment</w:t>
      </w:r>
      <w:r>
        <w:rPr>
          <w:rFonts w:ascii="Times New Roman" w:hAnsi="Times New Roman"/>
          <w:sz w:val="20"/>
        </w:rPr>
        <w:t xml:space="preserve">. The provisions of this Agreement shall be binding upon and shall inure to the benefit of the parties hereto and their respective successors and assigns. Except as set forth in </w:t>
      </w:r>
      <w:r>
        <w:rPr>
          <w:rFonts w:ascii="Times New Roman" w:hAnsi="Times New Roman"/>
          <w:sz w:val="20"/>
          <w:u w:val="single"/>
        </w:rPr>
        <w:t>Section 1.7</w:t>
      </w:r>
      <w:r>
        <w:rPr>
          <w:rFonts w:ascii="Times New Roman" w:hAnsi="Times New Roman"/>
          <w:sz w:val="20"/>
        </w:rPr>
        <w:t xml:space="preserve"> and </w:t>
      </w:r>
      <w:r>
        <w:rPr>
          <w:rFonts w:ascii="Times New Roman" w:hAnsi="Times New Roman"/>
          <w:sz w:val="20"/>
          <w:u w:val="single"/>
        </w:rPr>
        <w:t>Section 4.3</w:t>
      </w:r>
      <w:r>
        <w:rPr>
          <w:rFonts w:ascii="Times New Roman" w:hAnsi="Times New Roman"/>
          <w:sz w:val="20"/>
        </w:rPr>
        <w:t xml:space="preserve">, no provision of this Agreement is intended to confer any rights, benefits, remedies, obligations or liabilities hereunder upon any Person other than the parties hereto and their respective successors and assigns. Neither party may assign, delegate or otherwise transfer any of its rights or obligations under this Agreement without the consent of the other party hereto, except that Parent may transfer or assign its rights and obligations under this Agreement, in whole or from time to time in part, to one or more of its Affiliates at any time; </w:t>
      </w:r>
      <w:r>
        <w:rPr>
          <w:rFonts w:ascii="Times New Roman" w:hAnsi="Times New Roman"/>
          <w:i/>
          <w:sz w:val="20"/>
          <w:u w:val="single"/>
        </w:rPr>
        <w:t>provided</w:t>
      </w:r>
      <w:r>
        <w:rPr>
          <w:rFonts w:ascii="Times New Roman" w:hAnsi="Times New Roman"/>
          <w:sz w:val="20"/>
        </w:rPr>
        <w:t xml:space="preserve"> that such transfer or assignment shall not relieve Parent of any of its obligations hereunder; </w:t>
      </w:r>
      <w:r>
        <w:rPr>
          <w:rFonts w:ascii="Times New Roman" w:hAnsi="Times New Roman"/>
          <w:i/>
          <w:sz w:val="20"/>
          <w:u w:val="single"/>
        </w:rPr>
        <w:t>provided however</w:t>
      </w:r>
      <w:r>
        <w:rPr>
          <w:rFonts w:ascii="Times New Roman" w:hAnsi="Times New Roman"/>
          <w:sz w:val="20"/>
        </w:rPr>
        <w:t xml:space="preserve"> that the Stockholder may transfer the Company Shares to stockholders, direct or indirect affiliates (within the meaning set forth in Rule 405 under the Securities Act), current or former partners (general or limited), members or managers of the Stockholder, so long as the transferee agrees in writing to be bound by the terms and conditions of this Agreement and either the Stockholder or the transferee provides Parent with a copy of such Agreement promptly upon consummation of any such transfer.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4.6. </w:t>
      </w:r>
      <w:r>
        <w:rPr>
          <w:rFonts w:ascii="Times New Roman" w:hAnsi="Times New Roman"/>
          <w:b/>
          <w:sz w:val="20"/>
          <w:u w:val="single"/>
        </w:rPr>
        <w:t>Governing Law; Jurisdiction</w:t>
      </w:r>
      <w:r>
        <w:rPr>
          <w:rFonts w:ascii="Times New Roman" w:hAnsi="Times New Roman"/>
          <w:sz w:val="20"/>
        </w:rPr>
        <w:t xml:space="preserve">. This Agreement shall be governed by, and construed in accordance with, the internal laws of the State of Delaware, without regard to the laws of any other jurisdiction that might be applied because of the conflicts of laws principles of the State of Delaware. Each of the parties hereto irrevocably agrees that any legal action or proceeding arising out of or relating to this Agreement brought by any party or its Affiliates against any other party or its Affiliates shall be brought and determined in the Court of Chancery of the State of Delaware; </w:t>
      </w:r>
      <w:r>
        <w:rPr>
          <w:rFonts w:ascii="Times New Roman" w:hAnsi="Times New Roman"/>
          <w:i/>
          <w:sz w:val="20"/>
          <w:u w:val="single"/>
        </w:rPr>
        <w:t>provided</w:t>
      </w:r>
      <w:r>
        <w:rPr>
          <w:rFonts w:ascii="Times New Roman" w:hAnsi="Times New Roman"/>
          <w:sz w:val="20"/>
        </w:rPr>
        <w:t xml:space="preserve"> that if jurisdiction is not then available in the Court of Chancery of the State of Delaware, then any such legal action or proceeding may be brought in any federal court located in the State of Delaware or any other Delaware state court (collectively, the “</w:t>
      </w:r>
      <w:r>
        <w:rPr>
          <w:rFonts w:ascii="Times New Roman" w:hAnsi="Times New Roman"/>
          <w:b/>
          <w:i/>
          <w:sz w:val="20"/>
        </w:rPr>
        <w:t>Delaware Courts</w:t>
      </w:r>
      <w:r>
        <w:rPr>
          <w:rFonts w:ascii="Times New Roman" w:hAnsi="Times New Roman"/>
          <w:sz w:val="20"/>
        </w:rPr>
        <w:t xml:space="preserve">”). Each of the parties hereto: (a) irrevocably and unconditionally consents and submits to the exclusive jurisdiction and venue of the </w:t>
      </w:r>
      <w:r>
        <w:rPr>
          <w:rFonts w:ascii="Times New Roman" w:hAnsi="Times New Roman"/>
          <w:b/>
          <w:i/>
          <w:sz w:val="20"/>
        </w:rPr>
        <w:t>Delaware Courts</w:t>
      </w:r>
      <w:r>
        <w:rPr>
          <w:rFonts w:ascii="Times New Roman" w:hAnsi="Times New Roman"/>
          <w:sz w:val="20"/>
        </w:rPr>
        <w:t xml:space="preserve">; (b) agrees that all claims in respect of such action or proceeding shall be heard and determined exclusively in accordance with clause (a) of this </w:t>
      </w:r>
      <w:r>
        <w:rPr>
          <w:rFonts w:ascii="Times New Roman" w:hAnsi="Times New Roman"/>
          <w:sz w:val="20"/>
          <w:u w:val="single"/>
        </w:rPr>
        <w:t>Section 4.6</w:t>
      </w:r>
      <w:r>
        <w:rPr>
          <w:rFonts w:ascii="Times New Roman" w:hAnsi="Times New Roman"/>
          <w:sz w:val="20"/>
        </w:rPr>
        <w:t xml:space="preserve">; (c) waives any objection to laying venue in any such action or proceeding in such courts; (d) waives any objection that such courts are an inconvenient forum or do not have jurisdiction over any party hereto; (e) agrees that service of process upon such party in any such action or proceeding shall be effective if notice is given in accordance with </w:t>
      </w:r>
      <w:r>
        <w:rPr>
          <w:rFonts w:ascii="Times New Roman" w:hAnsi="Times New Roman"/>
          <w:sz w:val="20"/>
          <w:u w:val="single"/>
        </w:rPr>
        <w:t>Section 4.1</w:t>
      </w:r>
      <w:r>
        <w:rPr>
          <w:rFonts w:ascii="Times New Roman" w:hAnsi="Times New Roman"/>
          <w:sz w:val="20"/>
        </w:rPr>
        <w:t xml:space="preserve"> of this Agreement; and (f) irrevocably and unconditionally waives the right to trial by jury. </w:t>
      </w:r>
    </w:p>
    <w:p>
      <w:pPr>
        <w:pStyle w:val="TextBody"/>
        <w:bidi w:val="0"/>
        <w:spacing w:before="120" w:after="0"/>
        <w:jc w:val="left"/>
        <w:rPr>
          <w:rFonts w:ascii="Times New Roman" w:hAnsi="Times New Roman"/>
          <w:sz w:val="20"/>
        </w:rPr>
      </w:pPr>
      <w:r>
        <w:rPr>
          <w:rFonts w:ascii="Times New Roman" w:hAnsi="Times New Roman"/>
          <w:sz w:val="20"/>
        </w:rPr>
        <w:t xml:space="preserve">4.7. </w:t>
      </w:r>
      <w:r>
        <w:rPr>
          <w:rFonts w:ascii="Times New Roman" w:hAnsi="Times New Roman"/>
          <w:b/>
          <w:sz w:val="20"/>
          <w:u w:val="single"/>
        </w:rPr>
        <w:t>Counterparts</w:t>
      </w:r>
      <w:r>
        <w:rPr>
          <w:rFonts w:ascii="Times New Roman" w:hAnsi="Times New Roman"/>
          <w:sz w:val="20"/>
        </w:rPr>
        <w:t xml:space="preserve">.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4.8. </w:t>
      </w:r>
      <w:r>
        <w:rPr>
          <w:rFonts w:ascii="Times New Roman" w:hAnsi="Times New Roman"/>
          <w:b/>
          <w:sz w:val="20"/>
          <w:u w:val="single"/>
        </w:rPr>
        <w:t>Entire Agreement</w:t>
      </w:r>
      <w:r>
        <w:rPr>
          <w:rFonts w:ascii="Times New Roman" w:hAnsi="Times New Roman"/>
          <w:sz w:val="20"/>
        </w:rPr>
        <w:t xml:space="preserve">. This Agreement constitutes the entire agreement and supersedes all prior agreements and understandings, both written and oral, among or between any of the parties with respect to the subject matter hereof and thereof. </w:t>
      </w:r>
    </w:p>
    <w:p>
      <w:pPr>
        <w:pStyle w:val="TextBody"/>
        <w:bidi w:val="0"/>
        <w:spacing w:before="120" w:after="0"/>
        <w:jc w:val="left"/>
        <w:rPr>
          <w:rFonts w:ascii="Times New Roman" w:hAnsi="Times New Roman"/>
          <w:sz w:val="20"/>
        </w:rPr>
      </w:pPr>
      <w:r>
        <w:rPr>
          <w:rFonts w:ascii="Times New Roman" w:hAnsi="Times New Roman"/>
          <w:sz w:val="20"/>
        </w:rPr>
        <w:t xml:space="preserve">4.9. </w:t>
      </w:r>
      <w:r>
        <w:rPr>
          <w:rFonts w:ascii="Times New Roman" w:hAnsi="Times New Roman"/>
          <w:b/>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will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120" w:after="0"/>
        <w:jc w:val="left"/>
        <w:rPr>
          <w:rFonts w:ascii="Times New Roman" w:hAnsi="Times New Roman"/>
          <w:sz w:val="20"/>
        </w:rPr>
      </w:pPr>
      <w:r>
        <w:rPr>
          <w:rFonts w:ascii="Times New Roman" w:hAnsi="Times New Roman"/>
          <w:sz w:val="20"/>
        </w:rPr>
        <w:t xml:space="preserve">4.10. </w:t>
      </w:r>
      <w:r>
        <w:rPr>
          <w:rFonts w:ascii="Times New Roman" w:hAnsi="Times New Roman"/>
          <w:b/>
          <w:sz w:val="20"/>
          <w:u w:val="single"/>
        </w:rPr>
        <w:t>Specific Performance</w:t>
      </w:r>
      <w:r>
        <w:rPr>
          <w:rFonts w:ascii="Times New Roman" w:hAnsi="Times New Roman"/>
          <w:sz w:val="20"/>
        </w:rPr>
        <w:t xml:space="preserve">.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Delaware Court, this being in addition to any other remedy to which they are entitled at law or in equity, and each of the parties hereto waives any bond, surety or other security that might be required of any other party with respect thereto.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4.11. </w:t>
      </w:r>
      <w:r>
        <w:rPr>
          <w:rFonts w:ascii="Times New Roman" w:hAnsi="Times New Roman"/>
          <w:b/>
          <w:sz w:val="20"/>
          <w:u w:val="single"/>
        </w:rPr>
        <w:t>Construction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parties hereto agree that any rule of construction to the effect that ambiguities are to be resolved against the drafting party shall not be applied in the construction or interpretation of this Agreement.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As used in this Agreement, the words “include” and “including,” and variations thereof, shall not be deemed to be terms of limitation, but rather shall be deemed to be followed by the words “without limitation.”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Except as otherwise indicated, all references in this Agreement to “Sections,” “Articles,” and “Schedules” are intended to refer to Sections or Articles of this Agreement and Schedules to this Agreement, respectively. </w:t>
      </w:r>
    </w:p>
    <w:p>
      <w:pPr>
        <w:pStyle w:val="TextBody"/>
        <w:bidi w:val="0"/>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The bold-faced headings contained in this Agreement are for convenience of reference only, shall not be deemed to be a part of this Agreement and shall not be referred to in connection with the construction or interpretation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4.12. </w:t>
      </w:r>
      <w:r>
        <w:rPr>
          <w:rFonts w:ascii="Times New Roman" w:hAnsi="Times New Roman"/>
          <w:b/>
          <w:sz w:val="20"/>
          <w:u w:val="single"/>
        </w:rPr>
        <w:t>Further Assurances</w:t>
      </w:r>
      <w:r>
        <w:rPr>
          <w:rFonts w:ascii="Times New Roman" w:hAnsi="Times New Roman"/>
          <w:sz w:val="20"/>
        </w:rPr>
        <w:t xml:space="preserve">. Each of the parties hereto will execute and deliver, or cause to be executed and delivered, all further documents and instruments and use their respective reasonable best efforts to take, or cause to be taken, all actions and to do, or cause to be done, all things necessary under applicable Law to perform their respective obligations as expressly set forth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4.13. </w:t>
      </w:r>
      <w:r>
        <w:rPr>
          <w:rFonts w:ascii="Times New Roman" w:hAnsi="Times New Roman"/>
          <w:b/>
          <w:sz w:val="20"/>
          <w:u w:val="single"/>
        </w:rPr>
        <w:t>No Legal Actions.</w:t>
      </w:r>
      <w:r>
        <w:rPr>
          <w:rFonts w:ascii="Times New Roman" w:hAnsi="Times New Roman"/>
          <w:sz w:val="20"/>
        </w:rPr>
        <w:t xml:space="preserve"> Each Stockholder will not in its capacity as a Stockholder of the Company bring, commence, institute, maintain, prosecute or voluntarily aid any Action which (i) challenges the validity or seeks to enjoin the operation of any provision of this Agreement or (ii) alleges that the execution and delivery of this Agreement by such Stockholder, either alone or together with the other voting agreements and proxies to be delivered in connection with the execution of the Merger Agreement, or the approval of the Merger Agreement and the transactions contemplated thereby by the Company Board, constitutes a breach of any fiduciary duty of the Company Board or any member thereof. </w:t>
      </w:r>
    </w:p>
    <w:p>
      <w:pPr>
        <w:pStyle w:val="TextBody"/>
        <w:bidi w:val="0"/>
        <w:spacing w:before="120" w:after="0"/>
        <w:jc w:val="left"/>
        <w:rPr>
          <w:rFonts w:ascii="Times New Roman" w:hAnsi="Times New Roman"/>
          <w:sz w:val="20"/>
        </w:rPr>
      </w:pPr>
      <w:r>
        <w:rPr>
          <w:rFonts w:ascii="Times New Roman" w:hAnsi="Times New Roman"/>
          <w:sz w:val="20"/>
        </w:rPr>
        <w:t xml:space="preserve">4.14. </w:t>
      </w:r>
      <w:r>
        <w:rPr>
          <w:rFonts w:ascii="Times New Roman" w:hAnsi="Times New Roman"/>
          <w:b/>
          <w:sz w:val="20"/>
          <w:u w:val="single"/>
        </w:rPr>
        <w:t>Voluntary Execution of Agreement</w:t>
      </w:r>
      <w:r>
        <w:rPr>
          <w:rFonts w:ascii="Times New Roman" w:hAnsi="Times New Roman"/>
          <w:sz w:val="20"/>
        </w:rPr>
        <w:t xml:space="preserve">. This Agreement is executed voluntarily and without any duress or undue influence on the part or behalf of the parties. Each of the parties hereby acknowledges, represents and warrants that (i) it has read and fully understood the Merger Agreement, including the provisions relating to the payment and allocation of the consideration to be paid to Stockholders of the Company as well as holders of Company Options, this Agreement and the implications and consequences thereof; (ii) it has been represented in the preparation, negotiation, and execution of this Agreement by legal counsel of its own choice, or it has made a voluntary and informed decision to decline to seek such counsel; and (iii) it is fully aware of the legal and binding effect of this Agreement. The Stockholder has had an opportunity to review with its own tax advisors the tax consequences of the Merger and the other transactions contemplated by the Merger Agreement. The Stockholder understands that it must rely solely on its advisors and not on any statements or representations made by Parent, the Company or any of their respective agents or representatives. The Stockholder understands that such Stockholder (and not Parent, or the Company) shall be responsible for such Stockholder’s tax liability that may arise as a result of the Merger and the other transactions contemplated by the Merger Agreement. The Stockholder understands and acknowledges that Parent, the Company and Merger Subs are entering into the Merger Agreement in reliance upon the Stockholder’s execution, delivery and performance of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4.15. </w:t>
      </w:r>
      <w:r>
        <w:rPr>
          <w:rFonts w:ascii="Times New Roman" w:hAnsi="Times New Roman"/>
          <w:b/>
          <w:sz w:val="20"/>
          <w:u w:val="single"/>
        </w:rPr>
        <w:t>Fees and Expenses</w:t>
      </w:r>
      <w:r>
        <w:rPr>
          <w:rFonts w:ascii="Times New Roman" w:hAnsi="Times New Roman"/>
          <w:sz w:val="20"/>
        </w:rPr>
        <w:t xml:space="preserve">. Except as otherwise specifically provided herein, the Merger Agreement or any other agreement contemplated by the Merger Agreement to which a party hereto is a party, each party hereto shall bear its own expenses in connection with this Agreement and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4.16. </w:t>
      </w:r>
      <w:r>
        <w:rPr>
          <w:rFonts w:ascii="Times New Roman" w:hAnsi="Times New Roman"/>
          <w:b/>
          <w:sz w:val="20"/>
          <w:u w:val="single"/>
        </w:rPr>
        <w:t>Capacity as Stockholder</w:t>
      </w:r>
      <w:r>
        <w:rPr>
          <w:rFonts w:ascii="Times New Roman" w:hAnsi="Times New Roman"/>
          <w:sz w:val="20"/>
        </w:rPr>
        <w:t xml:space="preserve">. The Stockholder signs this Agreement solely in the Stockholder’s capacity as a holder of Company Shares, and not in the Stockholder’s capacity as a director, officer or employee of the Company or in the Stockholder’s capacity as a trustee or fiduciary of any employee benefit plan or trust. Notwithstanding anything herein to the contrary, nothing herein shall in any way restrict a director or officer of the Company in the exercise of his or her fiduciary duties as a director or officer of the Company or in his or her capacity as a trustee or fiduciary of any employee benefit plan or trust or prevent or be construed to create any obligation on the part of any director or officer of the Company or any trustee or fiduciary of any employee benefit plan or trust from taking any action in his or her capacity as such director, officer, trustee or fiduciary. </w:t>
      </w:r>
    </w:p>
    <w:p>
      <w:pPr>
        <w:pStyle w:val="TextBody"/>
        <w:bidi w:val="0"/>
        <w:spacing w:before="120" w:after="0"/>
        <w:jc w:val="left"/>
        <w:rPr>
          <w:rFonts w:ascii="Times New Roman" w:hAnsi="Times New Roman"/>
          <w:sz w:val="20"/>
        </w:rPr>
      </w:pPr>
      <w:r>
        <w:rPr>
          <w:rFonts w:ascii="Times New Roman" w:hAnsi="Times New Roman"/>
          <w:sz w:val="20"/>
        </w:rPr>
        <w:t xml:space="preserve">4.17. </w:t>
      </w:r>
      <w:r>
        <w:rPr>
          <w:rFonts w:ascii="Times New Roman" w:hAnsi="Times New Roman"/>
          <w:b/>
          <w:sz w:val="20"/>
          <w:u w:val="single"/>
        </w:rPr>
        <w:t>No Agreement Until Executed</w:t>
      </w:r>
      <w:r>
        <w:rPr>
          <w:rFonts w:ascii="Times New Roman" w:hAnsi="Times New Roman"/>
          <w:sz w:val="20"/>
        </w:rPr>
        <w:t xml:space="preserve">. Irrespective of negotiations among the parties or the exchanging of drafts of this Agreement, this Agreement shall not constitute or be deemed to evidence a contract, agreement, arrangement or understanding between the parties hereto unless and until (a) the Company Board has approved, for purposes of any applicable anti-takeover laws and regulations, and any applicable provision of the Company’s organizational documents, the Merger, (b) the Merger Agreement is executed by all parties thereto, and (c) this Agreement is executed by all parties hereto.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85"/>
        <w:gridCol w:w="104"/>
        <w:gridCol w:w="3393"/>
      </w:tblGrid>
      <w:tr>
        <w:trPr/>
        <w:tc>
          <w:tcPr>
            <w:tcW w:w="58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339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w:t>
            </w:r>
            <w:r>
              <w:rPr>
                <w:b/>
                <w:sz w:val="20"/>
              </w:rPr>
              <w:t>ULCRUM</w:t>
            </w:r>
            <w:r>
              <w:rPr>
                <w:b/>
              </w:rPr>
              <w:t xml:space="preserve"> T</w:t>
            </w:r>
            <w:r>
              <w:rPr>
                <w:b/>
                <w:sz w:val="20"/>
              </w:rPr>
              <w:t>HERAPEUTICS</w:t>
            </w:r>
            <w:r>
              <w:rPr>
                <w:b/>
              </w:rPr>
              <w:t>, I</w:t>
            </w:r>
            <w:r>
              <w:rPr>
                <w:b/>
                <w:sz w:val="20"/>
              </w:rPr>
              <w:t>NC</w:t>
            </w:r>
            <w:r>
              <w:rPr>
                <w:b/>
              </w:rPr>
              <w:t xml:space="preserve">. </w:t>
            </w:r>
          </w:p>
        </w:tc>
      </w:tr>
      <w:tr>
        <w:trPr>
          <w:trHeight w:val="240" w:hRule="atLeast"/>
        </w:trPr>
        <w:tc>
          <w:tcPr>
            <w:tcW w:w="585" w:type="dxa"/>
            <w:tcBorders/>
            <w:vAlign w:val="center"/>
          </w:tcPr>
          <w:p>
            <w:pPr>
              <w:pStyle w:val="TableContents"/>
              <w:bidi w:val="0"/>
              <w:spacing w:before="0" w:after="283"/>
              <w:jc w:val="left"/>
              <w:rPr>
                <w:sz w:val="4"/>
                <w:szCs w:val="4"/>
              </w:rPr>
            </w:pPr>
            <w:r>
              <w:rPr>
                <w:sz w:val="4"/>
                <w:szCs w:val="4"/>
              </w:rPr>
            </w:r>
          </w:p>
        </w:tc>
        <w:tc>
          <w:tcPr>
            <w:tcW w:w="3497" w:type="dxa"/>
            <w:gridSpan w:val="2"/>
            <w:tcBorders/>
            <w:vAlign w:val="center"/>
          </w:tcPr>
          <w:p>
            <w:pPr>
              <w:pStyle w:val="TableContents"/>
              <w:bidi w:val="0"/>
              <w:spacing w:before="0" w:after="283"/>
              <w:jc w:val="left"/>
              <w:rPr>
                <w:sz w:val="4"/>
                <w:szCs w:val="4"/>
              </w:rPr>
            </w:pPr>
            <w:r>
              <w:rPr>
                <w:sz w:val="4"/>
                <w:szCs w:val="4"/>
              </w:rPr>
            </w:r>
          </w:p>
        </w:tc>
      </w:tr>
      <w:tr>
        <w:trPr/>
        <w:tc>
          <w:tcPr>
            <w:tcW w:w="585" w:type="dxa"/>
            <w:tcBorders/>
          </w:tcPr>
          <w:p>
            <w:pPr>
              <w:pStyle w:val="TableContents"/>
              <w:bidi w:val="0"/>
              <w:spacing w:before="0" w:after="283"/>
              <w:jc w:val="left"/>
              <w:rPr/>
            </w:pPr>
            <w:r>
              <w:rPr/>
              <w:t>By:</w:t>
            </w:r>
          </w:p>
        </w:tc>
        <w:tc>
          <w:tcPr>
            <w:tcW w:w="104" w:type="dxa"/>
            <w:tcBorders/>
            <w:vAlign w:val="bottom"/>
          </w:tcPr>
          <w:p>
            <w:pPr>
              <w:pStyle w:val="TableContents"/>
              <w:bidi w:val="0"/>
              <w:spacing w:before="0" w:after="283"/>
              <w:jc w:val="left"/>
              <w:rPr/>
            </w:pPr>
            <w:r>
              <w:rPr/>
              <w:t> </w:t>
            </w:r>
          </w:p>
        </w:tc>
        <w:tc>
          <w:tcPr>
            <w:tcW w:w="3393" w:type="dxa"/>
            <w:tcBorders/>
          </w:tcPr>
          <w:p>
            <w:pPr>
              <w:pStyle w:val="TableContents"/>
              <w:pBdr>
                <w:bottom w:val="single" w:sz="2" w:space="1" w:color="000000"/>
              </w:pBdr>
              <w:bidi w:val="0"/>
              <w:spacing w:before="0" w:after="20"/>
              <w:jc w:val="left"/>
              <w:rPr/>
            </w:pPr>
            <w:r>
              <w:rPr/>
              <w:t> </w:t>
            </w:r>
          </w:p>
        </w:tc>
      </w:tr>
      <w:tr>
        <w:trPr/>
        <w:tc>
          <w:tcPr>
            <w:tcW w:w="585"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393" w:type="dxa"/>
            <w:tcBorders/>
          </w:tcPr>
          <w:p>
            <w:pPr>
              <w:pStyle w:val="TableContents"/>
              <w:bidi w:val="0"/>
              <w:spacing w:before="0" w:after="283"/>
              <w:jc w:val="left"/>
              <w:rPr/>
            </w:pPr>
            <w:r>
              <w:rPr/>
              <w:t>Name:</w:t>
            </w:r>
          </w:p>
        </w:tc>
      </w:tr>
      <w:tr>
        <w:trPr/>
        <w:tc>
          <w:tcPr>
            <w:tcW w:w="585"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393"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Company Stockholder Support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STOCKHOLDER (IF AN INDIVIDUAL)</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(Print Name of Stockholder)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(Signature)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Address for Notices: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Email:_____________________________</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Company Stockholder Support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as of the date first written above. </w:t>
      </w:r>
    </w:p>
    <w:p>
      <w:pPr>
        <w:pStyle w:val="TextBody"/>
        <w:bidi w:val="0"/>
        <w:spacing w:before="0" w:after="0"/>
        <w:jc w:val="left"/>
        <w:rPr/>
      </w:pPr>
      <w:r>
        <w:rPr/>
        <w:t> </w:t>
      </w:r>
    </w:p>
    <w:tbl>
      <w:tblPr>
        <w:tblW w:w="5540" w:type="dxa"/>
        <w:jc w:val="right"/>
        <w:tblInd w:w="0" w:type="dxa"/>
        <w:tblLayout w:type="fixed"/>
        <w:tblCellMar>
          <w:top w:w="0" w:type="dxa"/>
          <w:left w:w="0" w:type="dxa"/>
          <w:bottom w:w="0" w:type="dxa"/>
          <w:right w:w="0" w:type="dxa"/>
        </w:tblCellMar>
      </w:tblPr>
      <w:tblGrid>
        <w:gridCol w:w="5540"/>
      </w:tblGrid>
      <w:tr>
        <w:trPr/>
        <w:tc>
          <w:tcPr>
            <w:tcW w:w="5540" w:type="dxa"/>
            <w:tcBorders/>
            <w:vAlign w:val="center"/>
          </w:tcPr>
          <w:p>
            <w:pPr>
              <w:pStyle w:val="TableContents"/>
              <w:bidi w:val="0"/>
              <w:spacing w:before="0" w:after="283"/>
              <w:jc w:val="left"/>
              <w:rPr>
                <w:sz w:val="4"/>
                <w:szCs w:val="4"/>
              </w:rPr>
            </w:pPr>
            <w:r>
              <w:rPr>
                <w:sz w:val="4"/>
                <w:szCs w:val="4"/>
              </w:rPr>
            </w:r>
          </w:p>
        </w:tc>
      </w:tr>
      <w:tr>
        <w:trPr/>
        <w:tc>
          <w:tcPr>
            <w:tcW w:w="5540" w:type="dxa"/>
            <w:tcBorders/>
          </w:tcPr>
          <w:p>
            <w:pPr>
              <w:pStyle w:val="TableContents"/>
              <w:bidi w:val="0"/>
              <w:spacing w:before="0" w:after="283"/>
              <w:jc w:val="left"/>
              <w:rPr>
                <w:b/>
              </w:rPr>
            </w:pPr>
            <w:r>
              <w:rPr>
                <w:b/>
              </w:rPr>
              <w:t>STOCKHOLDER (IF AN ENTITY)</w:t>
            </w:r>
          </w:p>
        </w:tc>
      </w:tr>
      <w:tr>
        <w:trPr>
          <w:trHeight w:val="240" w:hRule="atLeast"/>
        </w:trPr>
        <w:tc>
          <w:tcPr>
            <w:tcW w:w="5540" w:type="dxa"/>
            <w:tcBorders/>
            <w:vAlign w:val="center"/>
          </w:tcPr>
          <w:p>
            <w:pPr>
              <w:pStyle w:val="TableContents"/>
              <w:bidi w:val="0"/>
              <w:spacing w:before="0" w:after="283"/>
              <w:jc w:val="left"/>
              <w:rPr>
                <w:sz w:val="4"/>
                <w:szCs w:val="4"/>
              </w:rPr>
            </w:pPr>
            <w:r>
              <w:rPr>
                <w:sz w:val="4"/>
                <w:szCs w:val="4"/>
              </w:rPr>
            </w:r>
          </w:p>
        </w:tc>
      </w:tr>
      <w:tr>
        <w:trPr/>
        <w:tc>
          <w:tcPr>
            <w:tcW w:w="5540" w:type="dxa"/>
            <w:tcBorders/>
          </w:tcPr>
          <w:p>
            <w:pPr>
              <w:pStyle w:val="TableContents"/>
              <w:bidi w:val="0"/>
              <w:spacing w:before="0" w:after="283"/>
              <w:jc w:val="left"/>
              <w:rPr/>
            </w:pPr>
            <w:r>
              <w:rPr/>
              <w:t>[]</w:t>
            </w:r>
          </w:p>
        </w:tc>
      </w:tr>
      <w:tr>
        <w:trPr/>
        <w:tc>
          <w:tcPr>
            <w:tcW w:w="5540" w:type="dxa"/>
            <w:tcBorders/>
          </w:tcPr>
          <w:p>
            <w:pPr>
              <w:pStyle w:val="TableContents"/>
              <w:bidi w:val="0"/>
              <w:spacing w:before="0" w:after="283"/>
              <w:jc w:val="left"/>
              <w:rPr/>
            </w:pPr>
            <w:r>
              <w:rPr/>
              <w:t>(Print Name of Entity)</w:t>
            </w:r>
          </w:p>
        </w:tc>
      </w:tr>
      <w:tr>
        <w:trPr>
          <w:trHeight w:val="240" w:hRule="atLeast"/>
        </w:trPr>
        <w:tc>
          <w:tcPr>
            <w:tcW w:w="5540" w:type="dxa"/>
            <w:tcBorders/>
            <w:vAlign w:val="center"/>
          </w:tcPr>
          <w:p>
            <w:pPr>
              <w:pStyle w:val="TableContents"/>
              <w:bidi w:val="0"/>
              <w:spacing w:before="0" w:after="283"/>
              <w:jc w:val="left"/>
              <w:rPr>
                <w:sz w:val="4"/>
                <w:szCs w:val="4"/>
              </w:rPr>
            </w:pPr>
            <w:r>
              <w:rPr>
                <w:sz w:val="4"/>
                <w:szCs w:val="4"/>
              </w:rPr>
            </w:r>
          </w:p>
        </w:tc>
      </w:tr>
      <w:tr>
        <w:trPr/>
        <w:tc>
          <w:tcPr>
            <w:tcW w:w="5540" w:type="dxa"/>
            <w:tcBorders/>
          </w:tcPr>
          <w:p>
            <w:pPr>
              <w:pStyle w:val="TableContents"/>
              <w:bidi w:val="0"/>
              <w:spacing w:before="0" w:after="283"/>
              <w:jc w:val="left"/>
              <w:rPr/>
            </w:pPr>
            <w:r>
              <w:rPr/>
              <w:t>By: _____________________________________________</w:t>
            </w:r>
          </w:p>
        </w:tc>
      </w:tr>
      <w:tr>
        <w:trPr/>
        <w:tc>
          <w:tcPr>
            <w:tcW w:w="5540" w:type="dxa"/>
            <w:tcBorders/>
          </w:tcPr>
          <w:p>
            <w:pPr>
              <w:pStyle w:val="TableContents"/>
              <w:bidi w:val="0"/>
              <w:spacing w:before="0" w:after="283"/>
              <w:jc w:val="left"/>
              <w:rPr/>
            </w:pPr>
            <w:r>
              <w:rPr/>
              <w:t>(Signature)</w:t>
            </w:r>
          </w:p>
        </w:tc>
      </w:tr>
      <w:tr>
        <w:trPr>
          <w:trHeight w:val="240" w:hRule="atLeast"/>
        </w:trPr>
        <w:tc>
          <w:tcPr>
            <w:tcW w:w="5540" w:type="dxa"/>
            <w:tcBorders/>
            <w:vAlign w:val="center"/>
          </w:tcPr>
          <w:p>
            <w:pPr>
              <w:pStyle w:val="TableContents"/>
              <w:bidi w:val="0"/>
              <w:spacing w:before="0" w:after="283"/>
              <w:jc w:val="left"/>
              <w:rPr>
                <w:sz w:val="4"/>
                <w:szCs w:val="4"/>
              </w:rPr>
            </w:pPr>
            <w:r>
              <w:rPr>
                <w:sz w:val="4"/>
                <w:szCs w:val="4"/>
              </w:rPr>
            </w:r>
          </w:p>
        </w:tc>
      </w:tr>
      <w:tr>
        <w:trPr/>
        <w:tc>
          <w:tcPr>
            <w:tcW w:w="5540" w:type="dxa"/>
            <w:tcBorders/>
          </w:tcPr>
          <w:p>
            <w:pPr>
              <w:pStyle w:val="TableContents"/>
              <w:pBdr>
                <w:bottom w:val="single" w:sz="2" w:space="1" w:color="000000"/>
              </w:pBdr>
              <w:bidi w:val="0"/>
              <w:spacing w:before="0" w:after="20"/>
              <w:jc w:val="left"/>
              <w:rPr/>
            </w:pPr>
            <w:r>
              <w:rPr/>
              <w:t> </w:t>
            </w:r>
          </w:p>
        </w:tc>
      </w:tr>
      <w:tr>
        <w:trPr/>
        <w:tc>
          <w:tcPr>
            <w:tcW w:w="5540" w:type="dxa"/>
            <w:tcBorders/>
          </w:tcPr>
          <w:p>
            <w:pPr>
              <w:pStyle w:val="TableContents"/>
              <w:bidi w:val="0"/>
              <w:spacing w:before="0" w:after="283"/>
              <w:jc w:val="left"/>
              <w:rPr/>
            </w:pPr>
            <w:r>
              <w:rPr/>
              <w:t>(Name and Title of Signatory)</w:t>
            </w:r>
          </w:p>
        </w:tc>
      </w:tr>
      <w:tr>
        <w:trPr/>
        <w:tc>
          <w:tcPr>
            <w:tcW w:w="5540" w:type="dxa"/>
            <w:tcBorders/>
          </w:tcPr>
          <w:p>
            <w:pPr>
              <w:pStyle w:val="TableContents"/>
              <w:bidi w:val="0"/>
              <w:spacing w:before="0" w:after="283"/>
              <w:jc w:val="left"/>
              <w:rPr/>
            </w:pPr>
            <w:r>
              <w:rPr/>
              <w:t>Address for Notices:</w:t>
            </w:r>
          </w:p>
        </w:tc>
      </w:tr>
      <w:tr>
        <w:trPr>
          <w:trHeight w:val="240" w:hRule="atLeast"/>
        </w:trPr>
        <w:tc>
          <w:tcPr>
            <w:tcW w:w="5540" w:type="dxa"/>
            <w:tcBorders/>
            <w:vAlign w:val="center"/>
          </w:tcPr>
          <w:p>
            <w:pPr>
              <w:pStyle w:val="TableContents"/>
              <w:bidi w:val="0"/>
              <w:spacing w:before="0" w:after="283"/>
              <w:jc w:val="left"/>
              <w:rPr>
                <w:sz w:val="4"/>
                <w:szCs w:val="4"/>
              </w:rPr>
            </w:pPr>
            <w:r>
              <w:rPr>
                <w:sz w:val="4"/>
                <w:szCs w:val="4"/>
              </w:rPr>
            </w:r>
          </w:p>
        </w:tc>
      </w:tr>
      <w:tr>
        <w:trPr/>
        <w:tc>
          <w:tcPr>
            <w:tcW w:w="5540" w:type="dxa"/>
            <w:tcBorders/>
          </w:tcPr>
          <w:p>
            <w:pPr>
              <w:pStyle w:val="TableContents"/>
              <w:pBdr>
                <w:bottom w:val="single" w:sz="2" w:space="1" w:color="000000"/>
              </w:pBdr>
              <w:bidi w:val="0"/>
              <w:spacing w:before="0" w:after="20"/>
              <w:jc w:val="left"/>
              <w:rPr/>
            </w:pPr>
            <w:r>
              <w:rPr/>
              <w:t> </w:t>
            </w:r>
          </w:p>
        </w:tc>
      </w:tr>
      <w:tr>
        <w:trPr>
          <w:trHeight w:val="240" w:hRule="atLeast"/>
        </w:trPr>
        <w:tc>
          <w:tcPr>
            <w:tcW w:w="5540" w:type="dxa"/>
            <w:tcBorders/>
            <w:vAlign w:val="center"/>
          </w:tcPr>
          <w:p>
            <w:pPr>
              <w:pStyle w:val="TableContents"/>
              <w:bidi w:val="0"/>
              <w:spacing w:before="0" w:after="283"/>
              <w:jc w:val="left"/>
              <w:rPr>
                <w:sz w:val="4"/>
                <w:szCs w:val="4"/>
              </w:rPr>
            </w:pPr>
            <w:r>
              <w:rPr>
                <w:sz w:val="4"/>
                <w:szCs w:val="4"/>
              </w:rPr>
            </w:r>
          </w:p>
        </w:tc>
      </w:tr>
      <w:tr>
        <w:trPr/>
        <w:tc>
          <w:tcPr>
            <w:tcW w:w="5540" w:type="dxa"/>
            <w:tcBorders/>
          </w:tcPr>
          <w:p>
            <w:pPr>
              <w:pStyle w:val="TableContents"/>
              <w:pBdr>
                <w:bottom w:val="single" w:sz="2" w:space="1" w:color="000000"/>
              </w:pBdr>
              <w:bidi w:val="0"/>
              <w:spacing w:before="0" w:after="20"/>
              <w:jc w:val="left"/>
              <w:rPr/>
            </w:pPr>
            <w:r>
              <w:rPr/>
              <w:t> </w:t>
            </w:r>
          </w:p>
        </w:tc>
      </w:tr>
      <w:tr>
        <w:trPr>
          <w:trHeight w:val="240" w:hRule="atLeast"/>
        </w:trPr>
        <w:tc>
          <w:tcPr>
            <w:tcW w:w="5540" w:type="dxa"/>
            <w:tcBorders/>
            <w:vAlign w:val="center"/>
          </w:tcPr>
          <w:p>
            <w:pPr>
              <w:pStyle w:val="TableContents"/>
              <w:bidi w:val="0"/>
              <w:spacing w:before="0" w:after="283"/>
              <w:jc w:val="left"/>
              <w:rPr>
                <w:sz w:val="4"/>
                <w:szCs w:val="4"/>
              </w:rPr>
            </w:pPr>
            <w:r>
              <w:rPr>
                <w:sz w:val="4"/>
                <w:szCs w:val="4"/>
              </w:rPr>
            </w:r>
          </w:p>
        </w:tc>
      </w:tr>
      <w:tr>
        <w:trPr/>
        <w:tc>
          <w:tcPr>
            <w:tcW w:w="5540" w:type="dxa"/>
            <w:tcBorders/>
          </w:tcPr>
          <w:p>
            <w:pPr>
              <w:pStyle w:val="TableContents"/>
              <w:bidi w:val="0"/>
              <w:spacing w:before="0" w:after="283"/>
              <w:jc w:val="left"/>
              <w:rPr/>
            </w:pPr>
            <w:r>
              <w:rPr/>
              <w:t>Email:___________________________________________</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Company Stockholder Support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240" w:after="0"/>
        <w:jc w:val="left"/>
        <w:rPr>
          <w:rFonts w:ascii="Times New Roman" w:hAnsi="Times New Roman"/>
          <w:sz w:val="20"/>
        </w:rPr>
      </w:pPr>
      <w:r>
        <w:rPr>
          <w:rFonts w:ascii="Times New Roman" w:hAnsi="Times New Roman"/>
          <w:b/>
          <w:sz w:val="20"/>
        </w:rPr>
        <w:t>Name of Stockholder</w:t>
      </w:r>
      <w:r>
        <w:rPr>
          <w:rFonts w:ascii="Times New Roman" w:hAnsi="Times New Roman"/>
          <w:sz w:val="20"/>
        </w:rPr>
        <w:t xml:space="preserve">: _____________________ </w:t>
      </w:r>
    </w:p>
    <w:p>
      <w:pPr>
        <w:pStyle w:val="TextBody"/>
        <w:bidi w:val="0"/>
        <w:spacing w:before="240" w:after="0"/>
        <w:jc w:val="left"/>
        <w:rPr>
          <w:rFonts w:ascii="Times New Roman" w:hAnsi="Times New Roman"/>
          <w:b/>
          <w:sz w:val="20"/>
        </w:rPr>
      </w:pPr>
      <w:r>
        <w:rPr>
          <w:rFonts w:ascii="Times New Roman" w:hAnsi="Times New Roman"/>
          <w:b/>
          <w:sz w:val="20"/>
        </w:rPr>
        <w:t xml:space="preserve">Subject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16"/>
        <w:gridCol w:w="553"/>
        <w:gridCol w:w="437"/>
        <w:gridCol w:w="438"/>
        <w:gridCol w:w="61"/>
      </w:tblGrid>
      <w:tr>
        <w:trPr/>
        <w:tc>
          <w:tcPr>
            <w:tcW w:w="8716" w:type="dxa"/>
            <w:tcBorders/>
            <w:vAlign w:val="center"/>
          </w:tcPr>
          <w:p>
            <w:pPr>
              <w:pStyle w:val="TableContents"/>
              <w:bidi w:val="0"/>
              <w:spacing w:before="0" w:after="283"/>
              <w:jc w:val="left"/>
              <w:rPr>
                <w:sz w:val="4"/>
                <w:szCs w:val="4"/>
              </w:rPr>
            </w:pPr>
            <w:r>
              <w:rPr>
                <w:sz w:val="4"/>
                <w:szCs w:val="4"/>
              </w:rPr>
            </w:r>
          </w:p>
        </w:tc>
        <w:tc>
          <w:tcPr>
            <w:tcW w:w="553" w:type="dxa"/>
            <w:tcBorders/>
            <w:vAlign w:val="bottom"/>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871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Type</w:t>
            </w:r>
          </w:p>
        </w:tc>
        <w:tc>
          <w:tcPr>
            <w:tcW w:w="553"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1" w:type="dxa"/>
            <w:tcBorders/>
            <w:vAlign w:val="bottom"/>
          </w:tcPr>
          <w:p>
            <w:pPr>
              <w:pStyle w:val="TableContents"/>
              <w:bidi w:val="0"/>
              <w:spacing w:before="0" w:after="283"/>
              <w:jc w:val="left"/>
              <w:rPr/>
            </w:pPr>
            <w:r>
              <w:rPr/>
              <w:t> </w:t>
            </w:r>
          </w:p>
        </w:tc>
      </w:tr>
      <w:tr>
        <w:trPr/>
        <w:tc>
          <w:tcPr>
            <w:tcW w:w="87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55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8716" w:type="dxa"/>
            <w:tcBorders/>
          </w:tcPr>
          <w:p>
            <w:pPr>
              <w:pStyle w:val="TableContents"/>
              <w:bidi w:val="0"/>
              <w:spacing w:before="0" w:after="0"/>
              <w:jc w:val="left"/>
              <w:rPr>
                <w:rFonts w:ascii="Times New Roman" w:hAnsi="Times New Roman"/>
                <w:sz w:val="20"/>
              </w:rPr>
            </w:pPr>
            <w:r>
              <w:rPr>
                <w:rFonts w:ascii="Times New Roman" w:hAnsi="Times New Roman"/>
                <w:sz w:val="20"/>
              </w:rPr>
              <w:t>Series Seed Preferred Stock</w:t>
            </w:r>
          </w:p>
        </w:tc>
        <w:tc>
          <w:tcPr>
            <w:tcW w:w="553"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c>
          <w:tcPr>
            <w:tcW w:w="87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A-1 Preferred Stock</w:t>
            </w:r>
          </w:p>
        </w:tc>
        <w:tc>
          <w:tcPr>
            <w:tcW w:w="55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8716" w:type="dxa"/>
            <w:tcBorders/>
          </w:tcPr>
          <w:p>
            <w:pPr>
              <w:pStyle w:val="TableContents"/>
              <w:bidi w:val="0"/>
              <w:spacing w:before="0" w:after="0"/>
              <w:jc w:val="left"/>
              <w:rPr>
                <w:rFonts w:ascii="Times New Roman" w:hAnsi="Times New Roman"/>
                <w:sz w:val="20"/>
              </w:rPr>
            </w:pPr>
            <w:r>
              <w:rPr>
                <w:rFonts w:ascii="Times New Roman" w:hAnsi="Times New Roman"/>
                <w:sz w:val="20"/>
              </w:rPr>
              <w:t>Series A-2 Preferred Stock</w:t>
            </w:r>
          </w:p>
        </w:tc>
        <w:tc>
          <w:tcPr>
            <w:tcW w:w="553"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c>
          <w:tcPr>
            <w:tcW w:w="87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Company Options</w:t>
            </w:r>
          </w:p>
        </w:tc>
        <w:tc>
          <w:tcPr>
            <w:tcW w:w="55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Appendix I </w:t>
      </w:r>
    </w:p>
    <w:p>
      <w:pPr>
        <w:pStyle w:val="TextBody"/>
        <w:bidi w:val="0"/>
        <w:spacing w:before="240" w:after="0"/>
        <w:jc w:val="left"/>
        <w:rPr>
          <w:rFonts w:ascii="Times New Roman" w:hAnsi="Times New Roman"/>
          <w:b/>
          <w:sz w:val="20"/>
        </w:rPr>
      </w:pPr>
      <w:r>
        <w:rPr>
          <w:rFonts w:ascii="Times New Roman" w:hAnsi="Times New Roman"/>
          <w:b/>
          <w:sz w:val="20"/>
        </w:rPr>
        <w:t xml:space="preserve">§ 262. Appraisal rights [For application of this section, see § 17; 82 Del. Laws, c. 45, § 23; 82 Del. Laws, c. 256, § 24; and 83 Del. Laws, c. 377, § 22]. </w:t>
      </w:r>
    </w:p>
    <w:p>
      <w:pPr>
        <w:pStyle w:val="TextBody"/>
        <w:bidi w:val="0"/>
        <w:spacing w:before="120" w:after="0"/>
        <w:jc w:val="left"/>
        <w:rPr>
          <w:rFonts w:ascii="Times New Roman" w:hAnsi="Times New Roman"/>
          <w:sz w:val="20"/>
        </w:rPr>
      </w:pPr>
      <w:r>
        <w:rPr>
          <w:rFonts w:ascii="Times New Roman" w:hAnsi="Times New Roman"/>
          <w:sz w:val="20"/>
        </w:rPr>
        <w:t xml:space="preserve">(a) Any stockholder of a corporation of this State who holds shares of stock on the date of the making of a demand pursuant to subsection (d) of this section with respect to such shares, who continuously holds such shares through the effective date of the merger, consolidation, or conversion, who has otherwise complied with subsection (d) of this section and who has neither voted in favor of the merger, consolidation or conversion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 </w:t>
      </w:r>
    </w:p>
    <w:p>
      <w:pPr>
        <w:pStyle w:val="TextBody"/>
        <w:bidi w:val="0"/>
        <w:spacing w:before="120" w:after="0"/>
        <w:jc w:val="left"/>
        <w:rPr>
          <w:rFonts w:ascii="Times New Roman" w:hAnsi="Times New Roman"/>
          <w:sz w:val="20"/>
        </w:rPr>
      </w:pPr>
      <w:r>
        <w:rPr>
          <w:rFonts w:ascii="Times New Roman" w:hAnsi="Times New Roman"/>
          <w:sz w:val="20"/>
        </w:rPr>
        <w:t xml:space="preserve">(b) Appraisal rights shall be available for the shares of any class or series of stock of a constituent or converting corporation in a merger, consolidation or conversion to be effected pursuant to § 251 (other than a merger effected pursuant to § 251(g) of this title), § 252, § 254, § 255, § 256, § 257, § 258, § 263, § 264 or § 266 of this title (other than, in each case and solely with respect to a domesticated corporation, a merger, consolidation or conversion authorized pursuant to and in accordance with the provisions of § 388 of this title): </w:t>
      </w:r>
    </w:p>
    <w:p>
      <w:pPr>
        <w:pStyle w:val="TextBody"/>
        <w:bidi w:val="0"/>
        <w:spacing w:before="120" w:after="0"/>
        <w:jc w:val="left"/>
        <w:rPr>
          <w:rFonts w:ascii="Times New Roman" w:hAnsi="Times New Roman"/>
          <w:sz w:val="20"/>
        </w:rPr>
      </w:pPr>
      <w:r>
        <w:rPr>
          <w:rFonts w:ascii="Times New Roman" w:hAnsi="Times New Roman"/>
          <w:sz w:val="20"/>
        </w:rPr>
        <w:t xml:space="preserve">(1) 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conversion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 </w:t>
      </w:r>
    </w:p>
    <w:p>
      <w:pPr>
        <w:pStyle w:val="TextBody"/>
        <w:bidi w:val="0"/>
        <w:spacing w:before="120" w:after="0"/>
        <w:jc w:val="left"/>
        <w:rPr>
          <w:rFonts w:ascii="Times New Roman" w:hAnsi="Times New Roman"/>
          <w:sz w:val="20"/>
        </w:rPr>
      </w:pPr>
      <w:r>
        <w:rPr>
          <w:rFonts w:ascii="Times New Roman" w:hAnsi="Times New Roman"/>
          <w:sz w:val="20"/>
        </w:rPr>
        <w:t xml:space="preserve">(2) Notwithstanding paragraph (b)(1) of this section, appraisal rights under this section shall be available for the shares of any class or series of stock of a constituent or converting corporation if the holders thereof are required by the terms of an agreement of merger or consolidation, or by the terms of a resolution providing for conversion, pursuant to § 251, § 252, § 254, § 255, § 256, § 257, § 258, § 263, § 264 or § 266 of this title to accept for such stock anything except: </w:t>
      </w:r>
    </w:p>
    <w:p>
      <w:pPr>
        <w:pStyle w:val="TextBody"/>
        <w:bidi w:val="0"/>
        <w:spacing w:before="120" w:after="0"/>
        <w:jc w:val="left"/>
        <w:rPr>
          <w:rFonts w:ascii="Times New Roman" w:hAnsi="Times New Roman"/>
          <w:sz w:val="20"/>
        </w:rPr>
      </w:pPr>
      <w:r>
        <w:rPr>
          <w:rFonts w:ascii="Times New Roman" w:hAnsi="Times New Roman"/>
          <w:sz w:val="20"/>
        </w:rPr>
        <w:t xml:space="preserve">a. Shares of stock of the corporation surviving or resulting from such merger or consolidation, or of the converted entity if such entity is a corporation as a result of the conversion, or depository receipts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b. Shares of stock of any other corporation, or depository receipts in respect thereof, which shares of stock (or depository receipts in respect thereof) or depository receipts at the effective date of the merger, consolidation or conversion will be either listed on a national securities exchange or held of record by more than 2,000 holders;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Cash in lieu of fractional shares or fractional depository receipts described in the foregoing paragraphs (b)(2)a. and b. of this section; or </w:t>
      </w:r>
    </w:p>
    <w:p>
      <w:pPr>
        <w:pStyle w:val="TextBody"/>
        <w:bidi w:val="0"/>
        <w:spacing w:before="120" w:after="0"/>
        <w:jc w:val="left"/>
        <w:rPr>
          <w:rFonts w:ascii="Times New Roman" w:hAnsi="Times New Roman"/>
          <w:sz w:val="20"/>
        </w:rPr>
      </w:pPr>
      <w:r>
        <w:rPr>
          <w:rFonts w:ascii="Times New Roman" w:hAnsi="Times New Roman"/>
          <w:sz w:val="20"/>
        </w:rPr>
        <w:t xml:space="preserve">d. Any combination of the shares of stock, depository receipts and cash in lieu of fractional shares or fractional depository receipts described in the foregoing paragraphs (b)(2)a., b. and c.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(3) In the event all of the stock of a subsidiary Delaware corporation party to a merger effected under § 253 or § 267 of this title is not owned by the parent immediately prior to the merger, appraisal rights shall be available for the shares of the subsidiary Delaware corporation. </w:t>
      </w:r>
    </w:p>
    <w:p>
      <w:pPr>
        <w:pStyle w:val="TextBody"/>
        <w:bidi w:val="0"/>
        <w:spacing w:before="120" w:after="0"/>
        <w:jc w:val="left"/>
        <w:rPr>
          <w:rFonts w:ascii="Times New Roman" w:hAnsi="Times New Roman"/>
          <w:sz w:val="20"/>
        </w:rPr>
      </w:pPr>
      <w:r>
        <w:rPr>
          <w:rFonts w:ascii="Times New Roman" w:hAnsi="Times New Roman"/>
          <w:sz w:val="20"/>
        </w:rPr>
        <w:t xml:space="preserve">(4) [Repealed.] </w:t>
      </w:r>
    </w:p>
    <w:p>
      <w:pPr>
        <w:pStyle w:val="TextBody"/>
        <w:bidi w:val="0"/>
        <w:spacing w:before="120" w:after="0"/>
        <w:jc w:val="left"/>
        <w:rPr>
          <w:rFonts w:ascii="Times New Roman" w:hAnsi="Times New Roman"/>
          <w:sz w:val="20"/>
        </w:rPr>
      </w:pPr>
      <w:r>
        <w:rPr>
          <w:rFonts w:ascii="Times New Roman" w:hAnsi="Times New Roman"/>
          <w:sz w:val="20"/>
        </w:rPr>
        <w:t xml:space="preserve">(c) 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If the certificate of incorporation contains such a provision, the provisions of this section, including those set forth in subsections (d), (e), and (g) of this section, shall apply as nearly as is practicable. </w:t>
      </w:r>
    </w:p>
    <w:p>
      <w:pPr>
        <w:pStyle w:val="TextBody"/>
        <w:bidi w:val="0"/>
        <w:spacing w:before="120" w:after="0"/>
        <w:jc w:val="left"/>
        <w:rPr>
          <w:rFonts w:ascii="Times New Roman" w:hAnsi="Times New Roman"/>
          <w:sz w:val="20"/>
        </w:rPr>
      </w:pPr>
      <w:r>
        <w:rPr>
          <w:rFonts w:ascii="Times New Roman" w:hAnsi="Times New Roman"/>
          <w:sz w:val="20"/>
        </w:rPr>
        <w:t xml:space="preserve">(d) Appraisal rights shall be perfected as follows: </w:t>
      </w:r>
    </w:p>
    <w:p>
      <w:pPr>
        <w:pStyle w:val="TextBody"/>
        <w:bidi w:val="0"/>
        <w:spacing w:before="120" w:after="0"/>
        <w:jc w:val="left"/>
        <w:rPr>
          <w:rFonts w:ascii="Times New Roman" w:hAnsi="Times New Roman"/>
          <w:sz w:val="20"/>
        </w:rPr>
      </w:pPr>
      <w:r>
        <w:rPr>
          <w:rFonts w:ascii="Times New Roman" w:hAnsi="Times New Roman"/>
          <w:sz w:val="20"/>
        </w:rPr>
        <w:t xml:space="preserve">(1) If a proposed merger, consolidation or conversion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or conversion,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or conversion shall not constitute such a demand. A stockholder electing to take such action must do so by a separate written demand as herein provided. Within 10 days after the effective date of such merger, consolidation or conversion, the surviving, resulting or converted entity shall notify each stockholder of each constituent or converting corporation who has complied with this subsection and has not voted in favor of or consented to the merger, consolidation or conversion, and any beneficial owner who has demanded appraisal under paragraph (d)(3) of this section, of the date that the merger, consolidation or conversion has become effective; or </w:t>
      </w:r>
    </w:p>
    <w:p>
      <w:pPr>
        <w:pStyle w:val="TextBody"/>
        <w:bidi w:val="0"/>
        <w:spacing w:before="120" w:after="0"/>
        <w:jc w:val="left"/>
        <w:rPr>
          <w:rFonts w:ascii="Times New Roman" w:hAnsi="Times New Roman"/>
          <w:sz w:val="20"/>
        </w:rPr>
      </w:pPr>
      <w:r>
        <w:rPr>
          <w:rFonts w:ascii="Times New Roman" w:hAnsi="Times New Roman"/>
          <w:sz w:val="20"/>
        </w:rPr>
        <w:t xml:space="preserve">(2) If the merger, consolidation or conversion was approved pursuant to § 228, § 251(h), § 253, or § 267 of this title, then either a constituent or converting corporation before the effective date of the merger, consolidation or conversion, or the surviving, resulting or converted entity within 10 days after such effective date, shall notify each stockholder of any class or series of stock of such constituent or converting corporation who is entitled to appraisal rights of the approval of the merger,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consolidation or conversion and that appraisal rights are available for any or all shares of such class or series of stock of such constituent or converting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or conversion, shall, also notify such stockholders of the effective date of the merger, consolidation or conversion.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or resulting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or conversion, either (i) each such constituent corporation or the converting corporation shall send a second notice before the effective date of the merger, consolidation or conversion notifying each of the holders of any class or series of stock of such constituent or converting corporation that are entitled to appraisal rights of the effective date of the merger, consolidation or conversion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corporation may fix, in advance, a record date that shall be not more than 10 days prior to the date the notice is given, provided, that if the notice is given on or after the effective date of the merger, consolidation or conversion, the record date shall be such effective date. If no record date is fixed and the notice is given prior to the effective date, the record date shall be the close of business on the day next preceding the day on which the notice is given. </w:t>
      </w:r>
    </w:p>
    <w:p>
      <w:pPr>
        <w:pStyle w:val="TextBody"/>
        <w:bidi w:val="0"/>
        <w:spacing w:before="120" w:after="0"/>
        <w:jc w:val="left"/>
        <w:rPr>
          <w:rFonts w:ascii="Times New Roman" w:hAnsi="Times New Roman"/>
          <w:sz w:val="20"/>
        </w:rPr>
      </w:pPr>
      <w:r>
        <w:rPr>
          <w:rFonts w:ascii="Times New Roman" w:hAnsi="Times New Roman"/>
          <w:sz w:val="20"/>
        </w:rPr>
        <w:t xml:space="preserve">(3) 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or conversion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Within 120 days after the effective date of the merger, consolidation or conversion, the surviving, resulting or converted entity, or any person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or conversion, any person entitled to appraisal rights who has not commenced an appraisal proceeding or joined that proceeding as a named party shall have the right to withdraw such person’s demand for appraisal and to accept the terms offered upon the merger, consolidation or conversion. Within 120 days after the effective date of the merger, consolidation or conversion, any person who has complied with the requirements of subsections (a) and (d) of this section hereof,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or conversion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hereof, whichever is later. </w:t>
      </w:r>
    </w:p>
    <w:p>
      <w:pPr>
        <w:pStyle w:val="TextBody"/>
        <w:bidi w:val="0"/>
        <w:spacing w:before="120" w:after="0"/>
        <w:jc w:val="left"/>
        <w:rPr>
          <w:rFonts w:ascii="Times New Roman" w:hAnsi="Times New Roman"/>
          <w:sz w:val="20"/>
        </w:rPr>
      </w:pPr>
      <w:r>
        <w:rPr>
          <w:rFonts w:ascii="Times New Roman" w:hAnsi="Times New Roman"/>
          <w:sz w:val="20"/>
        </w:rPr>
        <w:t xml:space="preserve">(f) 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 </w:t>
      </w:r>
    </w:p>
    <w:p>
      <w:pPr>
        <w:pStyle w:val="TextBody"/>
        <w:bidi w:val="0"/>
        <w:spacing w:before="120" w:after="0"/>
        <w:jc w:val="left"/>
        <w:rPr>
          <w:rFonts w:ascii="Times New Roman" w:hAnsi="Times New Roman"/>
          <w:sz w:val="20"/>
        </w:rPr>
      </w:pPr>
      <w:r>
        <w:rPr>
          <w:rFonts w:ascii="Times New Roman" w:hAnsi="Times New Roman"/>
          <w:sz w:val="20"/>
        </w:rPr>
        <w:t xml:space="preserve">(g) 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or conversion the shares of the class or series of stock of the constituent or converting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or conversion for such total number of shares exceeds $1 million, or (3) the merger was approved pursuant to § 253 or § 267 of this title.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or conversion,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or conversion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 </w:t>
      </w:r>
    </w:p>
    <w:p>
      <w:pPr>
        <w:pStyle w:val="TextBody"/>
        <w:bidi w:val="0"/>
        <w:spacing w:before="120" w:after="0"/>
        <w:jc w:val="left"/>
        <w:rPr>
          <w:rFonts w:ascii="Times New Roman" w:hAnsi="Times New Roman"/>
          <w:sz w:val="20"/>
        </w:rPr>
      </w:pPr>
      <w:r>
        <w:rPr>
          <w:rFonts w:ascii="Times New Roman" w:hAnsi="Times New Roman"/>
          <w:sz w:val="20"/>
        </w:rPr>
        <w:t xml:space="preserve">(i) 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 </w:t>
      </w:r>
    </w:p>
    <w:p>
      <w:pPr>
        <w:pStyle w:val="TextBody"/>
        <w:bidi w:val="0"/>
        <w:spacing w:before="120" w:after="0"/>
        <w:jc w:val="left"/>
        <w:rPr>
          <w:rFonts w:ascii="Times New Roman" w:hAnsi="Times New Roman"/>
          <w:sz w:val="20"/>
        </w:rPr>
      </w:pPr>
      <w:r>
        <w:rPr>
          <w:rFonts w:ascii="Times New Roman" w:hAnsi="Times New Roman"/>
          <w:sz w:val="20"/>
        </w:rPr>
        <w:t xml:space="preserve">(j) 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(k) From and after the effective date of the merger, consolidation or conversion,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or conversion); provided, however, that if no petition for an appraisal is filed within the time provided in subsection (e) of this section, or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then the right of such person to an appraisal of the shares subject to the withdrawal shall cease. Notwithstanding the foregoing, no appraisal proceeding in the Court of Chancery shall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or conversion within 60 days after the effective date of the merger, consolidation or conversion, as set forth in subsection (e) of this section.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i/>
          <w:sz w:val="20"/>
        </w:rPr>
        <w:t>l</w:t>
      </w:r>
      <w:r>
        <w:rPr>
          <w:rFonts w:ascii="Times New Roman" w:hAnsi="Times New Roman"/>
          <w:sz w:val="20"/>
        </w:rPr>
        <w:t xml:space="preserve">)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10.3 </w:t>
      </w:r>
    </w:p>
    <w:p>
      <w:pPr>
        <w:pStyle w:val="TextBody"/>
        <w:bidi w:val="0"/>
        <w:spacing w:before="240" w:after="0"/>
        <w:jc w:val="right"/>
        <w:rPr>
          <w:rFonts w:ascii="Times New Roman" w:hAnsi="Times New Roman"/>
          <w:b/>
          <w:sz w:val="20"/>
        </w:rPr>
      </w:pPr>
      <w:r>
        <w:rPr>
          <w:rFonts w:ascii="Times New Roman" w:hAnsi="Times New Roman"/>
          <w:b/>
          <w:sz w:val="20"/>
        </w:rPr>
        <w:t xml:space="preserve">Confidential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240" w:after="0"/>
        <w:jc w:val="right"/>
        <w:rPr>
          <w:rFonts w:ascii="Times New Roman" w:hAnsi="Times New Roman"/>
          <w:sz w:val="20"/>
        </w:rPr>
      </w:pPr>
      <w:r>
        <w:rPr>
          <w:rFonts w:ascii="Times New Roman" w:hAnsi="Times New Roman"/>
          <w:sz w:val="20"/>
        </w:rPr>
        <w:t xml:space="preserve">August 16, 2026 </w:t>
      </w:r>
    </w:p>
    <w:p>
      <w:pPr>
        <w:pStyle w:val="TextBody"/>
        <w:bidi w:val="0"/>
        <w:spacing w:before="240" w:after="0"/>
        <w:jc w:val="left"/>
        <w:rPr>
          <w:rFonts w:ascii="Times New Roman" w:hAnsi="Times New Roman"/>
          <w:sz w:val="20"/>
        </w:rPr>
      </w:pPr>
      <w:r>
        <w:rPr>
          <w:rFonts w:ascii="Times New Roman" w:hAnsi="Times New Roman"/>
          <w:sz w:val="20"/>
        </w:rPr>
        <w:t xml:space="preserve">Fulcrum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26 Landsdowne Street </w:t>
      </w:r>
    </w:p>
    <w:p>
      <w:pPr>
        <w:pStyle w:val="TextBody"/>
        <w:bidi w:val="0"/>
        <w:spacing w:before="0" w:after="0"/>
        <w:jc w:val="left"/>
        <w:rPr>
          <w:rFonts w:ascii="Times New Roman" w:hAnsi="Times New Roman"/>
          <w:sz w:val="20"/>
        </w:rPr>
      </w:pPr>
      <w:r>
        <w:rPr>
          <w:rFonts w:ascii="Times New Roman" w:hAnsi="Times New Roman"/>
          <w:sz w:val="20"/>
        </w:rPr>
        <w:t xml:space="preserve">Cambridge, MA 02139 </w:t>
      </w:r>
    </w:p>
    <w:p>
      <w:pPr>
        <w:pStyle w:val="TextBody"/>
        <w:bidi w:val="0"/>
        <w:spacing w:before="12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The undersigned signatory of this lock-up agreement (this “</w:t>
      </w:r>
      <w:r>
        <w:rPr>
          <w:rFonts w:ascii="Times New Roman" w:hAnsi="Times New Roman"/>
          <w:sz w:val="20"/>
          <w:u w:val="single"/>
        </w:rPr>
        <w:t>Lock-Up Agreement</w:t>
      </w:r>
      <w:r>
        <w:rPr>
          <w:rFonts w:ascii="Times New Roman" w:hAnsi="Times New Roman"/>
          <w:sz w:val="20"/>
        </w:rPr>
        <w:t>”) understands that Fulcrum Therapeutics, Inc., a Delaware corporation (“</w:t>
      </w:r>
      <w:r>
        <w:rPr>
          <w:rFonts w:ascii="Times New Roman" w:hAnsi="Times New Roman"/>
          <w:sz w:val="20"/>
          <w:u w:val="single"/>
        </w:rPr>
        <w:t>Parent</w:t>
      </w:r>
      <w:r>
        <w:rPr>
          <w:rFonts w:ascii="Times New Roman" w:hAnsi="Times New Roman"/>
          <w:sz w:val="20"/>
        </w:rPr>
        <w:t>”), is entering into an Agreement and Plan of Merger, dated as of August 16, 2026 (as the same may be amended from time to time, the “</w:t>
      </w:r>
      <w:r>
        <w:rPr>
          <w:rFonts w:ascii="Times New Roman" w:hAnsi="Times New Roman"/>
          <w:sz w:val="20"/>
          <w:u w:val="single"/>
        </w:rPr>
        <w:t>Mer</w:t>
      </w:r>
      <w:r>
        <w:rPr>
          <w:rFonts w:ascii="Times New Roman" w:hAnsi="Times New Roman"/>
          <w:sz w:val="20"/>
        </w:rPr>
        <w:t>g</w:t>
      </w:r>
      <w:r>
        <w:rPr>
          <w:rFonts w:ascii="Times New Roman" w:hAnsi="Times New Roman"/>
          <w:sz w:val="20"/>
          <w:u w:val="single"/>
        </w:rPr>
        <w:t>er Agreement</w:t>
      </w:r>
      <w:r>
        <w:rPr>
          <w:rFonts w:ascii="Times New Roman" w:hAnsi="Times New Roman"/>
          <w:sz w:val="20"/>
        </w:rPr>
        <w:t>”) with Fusion Merger Sub I, Inc., a Delaware corporation and a wholly owned subsidiary of Parent, Fusion Merger Sub II, LLC, a Delaware limited liability company and a wholly owned subsidiary of Parent, and Slate Medicines, Inc., a Delaware corporation (the “</w:t>
      </w:r>
      <w:r>
        <w:rPr>
          <w:rFonts w:ascii="Times New Roman" w:hAnsi="Times New Roman"/>
          <w:sz w:val="20"/>
          <w:u w:val="single"/>
        </w:rPr>
        <w:t>Company</w:t>
      </w:r>
      <w:r>
        <w:rPr>
          <w:rFonts w:ascii="Times New Roman" w:hAnsi="Times New Roman"/>
          <w:sz w:val="20"/>
        </w:rPr>
        <w:t xml:space="preserve">”). Capitalized terms used but not otherwise defined herein shall have the respective meanings ascribed to such terms in the Merger Agreement. </w:t>
      </w:r>
    </w:p>
    <w:p>
      <w:pPr>
        <w:pStyle w:val="TextBody"/>
        <w:bidi w:val="0"/>
        <w:spacing w:before="240" w:after="0"/>
        <w:jc w:val="left"/>
        <w:rPr>
          <w:rFonts w:ascii="Times New Roman" w:hAnsi="Times New Roman"/>
          <w:sz w:val="20"/>
        </w:rPr>
      </w:pPr>
      <w:r>
        <w:rPr>
          <w:rFonts w:ascii="Times New Roman" w:hAnsi="Times New Roman"/>
          <w:sz w:val="20"/>
        </w:rPr>
        <w:t>As a condition and inducement to each of the parties to enter into the Merger Agreement and to consummate the transactions contemplated thereby, and for other good and valuable consideration, the receipt and sufficiency of which are hereby acknowledged, the undersigned hereby irrevocably agrees that, subject to the exceptions set forth herein, without the prior written consent of Parent, the undersigned will not, during the period commencing upon the Closing and ending on the date that is 180 days after the Closing Date (the “</w:t>
      </w:r>
      <w:r>
        <w:rPr>
          <w:rFonts w:ascii="Times New Roman" w:hAnsi="Times New Roman"/>
          <w:sz w:val="20"/>
          <w:u w:val="single"/>
        </w:rPr>
        <w:t>Restricted Period</w:t>
      </w:r>
      <w:r>
        <w:rPr>
          <w:rFonts w:ascii="Times New Roman" w:hAnsi="Times New Roman"/>
          <w:sz w:val="20"/>
        </w:rPr>
        <w:t xml:space="preserve">”); provided, that if a registration statement covering the shares of Parent Common Stock issued or issuable in exchange for, or upon conversion of, shares of Company Common Stock and Company Warrants issued and sold in connection with the Concurrent Investment (other than any shares of Parent Common Stock issued or issuable in exchange for, or upon conversion of, shares of Company Common Stock or Company Warrants held by affiliates of the Company) has not been declared effective by the SEC prior to the end of such 180-day period, then the Restricted Period shall end on such later date upon which such registration statement is first declared effective: </w:t>
      </w:r>
    </w:p>
    <w:p>
      <w:pPr>
        <w:pStyle w:val="TextBody"/>
        <w:bidi w:val="0"/>
        <w:spacing w:before="120" w:after="0"/>
        <w:jc w:val="left"/>
        <w:rPr>
          <w:rFonts w:ascii="Times New Roman" w:hAnsi="Times New Roman"/>
          <w:sz w:val="20"/>
        </w:rPr>
      </w:pPr>
      <w:r>
        <w:rPr>
          <w:rFonts w:ascii="Times New Roman" w:hAnsi="Times New Roman"/>
          <w:sz w:val="20"/>
        </w:rPr>
        <w:t>(1) offer, pledge, sell, contract to sell, sell any option or contract to purchase, purchase any option or contract to sell, grant any option, right or warrant to purchase, or otherwise transfer or dispose of, directly or indirectly, any shares of Parent Common Stock or any securities convertible into or exercisable or exchangeable for shares of Parent Common Stock (including without limitation, shares of Parent Common Stock or such other securities of Parent which may be deemed to be beneficially owned by the undersigned in accordance with the rules and regulations of the SEC and securities of Parent which may be issued upon exercise or vesting, as applicable, of a stock option or warrant or settlement of a restricted stock unit or restricted stock award and Parent Common Stock or such other securities to be issued to the undersigned in connection with the Merger, in each case, that are currently or hereafter owned of record or beneficially (including holding as a custodian)) by the undersigned, except as set forth below (collectively, the “</w:t>
      </w:r>
      <w:r>
        <w:rPr>
          <w:rFonts w:ascii="Times New Roman" w:hAnsi="Times New Roman"/>
          <w:sz w:val="20"/>
          <w:u w:val="single"/>
        </w:rPr>
        <w:t>Undersigned’s Shares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“Undersigned’s Shares” shall not include any shares of Parent Common Stock issuable to the undersigned (or any of its affiliates) pursuant to the Subscription Agreement in connection with the Concurrent Investment; </w:t>
      </w:r>
    </w:p>
    <w:p>
      <w:pPr>
        <w:pStyle w:val="TextBody"/>
        <w:bidi w:val="0"/>
        <w:spacing w:before="120" w:after="0"/>
        <w:jc w:val="left"/>
        <w:rPr>
          <w:rFonts w:ascii="Times New Roman" w:hAnsi="Times New Roman"/>
          <w:sz w:val="20"/>
        </w:rPr>
      </w:pPr>
      <w:r>
        <w:rPr>
          <w:rFonts w:ascii="Times New Roman" w:hAnsi="Times New Roman"/>
          <w:sz w:val="20"/>
        </w:rPr>
        <w:t xml:space="preserve">(2) enter into any swap, short sale, hedge or other agreement that transfers, in whole or in part, any of the economic consequences of ownership of the Undersigned’s Shares regardless of whether any such transaction described in clause (1) above or this clause (2) is to be settled by delivery of shares of Parent Common Stock or other securities, in cash or otherwise; </w:t>
      </w:r>
    </w:p>
    <w:p>
      <w:pPr>
        <w:pStyle w:val="TextBody"/>
        <w:bidi w:val="0"/>
        <w:spacing w:before="120" w:after="0"/>
        <w:jc w:val="left"/>
        <w:rPr>
          <w:rFonts w:ascii="Times New Roman" w:hAnsi="Times New Roman"/>
          <w:sz w:val="20"/>
        </w:rPr>
      </w:pPr>
      <w:r>
        <w:rPr>
          <w:rFonts w:ascii="Times New Roman" w:hAnsi="Times New Roman"/>
          <w:sz w:val="20"/>
        </w:rPr>
        <w:t xml:space="preserve">(3) make any demand for, or exercise any right with respect to, the registration of any shares of Parent Common Stock or any security convertible into or exercisable or exchangeable for shares of Parent Common Stock (other than such rights set forth in the Merger Agreement and that certain registration rights agreement entered into by the Company and certain signatories therein in connection with the Concurrent Investment); or </w:t>
      </w:r>
    </w:p>
    <w:p>
      <w:pPr>
        <w:pStyle w:val="TextBody"/>
        <w:bidi w:val="0"/>
        <w:spacing w:before="120" w:after="0"/>
        <w:jc w:val="left"/>
        <w:rPr>
          <w:rFonts w:ascii="Times New Roman" w:hAnsi="Times New Roman"/>
          <w:sz w:val="20"/>
        </w:rPr>
      </w:pPr>
      <w:r>
        <w:rPr>
          <w:rFonts w:ascii="Times New Roman" w:hAnsi="Times New Roman"/>
          <w:sz w:val="20"/>
        </w:rPr>
        <w:t xml:space="preserve">(4) except for any support agreement entered into as of the date hereof by the undersigned with Parent and the Company, grant any proxies or powers of attorney with respect to any Parent Common Stock, deposit any Parent Common Stock into a voting trust or enter into a voting agreement or similar arrangement or commitment with respect to any Parent Common Stock;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publicly disclose the intention to do any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The restrictions and obligations contemplated by this Lock-Up Agreement shall not apply to: </w:t>
      </w:r>
    </w:p>
    <w:p>
      <w:pPr>
        <w:pStyle w:val="TextBody"/>
        <w:bidi w:val="0"/>
        <w:spacing w:before="120" w:after="0"/>
        <w:jc w:val="left"/>
        <w:rPr>
          <w:rFonts w:ascii="Times New Roman" w:hAnsi="Times New Roman"/>
          <w:sz w:val="20"/>
        </w:rPr>
      </w:pPr>
      <w:r>
        <w:rPr>
          <w:rFonts w:ascii="Times New Roman" w:hAnsi="Times New Roman"/>
          <w:sz w:val="20"/>
        </w:rPr>
        <w:t xml:space="preserve">(a) transfers of the Undersigned’s Shares: </w:t>
      </w:r>
    </w:p>
    <w:p>
      <w:pPr>
        <w:pStyle w:val="TextBody"/>
        <w:bidi w:val="0"/>
        <w:spacing w:before="120" w:after="0"/>
        <w:jc w:val="left"/>
        <w:rPr>
          <w:rFonts w:ascii="Times New Roman" w:hAnsi="Times New Roman"/>
          <w:sz w:val="20"/>
        </w:rPr>
      </w:pPr>
      <w:r>
        <w:rPr>
          <w:rFonts w:ascii="Times New Roman" w:hAnsi="Times New Roman"/>
          <w:sz w:val="20"/>
        </w:rPr>
        <w:t>(1) (A) to any person related to the undersigned (or to an ultimate beneficial owner of the undersigned) by blood or adoption who is an immediate family member of the undersigned, or by marriage or domestic partnership (a “</w:t>
      </w:r>
      <w:r>
        <w:rPr>
          <w:rFonts w:ascii="Times New Roman" w:hAnsi="Times New Roman"/>
          <w:sz w:val="20"/>
          <w:u w:val="single"/>
        </w:rPr>
        <w:t>Family Member</w:t>
      </w:r>
      <w:r>
        <w:rPr>
          <w:rFonts w:ascii="Times New Roman" w:hAnsi="Times New Roman"/>
          <w:sz w:val="20"/>
        </w:rPr>
        <w:t xml:space="preserve">”), or to a trust formed for the benefit of the undersigned or any of the undersigned’s Family Members, (B) to the undersigned’s estate, following the death of the undersigned, by will, intestacy or other operation of Law, (C) as a bona fide gift or a charitable contribution, as such term is described in Section 501(c)(3) of the Code, or otherwise to a trust or other entity for the direct or indirect benefit of an immediate family member of a beneficial owner (as defined in Rule 13d-3 of the Exchange Act) of the Undersigned’s Shares (D) by operation of Law, such as pursuant to a qualified domestic order or in connection with a divorce settlement or (E) to any partnership, corporation, limited liability company or other entity, in each case, the beneficial ownership interests of all of which are held by or otherwise under common control (via beneficial ownership, contract or otherwise) with the undersigned or a Family Member of the undersigned; </w:t>
      </w:r>
    </w:p>
    <w:p>
      <w:pPr>
        <w:pStyle w:val="TextBody"/>
        <w:bidi w:val="0"/>
        <w:spacing w:before="120" w:after="0"/>
        <w:jc w:val="left"/>
        <w:rPr>
          <w:rFonts w:ascii="Times New Roman" w:hAnsi="Times New Roman"/>
          <w:sz w:val="20"/>
        </w:rPr>
      </w:pPr>
      <w:r>
        <w:rPr>
          <w:rFonts w:ascii="Times New Roman" w:hAnsi="Times New Roman"/>
          <w:sz w:val="20"/>
        </w:rPr>
        <w:t xml:space="preserve">(2) if the undersigned is a </w:t>
      </w:r>
      <w:r>
        <w:rPr>
          <w:rFonts w:ascii="Times New Roman" w:hAnsi="Times New Roman"/>
          <w:sz w:val="20"/>
          <w:u w:val="single"/>
        </w:rPr>
        <w:t>corporation</w:t>
      </w:r>
      <w:r>
        <w:rPr>
          <w:rFonts w:ascii="Times New Roman" w:hAnsi="Times New Roman"/>
          <w:sz w:val="20"/>
        </w:rPr>
        <w:t xml:space="preserve">, </w:t>
      </w:r>
      <w:r>
        <w:rPr>
          <w:rFonts w:ascii="Times New Roman" w:hAnsi="Times New Roman"/>
          <w:sz w:val="20"/>
          <w:u w:val="single"/>
        </w:rPr>
        <w:t>partnership</w:t>
      </w:r>
      <w:r>
        <w:rPr>
          <w:rFonts w:ascii="Times New Roman" w:hAnsi="Times New Roman"/>
          <w:sz w:val="20"/>
        </w:rPr>
        <w:t xml:space="preserve">, </w:t>
      </w:r>
      <w:r>
        <w:rPr>
          <w:rFonts w:ascii="Times New Roman" w:hAnsi="Times New Roman"/>
          <w:sz w:val="20"/>
          <w:u w:val="single"/>
        </w:rPr>
        <w:t>limited liability company</w:t>
      </w:r>
      <w:r>
        <w:rPr>
          <w:rFonts w:ascii="Times New Roman" w:hAnsi="Times New Roman"/>
          <w:sz w:val="20"/>
        </w:rPr>
        <w:t xml:space="preserve"> or </w:t>
      </w:r>
      <w:r>
        <w:rPr>
          <w:rFonts w:ascii="Times New Roman" w:hAnsi="Times New Roman"/>
          <w:sz w:val="20"/>
          <w:u w:val="single"/>
        </w:rPr>
        <w:t>other entity</w:t>
      </w:r>
      <w:r>
        <w:rPr>
          <w:rFonts w:ascii="Times New Roman" w:hAnsi="Times New Roman"/>
          <w:sz w:val="20"/>
        </w:rPr>
        <w:t xml:space="preserve">, (A) to another corporation, partnership, limited liability company or other entity that is a direct or indirect affiliate (as defined under Rule 12b-2 of the Exchange Act) of the undersigned, including investment funds or other entities that controls or manages, is under common control or management with, or is controlled or managed by, the undersigned (including, for the avoidance of doubt, where the undersigned is a partnership, to its general partner or a successor partnership or fund, or any other funds managed by such partnership), (B) as a distribution or dividend to equity holders, current or former partners, members, stockholders or managers (or to the estates of any of the foregoing), as applicable, of the undersigned (including upon the liquidation and dissolution of the undersigned pursuant to a plan of liquidation approved by the undersigned’s equity holders), (C) as a bona fide gift or a charitable contribution, as such term is described in Section 501(c)(3) of the Code, or otherwise to a trust or other entity for the direct or indirect benefit of an immediate family member of a beneficial owner (as defined in Rule 13d-3 of the Exchange Act) of the Undersigned’s Shares, (D) transfers or dispositions not involving a change in beneficial ownership or (E) with prior written consent of Parent (as constituted following the Closing); or </w:t>
      </w:r>
    </w:p>
    <w:p>
      <w:pPr>
        <w:pStyle w:val="TextBody"/>
        <w:bidi w:val="0"/>
        <w:spacing w:before="120" w:after="0"/>
        <w:jc w:val="left"/>
        <w:rPr>
          <w:rFonts w:ascii="Times New Roman" w:hAnsi="Times New Roman"/>
          <w:sz w:val="20"/>
        </w:rPr>
      </w:pPr>
      <w:r>
        <w:rPr>
          <w:rFonts w:ascii="Times New Roman" w:hAnsi="Times New Roman"/>
          <w:sz w:val="20"/>
        </w:rPr>
        <w:t xml:space="preserve">(3) if the undersigned is a </w:t>
      </w:r>
      <w:r>
        <w:rPr>
          <w:rFonts w:ascii="Times New Roman" w:hAnsi="Times New Roman"/>
          <w:sz w:val="20"/>
          <w:u w:val="single"/>
        </w:rPr>
        <w:t>trust</w:t>
      </w:r>
      <w:r>
        <w:rPr>
          <w:rFonts w:ascii="Times New Roman" w:hAnsi="Times New Roman"/>
          <w:sz w:val="20"/>
        </w:rPr>
        <w:t xml:space="preserve">, to any grantors or beneficiaries of the trust; </w:t>
      </w:r>
    </w:p>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in the case of any transfer or distribution pursuant to this clause (a), such transfer is not for value (other than transfers pursuant to clauses (a)1(A), (a)1(E) or (a)2(A) hereto) and each donee, heir, beneficiary or other transferee or distributee shall sign and deliver to Parent a lock-up agreement in the form of this Lock-Up Agreement with respect to the shares of Parent Common Stock or such other securities that have been so transferred or distributed and if a filing pursuant to Section 16(a) of the Exchange Act is required, such filing shall describe the nature of the transfer or distribution; </w:t>
      </w:r>
    </w:p>
    <w:p>
      <w:pPr>
        <w:pStyle w:val="TextBody"/>
        <w:bidi w:val="0"/>
        <w:spacing w:before="120" w:after="0"/>
        <w:jc w:val="left"/>
        <w:rPr>
          <w:rFonts w:ascii="Times New Roman" w:hAnsi="Times New Roman"/>
          <w:sz w:val="20"/>
        </w:rPr>
      </w:pPr>
      <w:r>
        <w:rPr>
          <w:rFonts w:ascii="Times New Roman" w:hAnsi="Times New Roman"/>
          <w:sz w:val="20"/>
        </w:rPr>
        <w:t xml:space="preserve">(b) the exercise of an option to purchase shares of Parent Common Stock (including a net or cashless exercise of an option to purchase shares of Parent Common Stock), and any related transfer of shares of Parent Common Stock to Parent or open market sale of Parent Common Stock for the purpose of paying the exercise price of such options or for paying taxes (including estimated taxes) due as a result of the exercise of such options, and open market sale for the purpose of paying taxes (including estimated taxes) due as a result of the receipt of Parent Common Stock (or in the case of the vesting of restricted stock units pursuant to terms of the Merger Agreement converted into shares of Parent Common Stock pursuant to the terms of the Merger Agreement); </w:t>
      </w:r>
      <w:r>
        <w:rPr>
          <w:rFonts w:ascii="Times New Roman" w:hAnsi="Times New Roman"/>
          <w:sz w:val="20"/>
          <w:u w:val="single"/>
        </w:rPr>
        <w:t>provided</w:t>
      </w:r>
      <w:r>
        <w:rPr>
          <w:rFonts w:ascii="Times New Roman" w:hAnsi="Times New Roman"/>
          <w:sz w:val="20"/>
        </w:rPr>
        <w:t xml:space="preserve"> that, for the avoidance of doubt, the underlying shares of Parent Common Stock shall continue to be subject to the restrictions on transfer set forth in this 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(c) transfers to Parent in connection with the net settlement of any other equity award that represents the right to receive in the future shares of Parent Common Stock, settled in shares of Parent Common Stock, to pay any tax withholding obligations; </w:t>
      </w:r>
      <w:r>
        <w:rPr>
          <w:rFonts w:ascii="Times New Roman" w:hAnsi="Times New Roman"/>
          <w:sz w:val="20"/>
          <w:u w:val="single"/>
        </w:rPr>
        <w:t>provided</w:t>
      </w:r>
      <w:r>
        <w:rPr>
          <w:rFonts w:ascii="Times New Roman" w:hAnsi="Times New Roman"/>
          <w:sz w:val="20"/>
        </w:rPr>
        <w:t xml:space="preserve"> that, for the avoidance of doubt, the underlying shares of Parent Common Stock shall continue to be subject to the restrictions on transfer set forth in this Lock-Up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establishment of a trading plan pursuant to Rule 10b5-l under the Exchange Act for the transfer of shares of Parent Common Stock; </w:t>
      </w:r>
      <w:r>
        <w:rPr>
          <w:rFonts w:ascii="Times New Roman" w:hAnsi="Times New Roman"/>
          <w:sz w:val="20"/>
          <w:u w:val="single"/>
        </w:rPr>
        <w:t>provided</w:t>
      </w:r>
      <w:r>
        <w:rPr>
          <w:rFonts w:ascii="Times New Roman" w:hAnsi="Times New Roman"/>
          <w:sz w:val="20"/>
        </w:rPr>
        <w:t xml:space="preserve"> that such plan does not provide for any transfers of shares of Parent Common Stock during the Restricted Period; </w:t>
      </w:r>
    </w:p>
    <w:p>
      <w:pPr>
        <w:pStyle w:val="TextBody"/>
        <w:bidi w:val="0"/>
        <w:spacing w:before="120" w:after="0"/>
        <w:jc w:val="left"/>
        <w:rPr>
          <w:rFonts w:ascii="Times New Roman" w:hAnsi="Times New Roman"/>
          <w:sz w:val="20"/>
        </w:rPr>
      </w:pPr>
      <w:r>
        <w:rPr>
          <w:rFonts w:ascii="Times New Roman" w:hAnsi="Times New Roman"/>
          <w:sz w:val="20"/>
        </w:rPr>
        <w:t xml:space="preserve">(e) the disposition (including a forfeiture or repurchase) to Parent of any shares of restricted stock granted pursuant to the terms of any employee benefit plan or restricted stock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(f) transfers, distributions, sales or other transactions by the undersigned of shares of Parent Common Stock purchased by the undersigned on the open market or in a public offering by Parent, in each case following the date of the Closing; </w:t>
      </w:r>
    </w:p>
    <w:p>
      <w:pPr>
        <w:pStyle w:val="TextBody"/>
        <w:bidi w:val="0"/>
        <w:spacing w:before="120" w:after="0"/>
        <w:jc w:val="left"/>
        <w:rPr>
          <w:rFonts w:ascii="Times New Roman" w:hAnsi="Times New Roman"/>
          <w:sz w:val="20"/>
        </w:rPr>
      </w:pPr>
      <w:r>
        <w:rPr>
          <w:rFonts w:ascii="Times New Roman" w:hAnsi="Times New Roman"/>
          <w:sz w:val="20"/>
        </w:rPr>
        <w:t xml:space="preserve">(g) transfers pursuant to a bona-fide third party tender offer, merger, consolidation or other similar transaction made to all holders of Parent’s capital stock involving a change of control of Parent, provided that in the event that such tender offer, merger, consolidation or other such transaction is not completed, the Undersigned’s Shares shall remain subject to the restrictions contained in this 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(h) transfers pursuant to an order of a court or regulatory agency; </w:t>
      </w:r>
    </w:p>
    <w:p>
      <w:pPr>
        <w:pStyle w:val="TextBody"/>
        <w:bidi w:val="0"/>
        <w:spacing w:before="120" w:after="0"/>
        <w:jc w:val="left"/>
        <w:rPr>
          <w:rFonts w:ascii="Times New Roman" w:hAnsi="Times New Roman"/>
          <w:sz w:val="20"/>
        </w:rPr>
      </w:pPr>
      <w:r>
        <w:rPr>
          <w:rFonts w:ascii="Times New Roman" w:hAnsi="Times New Roman"/>
          <w:sz w:val="20"/>
        </w:rPr>
        <w:t xml:space="preserve">(i) transfers by the undersigned of shares of Parent Common Stock issued pursuant to the Merger Agreement in respect of shares of the Company, if any, purchased from the Company on or about the Closing Date but prior to the Closing; or </w:t>
      </w:r>
    </w:p>
    <w:p>
      <w:pPr>
        <w:pStyle w:val="TextBody"/>
        <w:bidi w:val="0"/>
        <w:spacing w:before="120" w:after="0"/>
        <w:jc w:val="left"/>
        <w:rPr>
          <w:rFonts w:ascii="Times New Roman" w:hAnsi="Times New Roman"/>
          <w:sz w:val="20"/>
        </w:rPr>
      </w:pPr>
      <w:r>
        <w:rPr>
          <w:rFonts w:ascii="Times New Roman" w:hAnsi="Times New Roman"/>
          <w:sz w:val="20"/>
        </w:rPr>
        <w:t xml:space="preserve">(j) transfers, distributions, sales or other transactions with the prior written consent of Parent (as constituted following the Closing). </w:t>
      </w:r>
    </w:p>
    <w:p>
      <w:pPr>
        <w:pStyle w:val="TextBody"/>
        <w:bidi w:val="0"/>
        <w:spacing w:before="240" w:after="0"/>
        <w:jc w:val="left"/>
        <w:rPr>
          <w:rFonts w:ascii="Times New Roman" w:hAnsi="Times New Roman"/>
          <w:sz w:val="20"/>
        </w:rPr>
      </w:pPr>
      <w:r>
        <w:rPr>
          <w:rFonts w:ascii="Times New Roman" w:hAnsi="Times New Roman"/>
          <w:sz w:val="20"/>
        </w:rPr>
        <w:t xml:space="preserve">and </w:t>
      </w:r>
      <w:r>
        <w:rPr>
          <w:rFonts w:ascii="Times New Roman" w:hAnsi="Times New Roman"/>
          <w:sz w:val="20"/>
          <w:u w:val="single"/>
        </w:rPr>
        <w:t>provided</w:t>
      </w:r>
      <w:r>
        <w:rPr>
          <w:rFonts w:ascii="Times New Roman" w:hAnsi="Times New Roman"/>
          <w:sz w:val="20"/>
        </w:rPr>
        <w:t xml:space="preserve">, further, that, with respect to each of (b), (c), and (d) above, no filing by any party (including any donor, donee, transferor, transferee, distributor or distributee) under Section 16 of the Exchange Act or other public announcement shall be made voluntarily reporting a reduction in beneficial ownership of shares of Parent Common Stock or any securities convertible into or exercisable or exchangeable for Parent Common Stock in connection with such transfer or disposition during the Restricted Period (other than any exit filings) and if any filings under Section 16(a) of the Exchange Act, or other public filing, report or announcement reporting a reduction in beneficial ownership of shares of Parent Common Stock in connection with such transfer or distribution, shall be legally required during the Restricted Period, such filing, report or announcement shall clearly indicate in the footnotes therein, in reasonable detail, a description of the circumstances of the transfer and that the shares remain subject to this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Lock-Up Agreement, “change of control” shall mean the transfer (whether by tender offer, merger, consolidation or other similar transaction), in one transaction or a series of related transactions to a person or group of affiliated persons, of the Parent’s voting securities if, after such transfer, the Parent’s stockholders as of immediately prior to such transfer do not hold a majority of the outstanding voting securities of the Parent (or the surviving entity). </w:t>
      </w:r>
    </w:p>
    <w:p>
      <w:pPr>
        <w:pStyle w:val="TextBody"/>
        <w:bidi w:val="0"/>
        <w:spacing w:before="240" w:after="0"/>
        <w:jc w:val="left"/>
        <w:rPr>
          <w:rFonts w:ascii="Times New Roman" w:hAnsi="Times New Roman"/>
          <w:sz w:val="20"/>
        </w:rPr>
      </w:pPr>
      <w:r>
        <w:rPr>
          <w:rFonts w:ascii="Times New Roman" w:hAnsi="Times New Roman"/>
          <w:sz w:val="20"/>
        </w:rPr>
        <w:t xml:space="preserve">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Parent. In furtherance of the foregoing, the undersigned agrees that Parent and any duly appointed transfer agent for the registration or transfer of the securities described herein are hereby authorized to decline to make any transfer of securities if such transfer would constitute a violation or breach of this Lock-Up Agreement. Parent may cause the legend set forth below, or a legend substantially equivalent thereto, to be placed upon any certificate(s) or other documents, ledgers or instruments evidencing the undersigned’s ownership of Parent Common Stock or any securities convertible into or exercisable or exchangeable for Parent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SHARES REPRESENTED BY THIS CERTIFICATE ARE SUBJECT TO AND MAY ONLY BE TRANSFERRED IN COMPLIANCE WITH A LOCK-UP AGREEMENT, A COPY OF WHICH IS ON FILE AT THE PRINCIPAL OFFICE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represents and warrants that the undersigned has full power and authority to enter into this Lock-Up Agreement, and that upon request, the undersigned will execute any additional documents reasonably necessary to ensure the validity or enforcement of this Lock-Up Agreement. All authority herein conferred or agreed to be conferred and any obligations of the undersigned shall be binding upon the successors, assigns, heirs or personal representatives of the undersigned.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undersigned understands that if the Merger Agreement is terminated for any reason, the undersigned shall be released from all obligations under this Lock-Up Agreement. The undersigned understands that the Board of Directors of Parent may waive any term of this Lock-Up Agreement at any time and for any reason. The undersigned understands that Parent and the Company are proceeding with the transactions contemplated by the Merger Agreement in reliance upon this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Any and all remedies herein expressly conferred upon Parent or the Company will be deemed cumulative with and not exclusive of any other remedy conferred hereby, or by Law or equity, and the exercise by Parent or the Company of any one remedy will not preclude the exercise of any other remedy. The undersigned agrees that irreparable damage for which monetary damages, even if available, would not be an adequate remedy, would occur to Parent and/or the Company in the event that any provision of this Lock-Up Agreement was not performed in accordance with its specific terms or were otherwise breached. It is accordingly agreed that Parent and/or the Company shall be entitled to an injunction or injunctions to prevent breaches of this Lock-Up Agreement and to enforce specifically the terms and provisions hereof in any court of the United States or any state having jurisdiction, this being in addition to any other remedy to which Parent or the Company is entitled at Law or in equity, and the undersigned waives any bond, surety or other security that might be required of Parent or the Company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bidi w:val="0"/>
        <w:spacing w:before="240" w:after="0"/>
        <w:jc w:val="left"/>
        <w:rPr>
          <w:rFonts w:ascii="Times New Roman" w:hAnsi="Times New Roman"/>
          <w:sz w:val="20"/>
        </w:rPr>
      </w:pPr>
      <w:r>
        <w:rPr>
          <w:rFonts w:ascii="Times New Roman" w:hAnsi="Times New Roman"/>
          <w:sz w:val="20"/>
        </w:rPr>
        <w:t>In the event that any holder of Parent’s securities that are subject to a substantially similar agreement entered into by such holder, other than the undersigned, is permitted by Parent to sell or otherwise transfer or dispose of shares of Parent Common Stock or any securities convertible into or exercisable or exchangeable for Parent Common Stock for value other than as permitted by this or a substantially similar agreement entered into by such holder (whether in one or multiple releases or waivers), the same percentage of shares of Parent Common Stock or any securities convertible into or exercisable or exchangeable for Parent Common Stock held by the undersigned on the date of such release or waiver as the percentage of the total number of outstanding shares of such securities held by such holder on the date of such release or waiver that are the subject of such release or waiver shall be immediately and fully released on the same terms from any remaining restrictions set forth herein (the “</w:t>
      </w:r>
      <w:r>
        <w:rPr>
          <w:rFonts w:ascii="Times New Roman" w:hAnsi="Times New Roman"/>
          <w:sz w:val="20"/>
          <w:u w:val="single"/>
        </w:rPr>
        <w:t>Pro-Rata Release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Pro-Rata Release shall not be applied unless and until permission has been granted by Parent to an equity holder or equity holders to sell or otherwise transfer or dispose of all or a portion of such equity holders’ shares of Parent Common Stock in an aggregate amount in excess of 1% of the number of shares of Parent Common Stock subject to a substantially similar agreement. In the event of any Pro-Rata Release, the Company shall promptly (and in any event within two (2) business days of such release) inform each relevant holder of Parent Common Stock or warrants of the terms of such Pro-Rata Release. </w:t>
      </w:r>
    </w:p>
    <w:p>
      <w:pPr>
        <w:pStyle w:val="TextBody"/>
        <w:bidi w:val="0"/>
        <w:spacing w:before="240" w:after="0"/>
        <w:jc w:val="left"/>
        <w:rPr>
          <w:rFonts w:ascii="Times New Roman" w:hAnsi="Times New Roman"/>
          <w:sz w:val="20"/>
        </w:rPr>
      </w:pPr>
      <w:r>
        <w:rPr>
          <w:rFonts w:ascii="Times New Roman" w:hAnsi="Times New Roman"/>
          <w:sz w:val="20"/>
        </w:rPr>
        <w:t xml:space="preserve">Upon the release of any of the Undersigned’s Shares from this Lock-Up Agreement, Parent will facilitate the timely preparation and delivery of certificates or the establishment of book-entry positions at Parent’s transfer agent representing the Undersigned’s Shares without the restrictive legend above or the withdrawal of any stop transfer instructions. </w:t>
      </w:r>
    </w:p>
    <w:p>
      <w:pPr>
        <w:pStyle w:val="TextBody"/>
        <w:bidi w:val="0"/>
        <w:spacing w:before="240" w:after="0"/>
        <w:jc w:val="left"/>
        <w:rPr>
          <w:rFonts w:ascii="Times New Roman" w:hAnsi="Times New Roman"/>
          <w:sz w:val="20"/>
        </w:rPr>
      </w:pPr>
      <w:r>
        <w:rPr>
          <w:rFonts w:ascii="Times New Roman" w:hAnsi="Times New Roman"/>
          <w:sz w:val="20"/>
        </w:rPr>
        <w:t xml:space="preserve">This Lock-Up Agreement and any claim, controversy or dispute arising under or related to this Lock-Up Agreement shall be governed by and construed in accordance with the Laws of the State of Delaware, without regard to the conflict of Laws principles thereof. In any action or proceeding between any of the parties arising out of or relating to this Lock-Up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foregoing clause (i) of this paragraph, (iii) waives any objection to laying venue in any such action or proceeding in such courts, (iv) waives any objection that such courts are an inconvenient forum or do not have jurisdiction over any party and (v) irrevocably and unconditionally waives the right to trial by jury. This Lock-Up Agreement constitutes the entire agreement between the parties to this Lock-Up Agreement and supersedes all other prior agreements, arrangements and understandings, both written and oral, among the parties with respect to the subject matter 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Lock-Up Agreement may be executed in several counterparts, each of which shall be deemed an original and all of which shall constitute one and the same instrument. The exchange of a fully executed Lock-Up Agreement (in counterparts or otherwise) by Parent, the Company and the undersigned by electronic transmission in .pdf format shall be sufficient to bind such parties to the terms and conditions of this Lock-Up Agreement.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undersigned understands that this Lock-Up Agreement is irrevocable and shall be binding upon the undersigned and the heirs, personal representatives, successors and assigns of the undersigned.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22"/>
        <w:gridCol w:w="67"/>
        <w:gridCol w:w="3493"/>
      </w:tblGrid>
      <w:tr>
        <w:trPr/>
        <w:tc>
          <w:tcPr>
            <w:tcW w:w="522"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349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Print Name of Stockholder: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Signature (for individuals):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Signature (for entities):</w:t>
            </w:r>
          </w:p>
        </w:tc>
      </w:tr>
      <w:tr>
        <w:trPr>
          <w:trHeight w:val="240" w:hRule="atLeast"/>
        </w:trPr>
        <w:tc>
          <w:tcPr>
            <w:tcW w:w="522" w:type="dxa"/>
            <w:tcBorders/>
            <w:vAlign w:val="center"/>
          </w:tcPr>
          <w:p>
            <w:pPr>
              <w:pStyle w:val="TableContents"/>
              <w:bidi w:val="0"/>
              <w:spacing w:before="0" w:after="283"/>
              <w:jc w:val="left"/>
              <w:rPr>
                <w:sz w:val="4"/>
                <w:szCs w:val="4"/>
              </w:rPr>
            </w:pPr>
            <w:r>
              <w:rPr>
                <w:sz w:val="4"/>
                <w:szCs w:val="4"/>
              </w:rPr>
            </w:r>
          </w:p>
        </w:tc>
        <w:tc>
          <w:tcPr>
            <w:tcW w:w="3560" w:type="dxa"/>
            <w:gridSpan w:val="2"/>
            <w:tcBorders/>
            <w:vAlign w:val="center"/>
          </w:tcPr>
          <w:p>
            <w:pPr>
              <w:pStyle w:val="TableContents"/>
              <w:bidi w:val="0"/>
              <w:spacing w:before="0" w:after="283"/>
              <w:jc w:val="left"/>
              <w:rPr>
                <w:sz w:val="4"/>
                <w:szCs w:val="4"/>
              </w:rPr>
            </w:pPr>
            <w:r>
              <w:rPr>
                <w:sz w:val="4"/>
                <w:szCs w:val="4"/>
              </w:rPr>
            </w:r>
          </w:p>
        </w:tc>
      </w:tr>
      <w:tr>
        <w:trPr/>
        <w:tc>
          <w:tcPr>
            <w:tcW w:w="522" w:type="dxa"/>
            <w:tcBorders/>
          </w:tcPr>
          <w:p>
            <w:pPr>
              <w:pStyle w:val="TableContents"/>
              <w:bidi w:val="0"/>
              <w:spacing w:before="0" w:after="283"/>
              <w:jc w:val="left"/>
              <w:rPr/>
            </w:pPr>
            <w:r>
              <w:rPr/>
              <w:t>By:</w:t>
            </w:r>
          </w:p>
        </w:tc>
        <w:tc>
          <w:tcPr>
            <w:tcW w:w="67" w:type="dxa"/>
            <w:tcBorders/>
            <w:vAlign w:val="bottom"/>
          </w:tcPr>
          <w:p>
            <w:pPr>
              <w:pStyle w:val="TableContents"/>
              <w:bidi w:val="0"/>
              <w:spacing w:before="0" w:after="283"/>
              <w:jc w:val="left"/>
              <w:rPr/>
            </w:pPr>
            <w:r>
              <w:rPr/>
              <w:t> </w:t>
            </w:r>
          </w:p>
        </w:tc>
        <w:tc>
          <w:tcPr>
            <w:tcW w:w="3493" w:type="dxa"/>
            <w:tcBorders/>
          </w:tcPr>
          <w:p>
            <w:pPr>
              <w:pStyle w:val="TableContents"/>
              <w:pBdr>
                <w:bottom w:val="single" w:sz="2" w:space="1" w:color="000000"/>
              </w:pBdr>
              <w:bidi w:val="0"/>
              <w:spacing w:before="0" w:after="20"/>
              <w:jc w:val="left"/>
              <w:rPr/>
            </w:pPr>
            <w:r>
              <w:rPr/>
              <w:t> </w:t>
            </w:r>
          </w:p>
        </w:tc>
      </w:tr>
      <w:tr>
        <w:trPr/>
        <w:tc>
          <w:tcPr>
            <w:tcW w:w="522" w:type="dxa"/>
            <w:tcBorders/>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3493" w:type="dxa"/>
            <w:tcBorders/>
          </w:tcPr>
          <w:p>
            <w:pPr>
              <w:pStyle w:val="TableContents"/>
              <w:bidi w:val="0"/>
              <w:spacing w:before="0" w:after="283"/>
              <w:jc w:val="left"/>
              <w:rPr/>
            </w:pPr>
            <w:r>
              <w:rPr/>
              <w:t>Name:</w:t>
            </w:r>
          </w:p>
        </w:tc>
      </w:tr>
      <w:tr>
        <w:trPr/>
        <w:tc>
          <w:tcPr>
            <w:tcW w:w="522" w:type="dxa"/>
            <w:tcBorders/>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3493"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Lock-Up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734"/>
        <w:gridCol w:w="116"/>
        <w:gridCol w:w="3232"/>
      </w:tblGrid>
      <w:tr>
        <w:trPr/>
        <w:tc>
          <w:tcPr>
            <w:tcW w:w="734"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32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and Agreed</w:t>
            </w:r>
          </w:p>
        </w:tc>
      </w:tr>
      <w:tr>
        <w:trPr/>
        <w:tc>
          <w:tcPr>
            <w:tcW w:w="4082" w:type="dxa"/>
            <w:gridSpan w:val="3"/>
            <w:tcBorders/>
          </w:tcPr>
          <w:p>
            <w:pPr>
              <w:pStyle w:val="TableContents"/>
              <w:bidi w:val="0"/>
              <w:spacing w:before="0" w:after="283"/>
              <w:jc w:val="left"/>
              <w:rPr/>
            </w:pPr>
            <w:r>
              <w:rPr/>
              <w:t>by FULCRUM THERAPEUTICS, INC.:</w:t>
            </w:r>
          </w:p>
        </w:tc>
      </w:tr>
      <w:tr>
        <w:trPr>
          <w:trHeight w:val="240" w:hRule="atLeast"/>
        </w:trPr>
        <w:tc>
          <w:tcPr>
            <w:tcW w:w="734" w:type="dxa"/>
            <w:tcBorders/>
            <w:vAlign w:val="center"/>
          </w:tcPr>
          <w:p>
            <w:pPr>
              <w:pStyle w:val="TableContents"/>
              <w:bidi w:val="0"/>
              <w:spacing w:before="0" w:after="283"/>
              <w:jc w:val="left"/>
              <w:rPr>
                <w:sz w:val="4"/>
                <w:szCs w:val="4"/>
              </w:rPr>
            </w:pPr>
            <w:r>
              <w:rPr>
                <w:sz w:val="4"/>
                <w:szCs w:val="4"/>
              </w:rPr>
            </w:r>
          </w:p>
        </w:tc>
        <w:tc>
          <w:tcPr>
            <w:tcW w:w="3348" w:type="dxa"/>
            <w:gridSpan w:val="2"/>
            <w:tcBorders/>
            <w:vAlign w:val="center"/>
          </w:tcPr>
          <w:p>
            <w:pPr>
              <w:pStyle w:val="TableContents"/>
              <w:bidi w:val="0"/>
              <w:spacing w:before="0" w:after="283"/>
              <w:jc w:val="left"/>
              <w:rPr>
                <w:sz w:val="4"/>
                <w:szCs w:val="4"/>
              </w:rPr>
            </w:pPr>
            <w:r>
              <w:rPr>
                <w:sz w:val="4"/>
                <w:szCs w:val="4"/>
              </w:rPr>
            </w:r>
          </w:p>
        </w:tc>
      </w:tr>
      <w:tr>
        <w:trPr/>
        <w:tc>
          <w:tcPr>
            <w:tcW w:w="734" w:type="dxa"/>
            <w:tcBorders/>
          </w:tcPr>
          <w:p>
            <w:pPr>
              <w:pStyle w:val="TableContents"/>
              <w:bidi w:val="0"/>
              <w:spacing w:before="0" w:after="283"/>
              <w:jc w:val="left"/>
              <w:rPr/>
            </w:pPr>
            <w:r>
              <w:rPr/>
              <w:t>By:</w:t>
            </w:r>
          </w:p>
        </w:tc>
        <w:tc>
          <w:tcPr>
            <w:tcW w:w="116" w:type="dxa"/>
            <w:tcBorders/>
            <w:vAlign w:val="bottom"/>
          </w:tcPr>
          <w:p>
            <w:pPr>
              <w:pStyle w:val="TableContents"/>
              <w:bidi w:val="0"/>
              <w:spacing w:before="0" w:after="283"/>
              <w:jc w:val="left"/>
              <w:rPr/>
            </w:pPr>
            <w:r>
              <w:rPr/>
              <w:t> </w:t>
            </w:r>
          </w:p>
        </w:tc>
        <w:tc>
          <w:tcPr>
            <w:tcW w:w="3232" w:type="dxa"/>
            <w:tcBorders/>
          </w:tcPr>
          <w:p>
            <w:pPr>
              <w:pStyle w:val="TableContents"/>
              <w:pBdr>
                <w:bottom w:val="single" w:sz="2" w:space="1" w:color="000000"/>
              </w:pBdr>
              <w:bidi w:val="0"/>
              <w:spacing w:before="0" w:after="20"/>
              <w:jc w:val="left"/>
              <w:rPr/>
            </w:pPr>
            <w:r>
              <w:rPr/>
              <w:t> </w:t>
            </w:r>
          </w:p>
        </w:tc>
      </w:tr>
      <w:tr>
        <w:trPr/>
        <w:tc>
          <w:tcPr>
            <w:tcW w:w="734"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3232" w:type="dxa"/>
            <w:tcBorders/>
          </w:tcPr>
          <w:p>
            <w:pPr>
              <w:pStyle w:val="TableContents"/>
              <w:bidi w:val="0"/>
              <w:spacing w:before="0" w:after="283"/>
              <w:jc w:val="left"/>
              <w:rPr/>
            </w:pPr>
            <w:r>
              <w:rPr/>
              <w:t>Name:</w:t>
            </w:r>
          </w:p>
        </w:tc>
      </w:tr>
      <w:tr>
        <w:trPr/>
        <w:tc>
          <w:tcPr>
            <w:tcW w:w="734"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3232"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and Agreed</w:t>
            </w:r>
          </w:p>
        </w:tc>
      </w:tr>
      <w:tr>
        <w:trPr/>
        <w:tc>
          <w:tcPr>
            <w:tcW w:w="4082" w:type="dxa"/>
            <w:gridSpan w:val="3"/>
            <w:tcBorders/>
          </w:tcPr>
          <w:p>
            <w:pPr>
              <w:pStyle w:val="TableContents"/>
              <w:bidi w:val="0"/>
              <w:spacing w:before="0" w:after="283"/>
              <w:jc w:val="left"/>
              <w:rPr/>
            </w:pPr>
            <w:r>
              <w:rPr/>
              <w:t>by SLATE MEDICINES, INC.:</w:t>
            </w:r>
          </w:p>
        </w:tc>
      </w:tr>
      <w:tr>
        <w:trPr>
          <w:trHeight w:val="240" w:hRule="atLeast"/>
        </w:trPr>
        <w:tc>
          <w:tcPr>
            <w:tcW w:w="734" w:type="dxa"/>
            <w:tcBorders/>
            <w:vAlign w:val="center"/>
          </w:tcPr>
          <w:p>
            <w:pPr>
              <w:pStyle w:val="TableContents"/>
              <w:bidi w:val="0"/>
              <w:spacing w:before="0" w:after="283"/>
              <w:jc w:val="left"/>
              <w:rPr>
                <w:sz w:val="4"/>
                <w:szCs w:val="4"/>
              </w:rPr>
            </w:pPr>
            <w:r>
              <w:rPr>
                <w:sz w:val="4"/>
                <w:szCs w:val="4"/>
              </w:rPr>
            </w:r>
          </w:p>
        </w:tc>
        <w:tc>
          <w:tcPr>
            <w:tcW w:w="3348" w:type="dxa"/>
            <w:gridSpan w:val="2"/>
            <w:tcBorders/>
            <w:vAlign w:val="center"/>
          </w:tcPr>
          <w:p>
            <w:pPr>
              <w:pStyle w:val="TableContents"/>
              <w:bidi w:val="0"/>
              <w:spacing w:before="0" w:after="283"/>
              <w:jc w:val="left"/>
              <w:rPr>
                <w:sz w:val="4"/>
                <w:szCs w:val="4"/>
              </w:rPr>
            </w:pPr>
            <w:r>
              <w:rPr>
                <w:sz w:val="4"/>
                <w:szCs w:val="4"/>
              </w:rPr>
            </w:r>
          </w:p>
        </w:tc>
      </w:tr>
      <w:tr>
        <w:trPr/>
        <w:tc>
          <w:tcPr>
            <w:tcW w:w="734" w:type="dxa"/>
            <w:tcBorders/>
          </w:tcPr>
          <w:p>
            <w:pPr>
              <w:pStyle w:val="TableContents"/>
              <w:bidi w:val="0"/>
              <w:spacing w:before="0" w:after="283"/>
              <w:jc w:val="left"/>
              <w:rPr/>
            </w:pPr>
            <w:r>
              <w:rPr/>
              <w:t>By:</w:t>
            </w:r>
          </w:p>
        </w:tc>
        <w:tc>
          <w:tcPr>
            <w:tcW w:w="116" w:type="dxa"/>
            <w:tcBorders/>
            <w:vAlign w:val="bottom"/>
          </w:tcPr>
          <w:p>
            <w:pPr>
              <w:pStyle w:val="TableContents"/>
              <w:bidi w:val="0"/>
              <w:spacing w:before="0" w:after="283"/>
              <w:jc w:val="left"/>
              <w:rPr/>
            </w:pPr>
            <w:r>
              <w:rPr/>
              <w:t> </w:t>
            </w:r>
          </w:p>
        </w:tc>
        <w:tc>
          <w:tcPr>
            <w:tcW w:w="3232" w:type="dxa"/>
            <w:tcBorders/>
          </w:tcPr>
          <w:p>
            <w:pPr>
              <w:pStyle w:val="TableContents"/>
              <w:pBdr>
                <w:bottom w:val="single" w:sz="2" w:space="1" w:color="000000"/>
              </w:pBdr>
              <w:bidi w:val="0"/>
              <w:spacing w:before="0" w:after="20"/>
              <w:jc w:val="left"/>
              <w:rPr/>
            </w:pPr>
            <w:r>
              <w:rPr/>
              <w:t> </w:t>
            </w:r>
          </w:p>
        </w:tc>
      </w:tr>
      <w:tr>
        <w:trPr/>
        <w:tc>
          <w:tcPr>
            <w:tcW w:w="734"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3232" w:type="dxa"/>
            <w:tcBorders/>
          </w:tcPr>
          <w:p>
            <w:pPr>
              <w:pStyle w:val="TableContents"/>
              <w:bidi w:val="0"/>
              <w:spacing w:before="0" w:after="283"/>
              <w:jc w:val="left"/>
              <w:rPr/>
            </w:pPr>
            <w:r>
              <w:rPr/>
              <w:t>Name:</w:t>
            </w:r>
          </w:p>
        </w:tc>
      </w:tr>
      <w:tr>
        <w:trPr/>
        <w:tc>
          <w:tcPr>
            <w:tcW w:w="734"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3232"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Lock-Up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10.4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SECURITIES PURCHASE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is dated as of August 16, 2026, by and among Slate Medicines, Inc., a Delaware corporation (the “</w:t>
      </w:r>
      <w:r>
        <w:rPr>
          <w:rFonts w:ascii="Times New Roman" w:hAnsi="Times New Roman"/>
          <w:b/>
          <w:sz w:val="20"/>
        </w:rPr>
        <w:t>Company</w:t>
      </w:r>
      <w:r>
        <w:rPr>
          <w:rFonts w:ascii="Times New Roman" w:hAnsi="Times New Roman"/>
          <w:sz w:val="20"/>
        </w:rPr>
        <w:t xml:space="preserve">”), and each of the Persons listed on </w:t>
      </w:r>
      <w:r>
        <w:rPr>
          <w:rFonts w:ascii="Times New Roman" w:hAnsi="Times New Roman"/>
          <w:sz w:val="20"/>
          <w:u w:val="single"/>
        </w:rPr>
        <w:t>Exhibit A</w:t>
      </w:r>
      <w:r>
        <w:rPr>
          <w:rFonts w:ascii="Times New Roman" w:hAnsi="Times New Roman"/>
          <w:sz w:val="20"/>
        </w:rPr>
        <w:t xml:space="preserve"> attached to this Agreement (each, an “</w:t>
      </w:r>
      <w:r>
        <w:rPr>
          <w:rFonts w:ascii="Times New Roman" w:hAnsi="Times New Roman"/>
          <w:b/>
          <w:sz w:val="20"/>
        </w:rPr>
        <w:t>Investor</w:t>
      </w:r>
      <w:r>
        <w:rPr>
          <w:rFonts w:ascii="Times New Roman" w:hAnsi="Times New Roman"/>
          <w:sz w:val="20"/>
        </w:rPr>
        <w:t>” and together, the “</w:t>
      </w:r>
      <w:r>
        <w:rPr>
          <w:rFonts w:ascii="Times New Roman" w:hAnsi="Times New Roman"/>
          <w:b/>
          <w:sz w:val="20"/>
        </w:rPr>
        <w:t>Investors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and the Investors are executing and delivering this Agreement in reliance upon the exemption from securities registration afforded by Section 4(a)(2) of the U.S. Securities Act of 1933, as amended (the “</w:t>
      </w:r>
      <w:r>
        <w:rPr>
          <w:rFonts w:ascii="Times New Roman" w:hAnsi="Times New Roman"/>
          <w:b/>
          <w:sz w:val="20"/>
        </w:rPr>
        <w:t>Securities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desires to sell to the Investors, and each Investor desires to purchase from the Company, severally and not jointly, upon the terms and subject to the conditions stated in this Agreement, shares (the “</w:t>
      </w:r>
      <w:r>
        <w:rPr>
          <w:rFonts w:ascii="Times New Roman" w:hAnsi="Times New Roman"/>
          <w:b/>
          <w:sz w:val="20"/>
        </w:rPr>
        <w:t>Initial Shares</w:t>
      </w:r>
      <w:r>
        <w:rPr>
          <w:rFonts w:ascii="Times New Roman" w:hAnsi="Times New Roman"/>
          <w:sz w:val="20"/>
        </w:rPr>
        <w:t>”) of the Company’s common stock, par value $0.0001 per share (the “</w:t>
      </w:r>
      <w:r>
        <w:rPr>
          <w:rFonts w:ascii="Times New Roman" w:hAnsi="Times New Roman"/>
          <w:b/>
          <w:sz w:val="20"/>
        </w:rPr>
        <w:t>Common Stock</w:t>
      </w:r>
      <w:r>
        <w:rPr>
          <w:rFonts w:ascii="Times New Roman" w:hAnsi="Times New Roman"/>
          <w:sz w:val="20"/>
        </w:rPr>
        <w:t xml:space="preserve">”), at a per share purchase price equal to the Share Price;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contemporaneously with the sale of the Initial Shares, the parties hereto will execute and deliver a Registration Rights Agreement, in the form attached hereto as </w:t>
      </w:r>
      <w:r>
        <w:rPr>
          <w:rFonts w:ascii="Times New Roman" w:hAnsi="Times New Roman"/>
          <w:sz w:val="20"/>
          <w:u w:val="single"/>
        </w:rPr>
        <w:t>Exhibit B</w:t>
      </w:r>
      <w:r>
        <w:rPr>
          <w:rFonts w:ascii="Times New Roman" w:hAnsi="Times New Roman"/>
          <w:sz w:val="20"/>
        </w:rPr>
        <w:t xml:space="preserve">, pursuant to which the Company will agree to provide certain registration rights in respect of the Shares (as defined below) under the Securities Act and applicable state securities laws;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is party to that certain Agreement and Plan of Merger (the “</w:t>
      </w:r>
      <w:r>
        <w:rPr>
          <w:rFonts w:ascii="Times New Roman" w:hAnsi="Times New Roman"/>
          <w:b/>
          <w:sz w:val="20"/>
        </w:rPr>
        <w:t>Merger Agreement</w:t>
      </w:r>
      <w:r>
        <w:rPr>
          <w:rFonts w:ascii="Times New Roman" w:hAnsi="Times New Roman"/>
          <w:sz w:val="20"/>
        </w:rPr>
        <w:t>”) by and among the Company, Fulcrum Therapeutics, Inc. (“</w:t>
      </w:r>
      <w:r>
        <w:rPr>
          <w:rFonts w:ascii="Times New Roman" w:hAnsi="Times New Roman"/>
          <w:b/>
          <w:sz w:val="20"/>
        </w:rPr>
        <w:t>Parent</w:t>
      </w:r>
      <w:r>
        <w:rPr>
          <w:rFonts w:ascii="Times New Roman" w:hAnsi="Times New Roman"/>
          <w:sz w:val="20"/>
        </w:rPr>
        <w:t>”), and Fusion Merger Sub I, Inc., a Delaware corporation and a wholly owned subsidiary of Parent, (“</w:t>
      </w:r>
      <w:r>
        <w:rPr>
          <w:rFonts w:ascii="Times New Roman" w:hAnsi="Times New Roman"/>
          <w:b/>
          <w:sz w:val="20"/>
        </w:rPr>
        <w:t>First</w:t>
      </w:r>
      <w:r>
        <w:rPr>
          <w:rFonts w:ascii="Times New Roman" w:hAnsi="Times New Roman"/>
          <w:sz w:val="20"/>
        </w:rPr>
        <w:t xml:space="preserve"> </w:t>
      </w:r>
      <w:r>
        <w:rPr>
          <w:rFonts w:ascii="Times New Roman" w:hAnsi="Times New Roman"/>
          <w:b/>
          <w:sz w:val="20"/>
        </w:rPr>
        <w:t>Merger Sub</w:t>
      </w:r>
      <w:r>
        <w:rPr>
          <w:rFonts w:ascii="Times New Roman" w:hAnsi="Times New Roman"/>
          <w:sz w:val="20"/>
        </w:rPr>
        <w:t>”) and Fusion Merger Sub II, LLC, a Delaware limited liability company and a wholly-owned subsidiary of the Parent (“</w:t>
      </w:r>
      <w:r>
        <w:rPr>
          <w:rFonts w:ascii="Times New Roman" w:hAnsi="Times New Roman"/>
          <w:b/>
          <w:sz w:val="20"/>
        </w:rPr>
        <w:t>Second Merger Sub</w:t>
      </w:r>
      <w:r>
        <w:rPr>
          <w:rFonts w:ascii="Times New Roman" w:hAnsi="Times New Roman"/>
          <w:sz w:val="20"/>
        </w:rPr>
        <w:t>”), pursuant to which First Merger Sub will merge with and into the Company, with the Company surviving and becoming a wholly-owned subsidiary of Parent, and (ii) the Company will merge with and into Second Merger Sub, with Second Merger Sub being the surviving entity and a wholly-owned subsidiary of Parent (together, the “</w:t>
      </w:r>
      <w:r>
        <w:rPr>
          <w:rFonts w:ascii="Times New Roman" w:hAnsi="Times New Roman"/>
          <w:b/>
          <w:sz w:val="20"/>
        </w:rPr>
        <w:t>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agreements, representations, warranties and covenants herein contained, the Company and each Investor, severally and not jointly,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As used in this Agreement, the following terms shall have the following respective meanings: </w:t>
      </w:r>
    </w:p>
    <w:p>
      <w:pPr>
        <w:pStyle w:val="TextBody"/>
        <w:bidi w:val="0"/>
        <w:spacing w:before="240" w:after="0"/>
        <w:jc w:val="left"/>
        <w:rPr/>
      </w:pPr>
      <w:r>
        <w:rPr/>
        <w:t>“</w:t>
      </w:r>
      <w:r>
        <w:rPr>
          <w:rFonts w:ascii="Times New Roman" w:hAnsi="Times New Roman"/>
          <w:b/>
          <w:sz w:val="20"/>
        </w:rPr>
        <w:t>Additional Securities</w:t>
      </w:r>
      <w:r>
        <w:rPr>
          <w:rFonts w:ascii="Times New Roman" w:hAnsi="Times New Roman"/>
          <w:sz w:val="20"/>
        </w:rPr>
        <w:t xml:space="preserve">” has the meaning set forth in </w:t>
      </w:r>
      <w:r>
        <w:rPr>
          <w:rFonts w:ascii="Times New Roman" w:hAnsi="Times New Roman"/>
          <w:sz w:val="20"/>
          <w:u w:val="single"/>
        </w:rPr>
        <w:t>Section 8.15</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means, with respect to any Person, any other Person that, directly or indirectly through one or more intermediaries, controls, is controlled by or is under common control with such Person. </w:t>
      </w:r>
    </w:p>
    <w:p>
      <w:pPr>
        <w:pStyle w:val="TextBody"/>
        <w:bidi w:val="0"/>
        <w:spacing w:before="240" w:after="0"/>
        <w:jc w:val="left"/>
        <w:rPr/>
      </w:pPr>
      <w:r>
        <w:rPr/>
        <w:t>“</w:t>
      </w:r>
      <w:r>
        <w:rPr>
          <w:rFonts w:ascii="Times New Roman" w:hAnsi="Times New Roman"/>
          <w:b/>
          <w:sz w:val="20"/>
        </w:rPr>
        <w:t>Aggregate Purchase Amount</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Agreement</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Benefit Plan</w:t>
      </w:r>
      <w:r>
        <w:rPr>
          <w:rFonts w:ascii="Times New Roman" w:hAnsi="Times New Roman"/>
          <w:sz w:val="20"/>
        </w:rPr>
        <w:t>” or “</w:t>
      </w:r>
      <w:r>
        <w:rPr>
          <w:rFonts w:ascii="Times New Roman" w:hAnsi="Times New Roman"/>
          <w:b/>
          <w:sz w:val="20"/>
        </w:rPr>
        <w:t>Benefit Plans</w:t>
      </w:r>
      <w:r>
        <w:rPr>
          <w:rFonts w:ascii="Times New Roman" w:hAnsi="Times New Roman"/>
          <w:sz w:val="20"/>
        </w:rPr>
        <w:t xml:space="preserve">” means employee benefit plans as defined in Section 3(3) of ERISA and all other employee benefit practices or arrangements, including, without limitation, any such practices or arrangements providing severance pay, sick leave, vacation pay, salary continuation for disability, retirement benefits, deferred compensation, bonus pay, incentive pay, stock options or other stock-based compensation, hospitalization insurance, medical insurance, life insurance, scholarships or tuition reimbursements, maintained by the Company or to which the Company or any of its subsidiaries is obligated to contribute for employees or former employees of the Company and its subsidiaries.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Board of Directors</w:t>
      </w:r>
      <w:r>
        <w:rPr>
          <w:rFonts w:ascii="Times New Roman" w:hAnsi="Times New Roman"/>
          <w:sz w:val="20"/>
        </w:rPr>
        <w:t xml:space="preserve">” means the board of directors of the Company.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any day except any Saturday, any Sunday, any day which is a federal legal holiday in the United States or any day on which banking institutions in the State of New York are authorized or required by law or other governmental action to close. </w:t>
      </w:r>
    </w:p>
    <w:p>
      <w:pPr>
        <w:pStyle w:val="TextBody"/>
        <w:bidi w:val="0"/>
        <w:spacing w:before="240" w:after="0"/>
        <w:jc w:val="left"/>
        <w:rPr/>
      </w:pPr>
      <w:r>
        <w:rPr/>
        <w:t>“</w:t>
      </w:r>
      <w:r>
        <w:rPr>
          <w:rFonts w:ascii="Times New Roman" w:hAnsi="Times New Roman"/>
          <w:b/>
          <w:sz w:val="20"/>
        </w:rPr>
        <w:t>Bylaws</w:t>
      </w:r>
      <w:r>
        <w:rPr>
          <w:rFonts w:ascii="Times New Roman" w:hAnsi="Times New Roman"/>
          <w:sz w:val="20"/>
        </w:rPr>
        <w:t xml:space="preserve">” means the bylaws of the Company, as currently in effect and as in effect on the Closing Date. </w:t>
      </w:r>
    </w:p>
    <w:p>
      <w:pPr>
        <w:pStyle w:val="TextBody"/>
        <w:bidi w:val="0"/>
        <w:spacing w:before="240" w:after="0"/>
        <w:jc w:val="left"/>
        <w:rPr/>
      </w:pPr>
      <w:r>
        <w:rPr/>
        <w:t>“</w:t>
      </w:r>
      <w:r>
        <w:rPr>
          <w:rFonts w:ascii="Times New Roman" w:hAnsi="Times New Roman"/>
          <w:b/>
          <w:sz w:val="20"/>
        </w:rPr>
        <w:t>Certificate of Incorporation</w:t>
      </w:r>
      <w:r>
        <w:rPr>
          <w:rFonts w:ascii="Times New Roman" w:hAnsi="Times New Roman"/>
          <w:sz w:val="20"/>
        </w:rPr>
        <w:t xml:space="preserve">” means the Certificate of Incorporation of the Company, as currently in effect and as in effect on the Closing Date. </w:t>
      </w:r>
    </w:p>
    <w:p>
      <w:pPr>
        <w:pStyle w:val="TextBody"/>
        <w:bidi w:val="0"/>
        <w:spacing w:before="240" w:after="0"/>
        <w:jc w:val="left"/>
        <w:rPr/>
      </w:pPr>
      <w:r>
        <w:rPr/>
        <w:t>“</w:t>
      </w:r>
      <w:r>
        <w:rPr>
          <w:rFonts w:ascii="Times New Roman" w:hAnsi="Times New Roman"/>
          <w:b/>
          <w:sz w:val="20"/>
        </w:rPr>
        <w:t>Closing</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Closing Date</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Closing Notice</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the U.S. Internal Revenue Code of 1986, as amended. </w:t>
      </w:r>
    </w:p>
    <w:p>
      <w:pPr>
        <w:pStyle w:val="TextBody"/>
        <w:bidi w:val="0"/>
        <w:spacing w:before="240" w:after="0"/>
        <w:jc w:val="left"/>
        <w:rPr/>
      </w:pPr>
      <w:r>
        <w:rPr/>
        <w:t>“</w:t>
      </w:r>
      <w:r>
        <w:rPr>
          <w:rFonts w:ascii="Times New Roman" w:hAnsi="Times New Roman"/>
          <w:b/>
          <w:sz w:val="20"/>
        </w:rPr>
        <w:t>Commitment Amount</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Common Stock</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Company Presentation</w:t>
      </w:r>
      <w:r>
        <w:rPr>
          <w:rFonts w:ascii="Times New Roman" w:hAnsi="Times New Roman"/>
          <w:sz w:val="20"/>
        </w:rPr>
        <w:t xml:space="preserve">” means that certain Investor Presentation, as provided to the Investors prior to the date hereof and filed by Parent on Form 8-K on or around the date hereof. </w:t>
      </w:r>
    </w:p>
    <w:p>
      <w:pPr>
        <w:pStyle w:val="TextBody"/>
        <w:bidi w:val="0"/>
        <w:spacing w:before="240" w:after="0"/>
        <w:jc w:val="left"/>
        <w:rPr/>
      </w:pPr>
      <w:r>
        <w:rPr/>
        <w:t>“</w:t>
      </w:r>
      <w:r>
        <w:rPr>
          <w:rFonts w:ascii="Times New Roman" w:hAnsi="Times New Roman"/>
          <w:b/>
          <w:sz w:val="20"/>
        </w:rPr>
        <w:t>Confidential Data</w:t>
      </w:r>
      <w:r>
        <w:rPr>
          <w:rFonts w:ascii="Times New Roman" w:hAnsi="Times New Roman"/>
          <w:sz w:val="20"/>
        </w:rPr>
        <w:t xml:space="preserve">” has the meaning set forth in </w:t>
      </w:r>
      <w:r>
        <w:rPr>
          <w:rFonts w:ascii="Times New Roman" w:hAnsi="Times New Roman"/>
          <w:sz w:val="20"/>
          <w:u w:val="single"/>
        </w:rPr>
        <w:t>Section 3.28</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Disclosure Document</w:t>
      </w:r>
      <w:r>
        <w:rPr>
          <w:rFonts w:ascii="Times New Roman" w:hAnsi="Times New Roman"/>
          <w:sz w:val="20"/>
        </w:rPr>
        <w:t xml:space="preserve">” has the meaning set forth in </w:t>
      </w:r>
      <w:r>
        <w:rPr>
          <w:rFonts w:ascii="Times New Roman" w:hAnsi="Times New Roman"/>
          <w:sz w:val="20"/>
          <w:u w:val="single"/>
        </w:rPr>
        <w:t>Section 5.3</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Disclosure Time</w:t>
      </w:r>
      <w:r>
        <w:rPr>
          <w:rFonts w:ascii="Times New Roman" w:hAnsi="Times New Roman"/>
          <w:sz w:val="20"/>
        </w:rPr>
        <w:t xml:space="preserve">” has the meaning set forth in </w:t>
      </w:r>
      <w:r>
        <w:rPr>
          <w:rFonts w:ascii="Times New Roman" w:hAnsi="Times New Roman"/>
          <w:sz w:val="20"/>
          <w:u w:val="single"/>
        </w:rPr>
        <w:t>Section 5.3</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Drug Regulatory Agency</w:t>
      </w:r>
      <w:r>
        <w:rPr>
          <w:rFonts w:ascii="Times New Roman" w:hAnsi="Times New Roman"/>
          <w:sz w:val="20"/>
        </w:rPr>
        <w:t>” means the U.S. Food and Drug Administration (“</w:t>
      </w:r>
      <w:r>
        <w:rPr>
          <w:rFonts w:ascii="Times New Roman" w:hAnsi="Times New Roman"/>
          <w:b/>
          <w:sz w:val="20"/>
        </w:rPr>
        <w:t>FDA</w:t>
      </w:r>
      <w:r>
        <w:rPr>
          <w:rFonts w:ascii="Times New Roman" w:hAnsi="Times New Roman"/>
          <w:sz w:val="20"/>
        </w:rPr>
        <w:t xml:space="preserve">”) or other foreign, state, local or comparable governmental authority responsible for regulation of the research, development, testing, manufacturing, processing, storage, labeling, sale, marketing, advertising, distribution and importation or exportation of drug or biological products and drug or biological product candidates. </w:t>
      </w:r>
    </w:p>
    <w:p>
      <w:pPr>
        <w:pStyle w:val="TextBody"/>
        <w:bidi w:val="0"/>
        <w:spacing w:before="240" w:after="0"/>
        <w:jc w:val="left"/>
        <w:rPr/>
      </w:pPr>
      <w:r>
        <w:rPr/>
        <w:t>“</w:t>
      </w:r>
      <w:r>
        <w:rPr>
          <w:rFonts w:ascii="Times New Roman" w:hAnsi="Times New Roman"/>
          <w:b/>
          <w:sz w:val="20"/>
        </w:rPr>
        <w:t>Environmental Laws</w:t>
      </w:r>
      <w:r>
        <w:rPr>
          <w:rFonts w:ascii="Times New Roman" w:hAnsi="Times New Roman"/>
          <w:sz w:val="20"/>
        </w:rPr>
        <w:t xml:space="preserve">” has the meaning set forth in </w:t>
      </w:r>
      <w:r>
        <w:rPr>
          <w:rFonts w:ascii="Times New Roman" w:hAnsi="Times New Roman"/>
          <w:sz w:val="20"/>
          <w:u w:val="single"/>
        </w:rPr>
        <w:t>Section 3.15</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ERISA</w:t>
      </w:r>
      <w:r>
        <w:rPr>
          <w:rFonts w:ascii="Times New Roman" w:hAnsi="Times New Roman"/>
          <w:sz w:val="20"/>
        </w:rPr>
        <w:t xml:space="preserve">” means the U.S. Employee Retirement Income Security Act of 1974, as amended.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U.S. Securities Exchange Act of 1934, as amended, and all of the rules and regulations promulgated thereunder. </w:t>
      </w:r>
    </w:p>
    <w:p>
      <w:pPr>
        <w:pStyle w:val="TextBody"/>
        <w:bidi w:val="0"/>
        <w:spacing w:before="240" w:after="0"/>
        <w:jc w:val="left"/>
        <w:rPr/>
      </w:pPr>
      <w:r>
        <w:rPr/>
        <w:t>“</w:t>
      </w:r>
      <w:r>
        <w:rPr>
          <w:rFonts w:ascii="Times New Roman" w:hAnsi="Times New Roman"/>
          <w:b/>
          <w:sz w:val="20"/>
        </w:rPr>
        <w:t>Financial Statements</w:t>
      </w:r>
      <w:r>
        <w:rPr>
          <w:rFonts w:ascii="Times New Roman" w:hAnsi="Times New Roman"/>
          <w:sz w:val="20"/>
        </w:rPr>
        <w:t xml:space="preserve">” has the meaning set forth in </w:t>
      </w:r>
      <w:r>
        <w:rPr>
          <w:rFonts w:ascii="Times New Roman" w:hAnsi="Times New Roman"/>
          <w:sz w:val="20"/>
          <w:u w:val="single"/>
        </w:rPr>
        <w:t>Section 3.8</w:t>
      </w:r>
      <w:r>
        <w:rPr>
          <w:rFonts w:ascii="Times New Roman" w:hAnsi="Times New Roman"/>
          <w:sz w:val="20"/>
        </w:rPr>
        <w:t xml:space="preserv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GAAP</w:t>
      </w:r>
      <w:r>
        <w:rPr>
          <w:rFonts w:ascii="Times New Roman" w:hAnsi="Times New Roman"/>
          <w:sz w:val="20"/>
        </w:rPr>
        <w:t xml:space="preserve">” has the meaning set forth in </w:t>
      </w:r>
      <w:r>
        <w:rPr>
          <w:rFonts w:ascii="Times New Roman" w:hAnsi="Times New Roman"/>
          <w:sz w:val="20"/>
          <w:u w:val="single"/>
        </w:rPr>
        <w:t>Section 3.8</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GDPR</w:t>
      </w:r>
      <w:r>
        <w:rPr>
          <w:rFonts w:ascii="Times New Roman" w:hAnsi="Times New Roman"/>
          <w:sz w:val="20"/>
        </w:rPr>
        <w:t xml:space="preserve">” has the meaning set forth in </w:t>
      </w:r>
      <w:r>
        <w:rPr>
          <w:rFonts w:ascii="Times New Roman" w:hAnsi="Times New Roman"/>
          <w:sz w:val="20"/>
          <w:u w:val="single"/>
        </w:rPr>
        <w:t>Section 3.29</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Governmental Authorizations</w:t>
      </w:r>
      <w:r>
        <w:rPr>
          <w:rFonts w:ascii="Times New Roman" w:hAnsi="Times New Roman"/>
          <w:sz w:val="20"/>
        </w:rPr>
        <w:t xml:space="preserve">” has the meaning set forth in </w:t>
      </w:r>
      <w:r>
        <w:rPr>
          <w:rFonts w:ascii="Times New Roman" w:hAnsi="Times New Roman"/>
          <w:sz w:val="20"/>
          <w:u w:val="single"/>
        </w:rPr>
        <w:t>Section 3.11</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Health Care Laws</w:t>
      </w:r>
      <w:r>
        <w:rPr>
          <w:rFonts w:ascii="Times New Roman" w:hAnsi="Times New Roman"/>
          <w:sz w:val="20"/>
        </w:rPr>
        <w:t xml:space="preserve">” has the meaning set forth in </w:t>
      </w:r>
      <w:r>
        <w:rPr>
          <w:rFonts w:ascii="Times New Roman" w:hAnsi="Times New Roman"/>
          <w:sz w:val="20"/>
          <w:u w:val="single"/>
        </w:rPr>
        <w:t>Section 3.19</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HIPAA</w:t>
      </w:r>
      <w:r>
        <w:rPr>
          <w:rFonts w:ascii="Times New Roman" w:hAnsi="Times New Roman"/>
          <w:sz w:val="20"/>
        </w:rPr>
        <w:t xml:space="preserve">” has the meaning set forth in </w:t>
      </w:r>
      <w:r>
        <w:rPr>
          <w:rFonts w:ascii="Times New Roman" w:hAnsi="Times New Roman"/>
          <w:sz w:val="20"/>
          <w:u w:val="single"/>
        </w:rPr>
        <w:t>Section 3.28</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Indemnified Persons</w:t>
      </w:r>
      <w:r>
        <w:rPr>
          <w:rFonts w:ascii="Times New Roman" w:hAnsi="Times New Roman"/>
          <w:sz w:val="20"/>
        </w:rPr>
        <w:t xml:space="preserve">” has the meaning set forth in Section 5.9(a). </w:t>
      </w:r>
    </w:p>
    <w:p>
      <w:pPr>
        <w:pStyle w:val="TextBody"/>
        <w:bidi w:val="0"/>
        <w:spacing w:before="240" w:after="0"/>
        <w:jc w:val="left"/>
        <w:rPr/>
      </w:pPr>
      <w:r>
        <w:rPr/>
        <w:t>“</w:t>
      </w:r>
      <w:r>
        <w:rPr>
          <w:rFonts w:ascii="Times New Roman" w:hAnsi="Times New Roman"/>
          <w:b/>
          <w:sz w:val="20"/>
        </w:rPr>
        <w:t>Initial Shares</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Intellectual Property</w:t>
      </w:r>
      <w:r>
        <w:rPr>
          <w:rFonts w:ascii="Times New Roman" w:hAnsi="Times New Roman"/>
          <w:sz w:val="20"/>
        </w:rPr>
        <w:t xml:space="preserve">” has the meaning set forth in </w:t>
      </w:r>
      <w:r>
        <w:rPr>
          <w:rFonts w:ascii="Times New Roman" w:hAnsi="Times New Roman"/>
          <w:sz w:val="20"/>
          <w:u w:val="single"/>
        </w:rPr>
        <w:t>Section 3.12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Investor</w:t>
      </w:r>
      <w:r>
        <w:rPr>
          <w:rFonts w:ascii="Times New Roman" w:hAnsi="Times New Roman"/>
          <w:sz w:val="20"/>
        </w:rPr>
        <w:t>” and “</w:t>
      </w:r>
      <w:r>
        <w:rPr>
          <w:rFonts w:ascii="Times New Roman" w:hAnsi="Times New Roman"/>
          <w:b/>
          <w:sz w:val="20"/>
        </w:rPr>
        <w:t>Investors</w:t>
      </w:r>
      <w:r>
        <w:rPr>
          <w:rFonts w:ascii="Times New Roman" w:hAnsi="Times New Roman"/>
          <w:sz w:val="20"/>
        </w:rPr>
        <w:t xml:space="preserve">” have the meanings set forth in the recitals hereof. </w:t>
      </w:r>
    </w:p>
    <w:p>
      <w:pPr>
        <w:pStyle w:val="TextBody"/>
        <w:bidi w:val="0"/>
        <w:spacing w:before="240" w:after="0"/>
        <w:jc w:val="left"/>
        <w:rPr/>
      </w:pPr>
      <w:r>
        <w:rPr/>
        <w:t>“</w:t>
      </w:r>
      <w:r>
        <w:rPr>
          <w:rFonts w:ascii="Times New Roman" w:hAnsi="Times New Roman"/>
          <w:b/>
          <w:sz w:val="20"/>
        </w:rPr>
        <w:t>Investor Majority</w:t>
      </w:r>
      <w:r>
        <w:rPr>
          <w:rFonts w:ascii="Times New Roman" w:hAnsi="Times New Roman"/>
          <w:sz w:val="20"/>
        </w:rPr>
        <w:t xml:space="preserve">” means, (i) prior to the Closing, the Investors committed to purchase at least a majority of the Securities, which majority shall include any Investor who, together with any affiliated funds or commonly managed funds, has committed to purchase at least $45 million of the Securities, and (ii) following the Closing, the Investors who hold (as of such time) at least a majority of the Securities still held by the Investors. </w:t>
      </w:r>
    </w:p>
    <w:p>
      <w:pPr>
        <w:pStyle w:val="TextBody"/>
        <w:bidi w:val="0"/>
        <w:spacing w:before="240" w:after="0"/>
        <w:jc w:val="left"/>
        <w:rPr/>
      </w:pPr>
      <w:r>
        <w:rPr/>
        <w:t>“</w:t>
      </w:r>
      <w:r>
        <w:rPr>
          <w:rFonts w:ascii="Times New Roman" w:hAnsi="Times New Roman"/>
          <w:b/>
          <w:sz w:val="20"/>
        </w:rPr>
        <w:t>IT Systems</w:t>
      </w:r>
      <w:r>
        <w:rPr>
          <w:rFonts w:ascii="Times New Roman" w:hAnsi="Times New Roman"/>
          <w:sz w:val="20"/>
        </w:rPr>
        <w:t xml:space="preserve">” has the meaning set forth in </w:t>
      </w:r>
      <w:r>
        <w:rPr>
          <w:rFonts w:ascii="Times New Roman" w:hAnsi="Times New Roman"/>
          <w:sz w:val="20"/>
          <w:u w:val="single"/>
        </w:rPr>
        <w:t>Section 3.28</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Material Adverse Effect</w:t>
      </w:r>
      <w:r>
        <w:rPr>
          <w:rFonts w:ascii="Times New Roman" w:hAnsi="Times New Roman"/>
          <w:sz w:val="20"/>
        </w:rPr>
        <w:t xml:space="preserve">” means any change, event, circumstance, development, condition, occurrence or effect that, individually or in the aggregate, (a) was, is, or would reasonably be expected to be, materially adverse to the business, financial condition, properties, assets, liabilities, stockholders’ equity or results of operations of the Company and its subsidiaries, taken as a whole, or (b) materially delays or materially impairs the ability of the Company to comply, or prevents the Company from complying, with its obligations under this Agreement, the other Transaction Agreements, or with respect to the Closing, or would reasonably be expected to do so; provided, however, that none of the following will be deemed in themselves, either alone or in combination, to constitute, and that none of the following will be taken into account in determining whether there has been or will be, a Material Adverse Effect under subclause (a) of this definition: </w:t>
      </w:r>
    </w:p>
    <w:p>
      <w:pPr>
        <w:pStyle w:val="TextBody"/>
        <w:bidi w:val="0"/>
        <w:spacing w:before="120" w:after="0"/>
        <w:jc w:val="left"/>
        <w:rPr>
          <w:rFonts w:ascii="Times New Roman" w:hAnsi="Times New Roman"/>
          <w:sz w:val="20"/>
        </w:rPr>
      </w:pPr>
      <w:r>
        <w:rPr>
          <w:rFonts w:ascii="Times New Roman" w:hAnsi="Times New Roman"/>
          <w:sz w:val="20"/>
        </w:rPr>
        <w:t xml:space="preserve">(i) any change generally affecting the economy, financial markets or political, economic or regulatory conditions in the United States or any other geographic region in which the Company conducts business, provided that the Company is not disproportionately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(ii) general financial, credit or capital market conditions, including interest rates or exchange rates, or any changes therein, provided that the Company is not disproportionately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(iii) any change that generally affects industries in which the Company and its subsidiaries conduct business, provided that the Company is not disproportionately affected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earthquakes, hurricanes, tsunamis, tornadoes, floods, mudslides, fires or other natural disasters, weather conditions, global pandemics and related strains, epidemic or similar health emergency, and other force majeure events in the United States or any other location, provided that the Company is not disproportionately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(v) national or international political or social conditions (or changes in such conditions), whether or not pursuant to the declaration of a national emergency or war, or the occurrence of any military or terrorist attack, provided that the Company is not disproportionately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(vi) material changes in laws after the date of this Agreement, provided that the Company is not disproportionately affected thereby; and </w:t>
      </w:r>
    </w:p>
    <w:p>
      <w:pPr>
        <w:pStyle w:val="TextBody"/>
        <w:bidi w:val="0"/>
        <w:spacing w:before="120" w:after="0"/>
        <w:jc w:val="left"/>
        <w:rPr>
          <w:rFonts w:ascii="Times New Roman" w:hAnsi="Times New Roman"/>
          <w:sz w:val="20"/>
        </w:rPr>
      </w:pPr>
      <w:r>
        <w:rPr>
          <w:rFonts w:ascii="Times New Roman" w:hAnsi="Times New Roman"/>
          <w:sz w:val="20"/>
        </w:rPr>
        <w:t xml:space="preserve">(vii) in and of itself, any material failure by the Company to meet any published or internally prepared estimates of drug development timelines (it being understood that the facts and circumstances giving rise to such failure may be deemed to constitute, and may be taken into account in determining whether there has been, a Material Adverse Effect to the extent that such facts and circumstances are not otherwise described in clauses (i)-(v) of this definition). </w:t>
      </w:r>
    </w:p>
    <w:p>
      <w:pPr>
        <w:pStyle w:val="TextBody"/>
        <w:bidi w:val="0"/>
        <w:spacing w:before="240" w:after="0"/>
        <w:jc w:val="left"/>
        <w:rPr/>
      </w:pPr>
      <w:r>
        <w:rPr/>
        <w:t>“</w:t>
      </w:r>
      <w:r>
        <w:rPr>
          <w:rFonts w:ascii="Times New Roman" w:hAnsi="Times New Roman"/>
          <w:b/>
          <w:sz w:val="20"/>
        </w:rPr>
        <w:t>Merger Agreement Closing</w:t>
      </w:r>
      <w:r>
        <w:rPr>
          <w:rFonts w:ascii="Times New Roman" w:hAnsi="Times New Roman"/>
          <w:sz w:val="20"/>
        </w:rPr>
        <w:t xml:space="preserve">” means the “First Effective Time” as such term is defined in the Merger Agreement. </w:t>
      </w:r>
    </w:p>
    <w:p>
      <w:pPr>
        <w:pStyle w:val="TextBody"/>
        <w:bidi w:val="0"/>
        <w:spacing w:before="240" w:after="0"/>
        <w:jc w:val="left"/>
        <w:rPr/>
      </w:pPr>
      <w:r>
        <w:rPr/>
        <w:t>“</w:t>
      </w:r>
      <w:r>
        <w:rPr>
          <w:rFonts w:ascii="Times New Roman" w:hAnsi="Times New Roman"/>
          <w:b/>
          <w:sz w:val="20"/>
        </w:rPr>
        <w:t>Nasdaq</w:t>
      </w:r>
      <w:r>
        <w:rPr>
          <w:rFonts w:ascii="Times New Roman" w:hAnsi="Times New Roman"/>
          <w:sz w:val="20"/>
        </w:rPr>
        <w:t xml:space="preserve">” means the Nasdaq Stock Market LLC. </w:t>
      </w:r>
    </w:p>
    <w:p>
      <w:pPr>
        <w:pStyle w:val="TextBody"/>
        <w:bidi w:val="0"/>
        <w:spacing w:before="240" w:after="0"/>
        <w:jc w:val="left"/>
        <w:rPr/>
      </w:pPr>
      <w:r>
        <w:rPr/>
        <w:t>“</w:t>
      </w:r>
      <w:r>
        <w:rPr>
          <w:rFonts w:ascii="Times New Roman" w:hAnsi="Times New Roman"/>
          <w:b/>
          <w:sz w:val="20"/>
        </w:rPr>
        <w:t>National Exchange</w:t>
      </w:r>
      <w:r>
        <w:rPr>
          <w:rFonts w:ascii="Times New Roman" w:hAnsi="Times New Roman"/>
          <w:sz w:val="20"/>
        </w:rPr>
        <w:t xml:space="preserve">” means (i) on and prior to the Closing Date, the Nasdaq Global Market, and (ii) following the Closing Date, any of the following markets or exchanges on which the Common Stock is listed or quoted for trading on the date in question, together with any successor thereto: the NYSE American, The New York Stock Exchange, the Nasdaq Global Market, the Nasdaq Global Select Market and the Nasdaq Capital Market. </w:t>
      </w:r>
    </w:p>
    <w:p>
      <w:pPr>
        <w:pStyle w:val="TextBody"/>
        <w:bidi w:val="0"/>
        <w:spacing w:before="240" w:after="0"/>
        <w:jc w:val="left"/>
        <w:rPr/>
      </w:pPr>
      <w:r>
        <w:rPr/>
        <w:t>“</w:t>
      </w:r>
      <w:r>
        <w:rPr>
          <w:rFonts w:ascii="Times New Roman" w:hAnsi="Times New Roman"/>
          <w:b/>
          <w:sz w:val="20"/>
        </w:rPr>
        <w:t>Parent</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Parent Common Stock</w:t>
      </w:r>
      <w:r>
        <w:rPr>
          <w:rFonts w:ascii="Times New Roman" w:hAnsi="Times New Roman"/>
          <w:sz w:val="20"/>
        </w:rPr>
        <w:t xml:space="preserve">” has the meaning set forth in </w:t>
      </w:r>
      <w:r>
        <w:rPr>
          <w:rFonts w:ascii="Times New Roman" w:hAnsi="Times New Roman"/>
          <w:sz w:val="20"/>
          <w:u w:val="single"/>
        </w:rPr>
        <w:t>Section 5.2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 individual, partnership, corporation, limited liability company, business trust, joint stock company, trust, unincorporated association, joint venture or any other entity or organization. </w:t>
      </w:r>
    </w:p>
    <w:p>
      <w:pPr>
        <w:pStyle w:val="TextBody"/>
        <w:bidi w:val="0"/>
        <w:spacing w:before="240" w:after="0"/>
        <w:jc w:val="left"/>
        <w:rPr/>
      </w:pPr>
      <w:r>
        <w:rPr/>
        <w:t>“</w:t>
      </w:r>
      <w:r>
        <w:rPr>
          <w:rFonts w:ascii="Times New Roman" w:hAnsi="Times New Roman"/>
          <w:b/>
          <w:sz w:val="20"/>
        </w:rPr>
        <w:t>Personal Data</w:t>
      </w:r>
      <w:r>
        <w:rPr>
          <w:rFonts w:ascii="Times New Roman" w:hAnsi="Times New Roman"/>
          <w:sz w:val="20"/>
        </w:rPr>
        <w:t xml:space="preserve">” has the meaning set forth in </w:t>
      </w:r>
      <w:r>
        <w:rPr>
          <w:rFonts w:ascii="Times New Roman" w:hAnsi="Times New Roman"/>
          <w:sz w:val="20"/>
          <w:u w:val="single"/>
        </w:rPr>
        <w:t>Section 3.28</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Privacy Laws</w:t>
      </w:r>
      <w:r>
        <w:rPr>
          <w:rFonts w:ascii="Times New Roman" w:hAnsi="Times New Roman"/>
          <w:sz w:val="20"/>
        </w:rPr>
        <w:t xml:space="preserve">” has the meaning set forth in </w:t>
      </w:r>
      <w:r>
        <w:rPr>
          <w:rFonts w:ascii="Times New Roman" w:hAnsi="Times New Roman"/>
          <w:sz w:val="20"/>
          <w:u w:val="single"/>
        </w:rPr>
        <w:t>Section 3.29</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Privacy Statements</w:t>
      </w:r>
      <w:r>
        <w:rPr>
          <w:rFonts w:ascii="Times New Roman" w:hAnsi="Times New Roman"/>
          <w:sz w:val="20"/>
        </w:rPr>
        <w:t xml:space="preserve">” has the meaning set forth in </w:t>
      </w:r>
      <w:r>
        <w:rPr>
          <w:rFonts w:ascii="Times New Roman" w:hAnsi="Times New Roman"/>
          <w:sz w:val="20"/>
          <w:u w:val="single"/>
        </w:rPr>
        <w:t>Section 3.29</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Process” or “Processing</w:t>
      </w:r>
      <w:r>
        <w:rPr>
          <w:rFonts w:ascii="Times New Roman" w:hAnsi="Times New Roman"/>
          <w:sz w:val="20"/>
        </w:rPr>
        <w:t xml:space="preserve">” has the meaning set forth in </w:t>
      </w:r>
      <w:r>
        <w:rPr>
          <w:rFonts w:ascii="Times New Roman" w:hAnsi="Times New Roman"/>
          <w:sz w:val="20"/>
          <w:u w:val="single"/>
        </w:rPr>
        <w:t>Section 3.29</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Public Company Meeting</w:t>
      </w:r>
      <w:r>
        <w:rPr>
          <w:rFonts w:ascii="Times New Roman" w:hAnsi="Times New Roman"/>
          <w:sz w:val="20"/>
        </w:rPr>
        <w:t xml:space="preserve">” has the meaning set forth in Section 3.31 hereof. </w:t>
      </w:r>
    </w:p>
    <w:p>
      <w:pPr>
        <w:pStyle w:val="TextBody"/>
        <w:bidi w:val="0"/>
        <w:spacing w:before="240" w:after="0"/>
        <w:jc w:val="left"/>
        <w:rPr/>
      </w:pPr>
      <w:r>
        <w:rPr/>
        <w:t>“</w:t>
      </w:r>
      <w:r>
        <w:rPr>
          <w:rFonts w:ascii="Times New Roman" w:hAnsi="Times New Roman"/>
          <w:b/>
          <w:sz w:val="20"/>
        </w:rPr>
        <w:t>Registration Rights Agreement</w:t>
      </w:r>
      <w:r>
        <w:rPr>
          <w:rFonts w:ascii="Times New Roman" w:hAnsi="Times New Roman"/>
          <w:sz w:val="20"/>
        </w:rPr>
        <w:t xml:space="preserve">” has the meaning set forth in </w:t>
      </w:r>
      <w:r>
        <w:rPr>
          <w:rFonts w:ascii="Times New Roman" w:hAnsi="Times New Roman"/>
          <w:sz w:val="20"/>
          <w:u w:val="single"/>
        </w:rPr>
        <w:t>Section 6.1(i)</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Regulatory Agencies</w:t>
      </w:r>
      <w:r>
        <w:rPr>
          <w:rFonts w:ascii="Times New Roman" w:hAnsi="Times New Roman"/>
          <w:sz w:val="20"/>
        </w:rPr>
        <w:t xml:space="preserve">” has the meaning set forth in </w:t>
      </w:r>
      <w:r>
        <w:rPr>
          <w:rFonts w:ascii="Times New Roman" w:hAnsi="Times New Roman"/>
          <w:sz w:val="20"/>
          <w:u w:val="single"/>
        </w:rPr>
        <w:t>Section 3.18</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Rule 144</w:t>
      </w:r>
      <w:r>
        <w:rPr>
          <w:rFonts w:ascii="Times New Roman" w:hAnsi="Times New Roman"/>
          <w:sz w:val="20"/>
        </w:rPr>
        <w:t xml:space="preserve">” means Rule 144 promulgated by the SEC pursuant to the Securities Act, as such rule may be amended from time to time, or any similar rule or regulation hereafter adopted by the SEC having substantially the same effect as such rule.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Securities</w:t>
      </w:r>
      <w:r>
        <w:rPr>
          <w:rFonts w:ascii="Times New Roman" w:hAnsi="Times New Roman"/>
          <w:sz w:val="20"/>
        </w:rPr>
        <w:t xml:space="preserve">” means the Initial Shares.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Share Price</w:t>
      </w:r>
      <w:r>
        <w:rPr>
          <w:rFonts w:ascii="Times New Roman" w:hAnsi="Times New Roman"/>
          <w:sz w:val="20"/>
        </w:rPr>
        <w:t xml:space="preserve">” means an amount equal to (i) $350,000,000, (ii) divided by the number of Company Outstanding Shares (as defined in the Merger Agreement but excluding the Securities being issued hereunder) as of immediately prior to the closing of offering of the Securities hereunder. </w:t>
      </w:r>
    </w:p>
    <w:p>
      <w:pPr>
        <w:pStyle w:val="TextBody"/>
        <w:bidi w:val="0"/>
        <w:spacing w:before="240" w:after="0"/>
        <w:jc w:val="left"/>
        <w:rPr/>
      </w:pPr>
      <w:r>
        <w:rPr/>
        <w:t>“</w:t>
      </w:r>
      <w:r>
        <w:rPr>
          <w:rFonts w:ascii="Times New Roman" w:hAnsi="Times New Roman"/>
          <w:b/>
          <w:sz w:val="20"/>
        </w:rPr>
        <w:t>Shares</w:t>
      </w:r>
      <w:r>
        <w:rPr>
          <w:rFonts w:ascii="Times New Roman" w:hAnsi="Times New Roman"/>
          <w:sz w:val="20"/>
        </w:rPr>
        <w:t xml:space="preserve">” means the Initial Shares. </w:t>
      </w:r>
    </w:p>
    <w:p>
      <w:pPr>
        <w:pStyle w:val="TextBody"/>
        <w:bidi w:val="0"/>
        <w:spacing w:before="240" w:after="0"/>
        <w:jc w:val="left"/>
        <w:rPr/>
      </w:pPr>
      <w:r>
        <w:rPr/>
        <w:t>“</w:t>
      </w:r>
      <w:r>
        <w:rPr>
          <w:rFonts w:ascii="Times New Roman" w:hAnsi="Times New Roman"/>
          <w:b/>
          <w:sz w:val="20"/>
        </w:rPr>
        <w:t>Short Sales</w:t>
      </w:r>
      <w:r>
        <w:rPr>
          <w:rFonts w:ascii="Times New Roman" w:hAnsi="Times New Roman"/>
          <w:sz w:val="20"/>
        </w:rPr>
        <w:t xml:space="preserve">” include, without limitation, (i)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(ii) sales and other transactions through non-U.S. broker dealers or non-U.S. regulated brokers (but shall not be deemed to include the location and/or reservation of borrowable shares of Common Stock), in each case, solely to the extent it has the same economic effect as a “short sale” (as defined in Rule 200 promulgated under Regulation SHO under the Exchange Act). </w:t>
      </w:r>
    </w:p>
    <w:p>
      <w:pPr>
        <w:pStyle w:val="TextBody"/>
        <w:bidi w:val="0"/>
        <w:spacing w:before="240" w:after="0"/>
        <w:jc w:val="left"/>
        <w:rPr/>
      </w:pPr>
      <w:r>
        <w:rPr/>
        <w:t>“</w:t>
      </w:r>
      <w:r>
        <w:rPr>
          <w:rFonts w:ascii="Times New Roman" w:hAnsi="Times New Roman"/>
          <w:b/>
          <w:sz w:val="20"/>
        </w:rPr>
        <w:t>Tax</w:t>
      </w:r>
      <w:r>
        <w:rPr>
          <w:rFonts w:ascii="Times New Roman" w:hAnsi="Times New Roman"/>
          <w:sz w:val="20"/>
        </w:rPr>
        <w:t>” or “</w:t>
      </w:r>
      <w:r>
        <w:rPr>
          <w:rFonts w:ascii="Times New Roman" w:hAnsi="Times New Roman"/>
          <w:b/>
          <w:sz w:val="20"/>
        </w:rPr>
        <w:t>Taxes</w:t>
      </w:r>
      <w:r>
        <w:rPr>
          <w:rFonts w:ascii="Times New Roman" w:hAnsi="Times New Roman"/>
          <w:sz w:val="20"/>
        </w:rPr>
        <w:t xml:space="preserve">” means any and all federal, state, local, foreign and other taxes, levies, fees, imposts, duties and charges of whatever kind (including any interest, penalties or additions to the tax imposed in connection therewith or with respect thereto), whether or not imposed on the Company, including, without limitation, taxes imposed on, or measured by, income, franchise, profits or gross receipts, and also ad valorem,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 </w:t>
      </w:r>
    </w:p>
    <w:p>
      <w:pPr>
        <w:pStyle w:val="TextBody"/>
        <w:bidi w:val="0"/>
        <w:spacing w:before="240" w:after="0"/>
        <w:jc w:val="left"/>
        <w:rPr/>
      </w:pPr>
      <w:r>
        <w:rPr/>
        <w:t>“</w:t>
      </w:r>
      <w:r>
        <w:rPr>
          <w:rFonts w:ascii="Times New Roman" w:hAnsi="Times New Roman"/>
          <w:b/>
          <w:sz w:val="20"/>
        </w:rPr>
        <w:t>Tax Returns</w:t>
      </w:r>
      <w:r>
        <w:rPr>
          <w:rFonts w:ascii="Times New Roman" w:hAnsi="Times New Roman"/>
          <w:sz w:val="20"/>
        </w:rPr>
        <w:t xml:space="preserve">” 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 </w:t>
      </w:r>
    </w:p>
    <w:p>
      <w:pPr>
        <w:pStyle w:val="TextBody"/>
        <w:bidi w:val="0"/>
        <w:spacing w:before="240" w:after="0"/>
        <w:jc w:val="left"/>
        <w:rPr/>
      </w:pPr>
      <w:r>
        <w:rPr/>
        <w:t>“</w:t>
      </w:r>
      <w:r>
        <w:rPr>
          <w:rFonts w:ascii="Times New Roman" w:hAnsi="Times New Roman"/>
          <w:b/>
          <w:sz w:val="20"/>
        </w:rPr>
        <w:t>Transaction Agreements</w:t>
      </w:r>
      <w:r>
        <w:rPr>
          <w:rFonts w:ascii="Times New Roman" w:hAnsi="Times New Roman"/>
          <w:sz w:val="20"/>
        </w:rPr>
        <w:t xml:space="preserve">” means this Agreement, the Merger Agreement, the Registration Rights Agreement and any other documents or agreements explicitly contemplated hereunder or thereunder. </w:t>
      </w:r>
    </w:p>
    <w:p>
      <w:pPr>
        <w:pStyle w:val="TextBody"/>
        <w:bidi w:val="0"/>
        <w:spacing w:before="240" w:after="0"/>
        <w:jc w:val="left"/>
        <w:rPr/>
      </w:pPr>
      <w:r>
        <w:rPr/>
        <w:t>“</w:t>
      </w:r>
      <w:r>
        <w:rPr>
          <w:rFonts w:ascii="Times New Roman" w:hAnsi="Times New Roman"/>
          <w:b/>
          <w:sz w:val="20"/>
        </w:rPr>
        <w:t>Transfer Agent</w:t>
      </w:r>
      <w:r>
        <w:rPr>
          <w:rFonts w:ascii="Times New Roman" w:hAnsi="Times New Roman"/>
          <w:sz w:val="20"/>
        </w:rPr>
        <w:t xml:space="preserve">” means, with respect to the Common Stock, Computershare Trust Company, or such other financial institution that provides transfer agent services as the Company may engage from time to time. </w:t>
      </w:r>
    </w:p>
    <w:p>
      <w:pPr>
        <w:pStyle w:val="TextBody"/>
        <w:bidi w:val="0"/>
        <w:spacing w:before="240" w:after="0"/>
        <w:jc w:val="left"/>
        <w:rPr/>
      </w:pPr>
      <w:r>
        <w:rPr/>
        <w:t>“</w:t>
      </w:r>
      <w:r>
        <w:rPr>
          <w:rFonts w:ascii="Times New Roman" w:hAnsi="Times New Roman"/>
          <w:b/>
          <w:sz w:val="20"/>
        </w:rPr>
        <w:t>Wire</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and Sale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Purchase and Sale</w:t>
      </w:r>
      <w:r>
        <w:rPr>
          <w:rFonts w:ascii="Times New Roman" w:hAnsi="Times New Roman"/>
          <w:sz w:val="20"/>
        </w:rPr>
        <w:t>. On the Closing Date, upon the terms and subject to the conditions set forth herein, the Company agrees to sell, and the Investors, severally and not jointly, agree to purchase, the number of Initial Shares equal to (rounded down to the nearest whole Initial Share) (i) the aggregate commitment amount set forth under the heading “</w:t>
      </w:r>
      <w:r>
        <w:rPr>
          <w:rFonts w:ascii="Times New Roman" w:hAnsi="Times New Roman"/>
          <w:b/>
          <w:sz w:val="20"/>
        </w:rPr>
        <w:t>Commitment Amount</w:t>
      </w:r>
      <w:r>
        <w:rPr>
          <w:rFonts w:ascii="Times New Roman" w:hAnsi="Times New Roman"/>
          <w:sz w:val="20"/>
        </w:rPr>
        <w:t>” and opposite such Investor’s name on Exhibit A (the “</w:t>
      </w:r>
      <w:r>
        <w:rPr>
          <w:rFonts w:ascii="Times New Roman" w:hAnsi="Times New Roman"/>
          <w:b/>
          <w:sz w:val="20"/>
        </w:rPr>
        <w:t>Commitment Amount</w:t>
      </w:r>
      <w:r>
        <w:rPr>
          <w:rFonts w:ascii="Times New Roman" w:hAnsi="Times New Roman"/>
          <w:sz w:val="20"/>
        </w:rPr>
        <w:t xml:space="preserve">”) divided by (ii) the Share Price.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Closing</w:t>
      </w:r>
      <w:r>
        <w:rPr>
          <w:rFonts w:ascii="Times New Roman" w:hAnsi="Times New Roman"/>
          <w:sz w:val="20"/>
        </w:rPr>
        <w:t xml:space="preserve">. Subject to the satisfaction or waiver of the conditions set forth in </w:t>
      </w:r>
      <w:r>
        <w:rPr>
          <w:rFonts w:ascii="Times New Roman" w:hAnsi="Times New Roman"/>
          <w:sz w:val="20"/>
          <w:u w:val="single"/>
        </w:rPr>
        <w:t>Section 5.13</w:t>
      </w:r>
      <w:r>
        <w:rPr>
          <w:rFonts w:ascii="Times New Roman" w:hAnsi="Times New Roman"/>
          <w:sz w:val="20"/>
        </w:rPr>
        <w:t>, the closing of the purchase and sale of the Securities (the “</w:t>
      </w:r>
      <w:r>
        <w:rPr>
          <w:rFonts w:ascii="Times New Roman" w:hAnsi="Times New Roman"/>
          <w:b/>
          <w:sz w:val="20"/>
        </w:rPr>
        <w:t>Closing</w:t>
      </w:r>
      <w:r>
        <w:rPr>
          <w:rFonts w:ascii="Times New Roman" w:hAnsi="Times New Roman"/>
          <w:sz w:val="20"/>
        </w:rPr>
        <w:t>” and the date on which the Closing occurs, the “</w:t>
      </w:r>
      <w:r>
        <w:rPr>
          <w:rFonts w:ascii="Times New Roman" w:hAnsi="Times New Roman"/>
          <w:b/>
          <w:sz w:val="20"/>
        </w:rPr>
        <w:t>Closing Date</w:t>
      </w:r>
      <w:r>
        <w:rPr>
          <w:rFonts w:ascii="Times New Roman" w:hAnsi="Times New Roman"/>
          <w:sz w:val="20"/>
        </w:rPr>
        <w:t>”) shall occur remotely via the exchange of documents and signatures immediately prior to the Merger Agreement Closing. Not less than three Business Days prior to the anticipated Closing Date, the Company shall provide written notice to the Investors (the “</w:t>
      </w:r>
      <w:r>
        <w:rPr>
          <w:rFonts w:ascii="Times New Roman" w:hAnsi="Times New Roman"/>
          <w:b/>
          <w:sz w:val="20"/>
        </w:rPr>
        <w:t>Closing Notice</w:t>
      </w:r>
      <w:r>
        <w:rPr>
          <w:rFonts w:ascii="Times New Roman" w:hAnsi="Times New Roman"/>
          <w:sz w:val="20"/>
        </w:rPr>
        <w:t xml:space="preserve">”) of the anticipated Closing Date and the wire instructions for delivery of the Aggregate Purchase Amount. At the Closing, the Securities shall be issued and registered in the name of such Investor, or in such nominee name(s) as designated by such Investor, representing the number of Securities to be purchased by such Investor at such Closing as set forth in </w:t>
      </w:r>
      <w:r>
        <w:rPr>
          <w:rFonts w:ascii="Times New Roman" w:hAnsi="Times New Roman"/>
          <w:sz w:val="20"/>
          <w:u w:val="single"/>
        </w:rPr>
        <w:t>Exhibit A</w:t>
      </w:r>
      <w:r>
        <w:rPr>
          <w:rFonts w:ascii="Times New Roman" w:hAnsi="Times New Roman"/>
          <w:sz w:val="20"/>
        </w:rPr>
        <w:t>, in each case against payment to the Company of the purchase price therefor (the “</w:t>
      </w:r>
      <w:r>
        <w:rPr>
          <w:rFonts w:ascii="Times New Roman" w:hAnsi="Times New Roman"/>
          <w:b/>
          <w:sz w:val="20"/>
        </w:rPr>
        <w:t>Aggregate Purchase Amount</w:t>
      </w:r>
      <w:r>
        <w:rPr>
          <w:rFonts w:ascii="Times New Roman" w:hAnsi="Times New Roman"/>
          <w:sz w:val="20"/>
        </w:rPr>
        <w:t>”) in full, by wire transfer to the Company of immediately available funds (a “</w:t>
      </w:r>
      <w:r>
        <w:rPr>
          <w:rFonts w:ascii="Times New Roman" w:hAnsi="Times New Roman"/>
          <w:b/>
          <w:sz w:val="20"/>
        </w:rPr>
        <w:t>Wire</w:t>
      </w:r>
      <w:r>
        <w:rPr>
          <w:rFonts w:ascii="Times New Roman" w:hAnsi="Times New Roman"/>
          <w:sz w:val="20"/>
        </w:rPr>
        <w:t xml:space="preserve">”), at or prior to the Closing, in accordance with wire instructions provided by the Company to the Investors in the Closing Notice. On the Closing Date, the Company will cause the Transfer Agent to issue the Initial Shares in book-entry form, free and clear of all restrictive and other legends (except as expressly provided in </w:t>
      </w:r>
      <w:r>
        <w:rPr>
          <w:rFonts w:ascii="Times New Roman" w:hAnsi="Times New Roman"/>
          <w:sz w:val="20"/>
          <w:u w:val="single"/>
        </w:rPr>
        <w:t>Section 4.10</w:t>
      </w:r>
      <w:r>
        <w:rPr>
          <w:rFonts w:ascii="Times New Roman" w:hAnsi="Times New Roman"/>
          <w:sz w:val="20"/>
        </w:rPr>
        <w:t xml:space="preserve"> hereof) and the Company shall provide evidence of such issuance from the Company’s Transfer Agent as soon as reasonably practical following the Closing Date to each Investor. If the Closing has not occurred within two (2) Business Days after the expected Closing Date, unless otherwise agreed by the Company and such Investor, the Company shall promptly (but no later than one (1) Business Day thereafter) return the previously wired Aggregate Purchase Amount to each respective Investor by wire transfer of United States dollars in immediately available funds to the account specified by each Investor, and any book entries for the Securities shall be deemed cancelled; </w:t>
      </w:r>
      <w:r>
        <w:rPr>
          <w:rFonts w:ascii="Times New Roman" w:hAnsi="Times New Roman"/>
          <w:sz w:val="20"/>
          <w:u w:val="single"/>
        </w:rPr>
        <w:t>provided</w:t>
      </w:r>
      <w:r>
        <w:rPr>
          <w:rFonts w:ascii="Times New Roman" w:hAnsi="Times New Roman"/>
          <w:sz w:val="20"/>
        </w:rPr>
        <w:t xml:space="preserve"> that, unless this Agreement has been terminated pursuant to </w:t>
      </w:r>
      <w:r>
        <w:rPr>
          <w:rFonts w:ascii="Times New Roman" w:hAnsi="Times New Roman"/>
          <w:sz w:val="20"/>
          <w:u w:val="single"/>
        </w:rPr>
        <w:t>Section 7</w:t>
      </w:r>
      <w:r>
        <w:rPr>
          <w:rFonts w:ascii="Times New Roman" w:hAnsi="Times New Roman"/>
          <w:sz w:val="20"/>
        </w:rPr>
        <w:t xml:space="preserve">, such return of funds shall not terminate this Agreement or relieve such Investor of its obligation to purchase, or the Company of its obligation to issue and sell, the Securities at the Closing. Notwithstanding the foregoing and anything in this Agreement to the contrary, as may be agreed to among the Company and one or more Investors, if an Investor is (i) an investment company registered under the Investment Company Act of 1940, as amended, (ii) advised by an investment adviser subject to regulation under the Investment Advisers Act of 1940, as amended, or (iii) otherwise subject to internal policies and/or procedures relating to the timing of funding and issuance of securities, such Investor shall not be required to wire its Aggregate Purchase Amount until it confirms receipt of evidence of the issuance of such Investor’s Initial Shares from the Transfer Agent in form and substance reasonably acceptable to the Investor (and the Company shall use reasonable best efforts to cause the Transfer Agent to deliver such evidence).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 of the Company</w:t>
      </w:r>
      <w:r>
        <w:rPr>
          <w:rFonts w:ascii="Times New Roman" w:hAnsi="Times New Roman"/>
          <w:sz w:val="20"/>
        </w:rPr>
        <w:t xml:space="preserve">. The Company hereby represents and warrants to each of the Investors that the statements contained in this </w:t>
      </w:r>
      <w:r>
        <w:rPr>
          <w:rFonts w:ascii="Times New Roman" w:hAnsi="Times New Roman"/>
          <w:sz w:val="20"/>
          <w:u w:val="single"/>
        </w:rPr>
        <w:t>Section 3</w:t>
      </w:r>
      <w:r>
        <w:rPr>
          <w:rFonts w:ascii="Times New Roman" w:hAnsi="Times New Roman"/>
          <w:sz w:val="20"/>
        </w:rPr>
        <w:t xml:space="preserve"> are true and correct as of the date hereof and as of the Closing Date (except for the representations and warranties that speak as of a specific date, which shall be made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Organization and Power</w:t>
      </w:r>
      <w:r>
        <w:rPr>
          <w:rFonts w:ascii="Times New Roman" w:hAnsi="Times New Roman"/>
          <w:sz w:val="20"/>
        </w:rPr>
        <w:t xml:space="preserve">. The Company is a corporation duly organized, validly existing and in good standing under the laws of the State of Delaware, has the requisite power and authority to own, lease and operate its properties and to carry on its business as now conducted and is qualified to do business in each jurisdiction in which the character of its properties or the nature of its business requires such qualification, except where such failure to be in good standing or to have such power and authority or to so qualify would not reasonably be expected to have a Material Adverse Effect. Each of the Company’s subsidiaries is (i) duly incorporated and validly existing and in good standing under the laws of the jurisdiction of its incorporation and has the requisite power and authority to carry on its business as now conducted and to own or lease its properties and (ii) qualified to do business as a foreign corporation and in good standing in each jurisdiction in which such qualification is required, except in each case as would not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Capitalization</w:t>
      </w:r>
      <w:r>
        <w:rPr>
          <w:rFonts w:ascii="Times New Roman" w:hAnsi="Times New Roman"/>
          <w:sz w:val="20"/>
        </w:rPr>
        <w:t xml:space="preserve">. The authorized capital stock of the Company as of the date hereof consists of 40,000,000 shares of Common Stock and 32,378,552 shares of preferred stock, par value $$0.00001 per share. All of the issued and outstanding shares of Common Stock have been duly authorized and validly issued and are fully paid and non-assessable. None of the outstanding shares of capital stock of the Company were issued in violation of any preemptive or other similar rights of any securityholder of the Company which have not been waived, and such shares were issued in compliance in all material respects with applicable state and federal securities law and any rights of third parties.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Registration Rights</w:t>
      </w:r>
      <w:r>
        <w:rPr>
          <w:rFonts w:ascii="Times New Roman" w:hAnsi="Times New Roman"/>
          <w:sz w:val="20"/>
        </w:rPr>
        <w:t xml:space="preserve">. Except as set forth in or contemplated by the Transaction Agreements (including in </w:t>
      </w:r>
      <w:r>
        <w:rPr>
          <w:rFonts w:ascii="Times New Roman" w:hAnsi="Times New Roman"/>
          <w:sz w:val="20"/>
          <w:u w:val="single"/>
        </w:rPr>
        <w:t>Section 3.7</w:t>
      </w:r>
      <w:r>
        <w:rPr>
          <w:rFonts w:ascii="Times New Roman" w:hAnsi="Times New Roman"/>
          <w:sz w:val="20"/>
        </w:rPr>
        <w:t xml:space="preserve">), the Company is presently not under any obligation, and has not granted any rights, to register under the Securities Act any of the Company’s presently outstanding securities or any of its securities that may hereafter be issued that have not expired or been satisfied or waived.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Authorization</w:t>
      </w:r>
      <w:r>
        <w:rPr>
          <w:rFonts w:ascii="Times New Roman" w:hAnsi="Times New Roman"/>
          <w:sz w:val="20"/>
        </w:rPr>
        <w:t>. The Company has all requisite corporate power and authority to enter into the Transaction Agreements and to carry out and perform its obligations under the terms of the Transaction Agreements, including the issuance and sale of the Securities. Except as contemplated by the Merger Agreement, all corporate action on the part of the Company, its officers, directors and stockholders necessary for the authorization of the Securities, the authorization, execution, delivery and performance of the Transaction Agreements and the consummation of the transactions contemplated herein, including the issuance and sale of the Securities, has been taken, including, without limitation, the approval of the Board of Directors (or a committee thereof) in accordance with Section 144(a)(1) or 144(b)(1) of the Delaware General Corporation Law, as amended or superseded from time to time (the “</w:t>
      </w:r>
      <w:r>
        <w:rPr>
          <w:rFonts w:ascii="Times New Roman" w:hAnsi="Times New Roman"/>
          <w:b/>
          <w:sz w:val="20"/>
        </w:rPr>
        <w:t>DGCL</w:t>
      </w:r>
      <w:r>
        <w:rPr>
          <w:rFonts w:ascii="Times New Roman" w:hAnsi="Times New Roman"/>
          <w:sz w:val="20"/>
        </w:rPr>
        <w:t xml:space="preserve">”). This Agreement has been duly executed and delivered by the Company and assuming the due authorization, execution and delivery by each Investor and that this Agreement constitutes the legal, valid and binding agreement of each Investor, this Agreement constitutes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execution by the Company and the other parties thereto and assuming that it constitutes legal, valid and binding agreements of the other parties thereto, the Registration Rights Agreement will constitute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Valid Issuance</w:t>
      </w:r>
      <w:r>
        <w:rPr>
          <w:rFonts w:ascii="Times New Roman" w:hAnsi="Times New Roman"/>
          <w:sz w:val="20"/>
        </w:rPr>
        <w:t xml:space="preserve">. The Initial Shares being purchased by the Investors hereunder have been duly and validly authorized and, upon issuance pursuant to the terms hereof, against full payment therefor in accordance with the terms of this Agreement,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Initial Shares shall be entitled to all rights accorded to a holder of Common Stock. The issuance and delivery of the Initial Shares does not (a) obligate the Company to offer to issue, or issue, shares of Common Stock or other securities to any Person (other than the Investors) pursuant to any preemptive rights, rights of first refusal, rights of participation or similar rights, or (b) result in any adjustment (automatic, at the election of any Person or otherwise) of the exercise, conversion, exchange or reset price under, or any other anti-dilution adjustment pursuant to, any outstanding securities of the Company. Subject to the accuracy of the representations and warranties made by the Investors in </w:t>
      </w:r>
      <w:r>
        <w:rPr>
          <w:rFonts w:ascii="Times New Roman" w:hAnsi="Times New Roman"/>
          <w:sz w:val="20"/>
          <w:u w:val="single"/>
        </w:rPr>
        <w:t>Section 4</w:t>
      </w:r>
      <w:r>
        <w:rPr>
          <w:rFonts w:ascii="Times New Roman" w:hAnsi="Times New Roman"/>
          <w:sz w:val="20"/>
        </w:rPr>
        <w:t xml:space="preserve"> hereof, the offer and sale of the Securities to the Investors is and will be in compliance with applicable exemptions from (i) the registration and prospectus delivery requirements of the Securities Act and (ii) the registration and qualification requirements of applicable securities laws of the states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No Conflict</w:t>
      </w:r>
      <w:r>
        <w:rPr>
          <w:rFonts w:ascii="Times New Roman" w:hAnsi="Times New Roman"/>
          <w:sz w:val="20"/>
        </w:rPr>
        <w:t xml:space="preserve">. The execution, delivery and performance of the Transaction Agreements by the Company, the issuance and sale of the Securities and the consummation of the other transactions contemplated by the Transaction Agreements will not (i) violate any provision of the Certificate of Incorporation or Bylaws, (ii) conflict with or result in a violation of or default (with or without notice or lapse of time,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Company or any subsidiary or their respective properties or assets, or (iii) result in a violation of any law, rule, regulation, order, judgment, injunction, decree or other restriction of any court or governmental authority to which the Company or any subsidiary is subject (including federal and state securities laws and regulations) and the rules and regulations of any self-regulatory organization to which the Company or its securities are subject, or by which any property or asset of the Company or any subsidiary is bound or affected, except, in the case of clauses (ii) and (iii), as would not, individually or in the aggregate, be reasonably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Consents</w:t>
      </w:r>
      <w:r>
        <w:rPr>
          <w:rFonts w:ascii="Times New Roman" w:hAnsi="Times New Roman"/>
          <w:sz w:val="20"/>
        </w:rPr>
        <w:t xml:space="preserve">. Assuming the accuracy of the representations and warranties of the Investors in </w:t>
      </w:r>
      <w:r>
        <w:rPr>
          <w:rFonts w:ascii="Times New Roman" w:hAnsi="Times New Roman"/>
          <w:sz w:val="20"/>
          <w:u w:val="single"/>
        </w:rPr>
        <w:t>Section 4</w:t>
      </w:r>
      <w:r>
        <w:rPr>
          <w:rFonts w:ascii="Times New Roman" w:hAnsi="Times New Roman"/>
          <w:sz w:val="20"/>
        </w:rPr>
        <w:t xml:space="preserve"> and except as set forth in the Merger Agreement, no consent, approval, authorization, filing with or order of or registration with, any court or governmental agency or body is required in connection with the authorization, execution or delivery by the Company of the Transaction Agreements, the issuance and sale of the Securities and the performance by the Company of its other obligations under the Transaction Agreements, except such as (a) have been or will be obtained or made under the Securities Act or the Exchange Act, (b) the filing of any requisite notices and/or application(s) to the National Exchange for the issuance and sale of the Shares and the listing of the Shares for trading or quotation, as the case may be, thereon in the time and manner required thereby, (c) customary post-closing filings with the SEC or pursuant to state securities laws in connection with the offer and sale of the Shares by the Company in the manner contemplated herein, which will be filed on a timely basis, (d) the filing of the registration statement required to be filed by the Registration Rights Agreement, or (e) such that the failure of which to obtain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Financial Statements</w:t>
      </w:r>
      <w:r>
        <w:rPr>
          <w:rFonts w:ascii="Times New Roman" w:hAnsi="Times New Roman"/>
          <w:sz w:val="20"/>
        </w:rPr>
        <w:t>. The statement of operations and comprehensive loss data for the fiscal year ended December 31, 2025 and summary balance sheet data as of December 31, 2025 of the Company (collectively, the “</w:t>
      </w:r>
      <w:r>
        <w:rPr>
          <w:rFonts w:ascii="Times New Roman" w:hAnsi="Times New Roman"/>
          <w:b/>
          <w:sz w:val="20"/>
        </w:rPr>
        <w:t>Financial Statements</w:t>
      </w:r>
      <w:r>
        <w:rPr>
          <w:rFonts w:ascii="Times New Roman" w:hAnsi="Times New Roman"/>
          <w:sz w:val="20"/>
        </w:rPr>
        <w:t>”) comply in all material respects with applicable accounting requirements with respect thereto as in effect at the time of filing or public distribution (or to the extent corrected by a subsequent restatement) and fairly present in all material respects the financial position of the Company and its subsidiaries as of the dates indicated, and the results of its operations and cash flows for the periods therein specified, all in accordance with United States generally accepted accounting principles (“</w:t>
      </w:r>
      <w:r>
        <w:rPr>
          <w:rFonts w:ascii="Times New Roman" w:hAnsi="Times New Roman"/>
          <w:b/>
          <w:sz w:val="20"/>
        </w:rPr>
        <w:t>GAAP</w:t>
      </w:r>
      <w:r>
        <w:rPr>
          <w:rFonts w:ascii="Times New Roman" w:hAnsi="Times New Roman"/>
          <w:sz w:val="20"/>
        </w:rPr>
        <w:t xml:space="preserve">”) (except as otherwise noted therein and except that the unaudited financial statements may not contain footnotes and other presentation items required by GAAP and are subject to normal and recurring year-end adjustments) applied on a consistent basis unless otherwise noted therein throughout the periods therein specified. Except as set forth in the Financial Statements filed prior to the date hereof, the Company has not incurred any liabilities, contingent or otherwise, except (i) those incurred in the ordinary course of business, consistent with past practices since the date of such Financial Statements or (ii) liabilities not required under GAAP to be reflected in the Financial Statements, in either case, none of which, individually or in the aggregate, have had or would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Absence of Changes</w:t>
      </w:r>
      <w:r>
        <w:rPr>
          <w:rFonts w:ascii="Times New Roman" w:hAnsi="Times New Roman"/>
          <w:sz w:val="20"/>
        </w:rPr>
        <w:t xml:space="preserve">. Except for the execution and performance of the Transaction Agreements, and the discussions, negotiations, and transactions preceding or related thereto, since December 31, 2025: (a) the Company has conducted its business only in the ordinary course of business and there have been no material transactions entered into by the Company; (b) no material change to any material contract or arrangement by which the Company is bound or to which any of its assets or properties is subject has been entered into that has not been disclosed to the Investors; and (c) there has not been any other event or condition of any character that has had or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3.10 </w:t>
      </w:r>
      <w:r>
        <w:rPr>
          <w:rFonts w:ascii="Times New Roman" w:hAnsi="Times New Roman"/>
          <w:sz w:val="20"/>
          <w:u w:val="single"/>
        </w:rPr>
        <w:t>Absence of Litigation</w:t>
      </w:r>
      <w:r>
        <w:rPr>
          <w:rFonts w:ascii="Times New Roman" w:hAnsi="Times New Roman"/>
          <w:sz w:val="20"/>
        </w:rPr>
        <w:t xml:space="preserve">. There is no action, suit, proceeding, arbitration, claim, investigation, charge, complaint or inquiry pending or, to the Company’s knowledge, threatened against the Company or any subsidiary which, individually or in the aggregate, has had or would reasonably be expected to have a Material Adverse Effect, nor are there any orders, writs, injunctions, judgments or decrees outstanding of any court or government agency or instrumentality and binding upon the Company or any subsidiary that have had or would reasonably be expected to have a Material Adverse Effect. Neither the Company nor any subsidiary, nor to the knowledge of the Company, any director or officer of the Company or any subsidiary, is, or within the last ten (10) years has been, the subject of any action involving a claim of violation of or liability under federal or state securities laws relating to the Company or such subsidiary or a claim of breach of fiduciary duty relating to the Company or such subsidiary. </w:t>
      </w:r>
    </w:p>
    <w:p>
      <w:pPr>
        <w:pStyle w:val="TextBody"/>
        <w:bidi w:val="0"/>
        <w:spacing w:before="240" w:after="0"/>
        <w:jc w:val="left"/>
        <w:rPr>
          <w:rFonts w:ascii="Times New Roman" w:hAnsi="Times New Roman"/>
          <w:sz w:val="20"/>
        </w:rPr>
      </w:pPr>
      <w:r>
        <w:rPr>
          <w:rFonts w:ascii="Times New Roman" w:hAnsi="Times New Roman"/>
          <w:sz w:val="20"/>
        </w:rPr>
        <w:t xml:space="preserve">3.11 </w:t>
      </w:r>
      <w:r>
        <w:rPr>
          <w:rFonts w:ascii="Times New Roman" w:hAnsi="Times New Roman"/>
          <w:sz w:val="20"/>
          <w:u w:val="single"/>
        </w:rPr>
        <w:t>Compliance with Law; Permits</w:t>
      </w:r>
      <w:r>
        <w:rPr>
          <w:rFonts w:ascii="Times New Roman" w:hAnsi="Times New Roman"/>
          <w:sz w:val="20"/>
        </w:rPr>
        <w:t>. None of the Company or any subsidiary is in violation of, or has received any notices of violations with respect to, any laws, statutes, ordinances, rules or regulations of any governmental body, court or government agency or instrumentality, except for violations which, individually or in the aggregate, have not had and would not reasonably be expected to have a Material Adverse Effect. The Company and its subsidiaries have all required licenses, permits, certificates and other authorizations (collectively, “</w:t>
      </w:r>
      <w:r>
        <w:rPr>
          <w:rFonts w:ascii="Times New Roman" w:hAnsi="Times New Roman"/>
          <w:b/>
          <w:sz w:val="20"/>
        </w:rPr>
        <w:t>Governmental Authorizations</w:t>
      </w:r>
      <w:r>
        <w:rPr>
          <w:rFonts w:ascii="Times New Roman" w:hAnsi="Times New Roman"/>
          <w:sz w:val="20"/>
        </w:rPr>
        <w:t xml:space="preserve">”) from such federal, state or local government or governmental agency, department or body that are currently necessary for the operation of the business of the Company and its subsidiaries as currently conducted, except where the failure to possess currently such Governmental Authorizations has not had and is not reasonably expected to have a Material Adverse Effect. None of the Company 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3.12 </w:t>
      </w:r>
      <w:r>
        <w:rPr>
          <w:rFonts w:ascii="Times New Roman" w:hAnsi="Times New Roman"/>
          <w:sz w:val="20"/>
          <w:u w:val="single"/>
        </w:rPr>
        <w:t>Intellectual Property</w:t>
      </w:r>
      <w:r>
        <w:rPr>
          <w:rFonts w:ascii="Times New Roman" w:hAnsi="Times New Roman"/>
          <w:sz w:val="20"/>
        </w:rPr>
        <w:t>. The Company and its subsidiaries own, or have rights to use, all material inventions, patent applications, patents, trademarks, trade names, service names, service marks, copyrights, trade secrets, know how (including unpatented and/or unpatentable proprietary or confidential information, systems or procedures) and other intellectual property necessary for, or used in the conduct of their respective businesses (collectively, “</w:t>
      </w:r>
      <w:r>
        <w:rPr>
          <w:rFonts w:ascii="Times New Roman" w:hAnsi="Times New Roman"/>
          <w:b/>
          <w:sz w:val="20"/>
        </w:rPr>
        <w:t>Intellectual Property</w:t>
      </w:r>
      <w:r>
        <w:rPr>
          <w:rFonts w:ascii="Times New Roman" w:hAnsi="Times New Roman"/>
          <w:sz w:val="20"/>
        </w:rPr>
        <w:t xml:space="preserve">”), except where any failure to own, possess or acquire such Intellectual Property has not had, and would not, individually or in the aggregate, reasonably be expected to have a Material Adverse Effect. The Intellectual Property of the Company and its subsidiaries has not been adjudged by a court of competent jurisdiction to be invalid or unenforceable, in whole or in part. To the Company’s knowledge: (i) there are no third parties who have rights to any Intellectual Property, including no liens, security interests, or other encumbrances; and (ii) there is no infringement by third parties of any Intellectual Property, except, in each case, which, individually or in the aggregate, have not had and would not reasonably be expected to have a Material Adverse Effect. No action, suit, or other proceeding is pending, or, to the Company’s knowledge, is threatened: (A) challenging the Company’s or its subsidiaries’ rights in or to any Intellectual Property; (B) challenging the validity, enforceability or scope of any Intellectual Property; or (C) alleging that the Company or any of its subsidiaries infringes, misappropriates, or otherwise violates any patent, trademark, trade name, service name, copyright, trade secret or other proprietary rights of others, except, in each case, which, individually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in the aggregate, have not had and would not reasonably be expected to have a Material Adverse Effect. The Company and its subsidiaries have complied in all material respects with the terms of each agreement pursuant to which Intellectual Property has been licensed to the Company or any of its subsidiaries in all material respects, and to the Company’s knowledge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3.13 </w:t>
      </w:r>
      <w:r>
        <w:rPr>
          <w:rFonts w:ascii="Times New Roman" w:hAnsi="Times New Roman"/>
          <w:sz w:val="20"/>
          <w:u w:val="single"/>
        </w:rPr>
        <w:t>Employee Benefits</w:t>
      </w:r>
      <w:r>
        <w:rPr>
          <w:rFonts w:ascii="Times New Roman" w:hAnsi="Times New Roman"/>
          <w:sz w:val="20"/>
        </w:rPr>
        <w:t xml:space="preserve">. Except as would not be reasonably likely to result in a Material Adverse Effect, each Benefit Plan has been established and administered in accordance with its terms and in compliance with the applicable provisions of ERISA, the Code, the Patient Protection and Affordable Care Act of 2010, as amended, and other applicable laws, rules and regulations. The Company and its subsidiaries are in compliance with all applicable federal, state and local laws, rules and regulations regarding employment, except for any failures to comply that are not reasonably likely, individually or in the aggregate, to have a Material Adverse Effect. There is no labor dispute, strike or work stoppage against the Company or its subsidiaries pending or, to the knowledge of the Company, threatened which may interfere with the business activities of the Company, except where such dispute, strike or work stoppage is not reasonably likely, individually or in the aggregate,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3.14 </w:t>
      </w:r>
      <w:r>
        <w:rPr>
          <w:rFonts w:ascii="Times New Roman" w:hAnsi="Times New Roman"/>
          <w:sz w:val="20"/>
          <w:u w:val="single"/>
        </w:rPr>
        <w:t>Taxes</w:t>
      </w:r>
      <w:r>
        <w:rPr>
          <w:rFonts w:ascii="Times New Roman" w:hAnsi="Times New Roman"/>
          <w:sz w:val="20"/>
        </w:rPr>
        <w:t xml:space="preserve">. The Company and its subsidiaries have filed all federal, state and foreign income Tax Returns and other Tax Returns required to have been filed under applicable law (or extensions have been duly obtained) and have paid all Taxes required to have been paid by them, except for those which are being contested in good faith and except where failure to file such Tax Returns or pay such Taxes would not, individually or in the aggregate, reasonably be expected to have a Material Adverse Effect. No assessment in connection with United States federal tax returns has been made against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 No audits, examinations, or other proceedings with respect to any material amounts of Taxes of the Company and its subsidiaries are presently in progress or have been asserted or proposed in writing without subsequently being paid, settled or withdrawn. There are no liens on any of the assets of the Company. The Company, at all times since inception, has been and continues to be classified as a corporation for U.S. federal income tax purposes. Neither the Company nor any of its subsidiaries has been a United States real property holding corporation within the meaning of Code Section 897(c)(2) during the period specified in Code Section 897(c)(1)(A)(ii). </w:t>
      </w:r>
    </w:p>
    <w:p>
      <w:pPr>
        <w:pStyle w:val="TextBody"/>
        <w:bidi w:val="0"/>
        <w:spacing w:before="240" w:after="0"/>
        <w:jc w:val="left"/>
        <w:rPr>
          <w:rFonts w:ascii="Times New Roman" w:hAnsi="Times New Roman"/>
          <w:sz w:val="20"/>
        </w:rPr>
      </w:pPr>
      <w:r>
        <w:rPr>
          <w:rFonts w:ascii="Times New Roman" w:hAnsi="Times New Roman"/>
          <w:sz w:val="20"/>
        </w:rPr>
        <w:t xml:space="preserve">3.15 </w:t>
      </w:r>
      <w:r>
        <w:rPr>
          <w:rFonts w:ascii="Times New Roman" w:hAnsi="Times New Roman"/>
          <w:sz w:val="20"/>
          <w:u w:val="single"/>
        </w:rPr>
        <w:t>Environmental Laws</w:t>
      </w:r>
      <w:r>
        <w:rPr>
          <w:rFonts w:ascii="Times New Roman" w:hAnsi="Times New Roman"/>
          <w:sz w:val="20"/>
        </w:rPr>
        <w:t>.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hAnsi="Times New Roman"/>
          <w:b/>
          <w:sz w:val="20"/>
        </w:rPr>
        <w:t>Environmental Laws</w:t>
      </w:r>
      <w:r>
        <w:rPr>
          <w:rFonts w:ascii="Times New Roman" w:hAnsi="Times New Roman"/>
          <w:sz w:val="20"/>
        </w:rPr>
        <w:t xml:space="preserve">”), (ii) have received all permits and other Governmental Authorizations required under applicable Environmental Laws to conduct its business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reasonably be expected to have a Material Adverse Effect. None of the Company or any subsidiary has received since the Company’s inception, any written notice or other communication (in writing or otherwise), whether from a governmental authority or other Person, that alleges that the Company or any subsidiary is not in compliance with any Environmental Law and, to the knowledge of the Company, there are no circumstances that may prevent or interfere with the Company’s or any subsidiary’s compliance with any Environmental Law in the future, except where such failure to comply would not reasonably be expected to have a Material Adverse Effect. To the knowledge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(i) no current or (during the time a prior property was leased or controlled by the Company) prior property leased or controlled by the Company or any subsidiary has received since inception, any written notice or other communication relating to property owned or leased at any time by the Company, whether from a governmental authority, or other Person, that alleges that such current or prior owner or the Company or any subsidiary is not in compliance with or violated any Environmental Law relating to such property and (ii) the Company has no material liability under any Environmental Law. </w:t>
      </w:r>
    </w:p>
    <w:p>
      <w:pPr>
        <w:pStyle w:val="TextBody"/>
        <w:bidi w:val="0"/>
        <w:spacing w:before="240" w:after="0"/>
        <w:jc w:val="left"/>
        <w:rPr>
          <w:rFonts w:ascii="Times New Roman" w:hAnsi="Times New Roman"/>
          <w:sz w:val="20"/>
        </w:rPr>
      </w:pPr>
      <w:r>
        <w:rPr>
          <w:rFonts w:ascii="Times New Roman" w:hAnsi="Times New Roman"/>
          <w:sz w:val="20"/>
        </w:rPr>
        <w:t xml:space="preserve">3.16 </w:t>
      </w:r>
      <w:r>
        <w:rPr>
          <w:rFonts w:ascii="Times New Roman" w:hAnsi="Times New Roman"/>
          <w:sz w:val="20"/>
          <w:u w:val="single"/>
        </w:rPr>
        <w:t>Title</w:t>
      </w:r>
      <w:r>
        <w:rPr>
          <w:rFonts w:ascii="Times New Roman" w:hAnsi="Times New Roman"/>
          <w:sz w:val="20"/>
        </w:rPr>
        <w:t xml:space="preserve">. Each of the Company and its subsidiaries has good and marketable title to all personal property owned by it that is material to the business of the Company, free and clear of all liens, encumbrances and defects except such as do not materially affect the value of such property and do not materially and adversely interfere with the use made and proposed to be made of such property by the Company or its subsidiaries, as the case may be. Any real property and buildings held under lease by the Company or its subsidiaries is held under valid, subsisting and enforceable leases with such exceptions as are not material and do not materially and adversely interfere with the use made and proposed to be made of such property and buildings by the Company or its subsidiaries, as the case may be. The Company does not own any real property. </w:t>
      </w:r>
    </w:p>
    <w:p>
      <w:pPr>
        <w:pStyle w:val="TextBody"/>
        <w:bidi w:val="0"/>
        <w:spacing w:before="240" w:after="0"/>
        <w:jc w:val="left"/>
        <w:rPr>
          <w:rFonts w:ascii="Times New Roman" w:hAnsi="Times New Roman"/>
          <w:sz w:val="20"/>
        </w:rPr>
      </w:pPr>
      <w:r>
        <w:rPr>
          <w:rFonts w:ascii="Times New Roman" w:hAnsi="Times New Roman"/>
          <w:sz w:val="20"/>
        </w:rPr>
        <w:t xml:space="preserve">3.17 </w:t>
      </w:r>
      <w:r>
        <w:rPr>
          <w:rFonts w:ascii="Times New Roman" w:hAnsi="Times New Roman"/>
          <w:sz w:val="20"/>
          <w:u w:val="single"/>
        </w:rPr>
        <w:t>Insurance</w:t>
      </w:r>
      <w:r>
        <w:rPr>
          <w:rFonts w:ascii="Times New Roman" w:hAnsi="Times New Roman"/>
          <w:sz w:val="20"/>
        </w:rPr>
        <w:t xml:space="preserve">. The Company carries or is entitled to the benefits of insurance in such amounts and covering such risks that is customary for comparably situated companies and is adequate for the conduct of its business and the value of its properties (owned or leased) and assets, and each of such insurance policies is in full force and effect and the Company is in compliance in all material respects with the terms thereof. Other than customary end of policy notifications from insurance carriers, since the Company’s inception, the Company has not received any notice or other communication regarding any actual or possible: (i) cancellation or invalidation of any insurance policy or (ii) refusal or denial of any coverage, reservation of rights or rejection of any material claim under any insurance policy. </w:t>
      </w:r>
    </w:p>
    <w:p>
      <w:pPr>
        <w:pStyle w:val="TextBody"/>
        <w:bidi w:val="0"/>
        <w:spacing w:before="240" w:after="0"/>
        <w:jc w:val="left"/>
        <w:rPr>
          <w:rFonts w:ascii="Times New Roman" w:hAnsi="Times New Roman"/>
          <w:sz w:val="20"/>
        </w:rPr>
      </w:pPr>
      <w:r>
        <w:rPr>
          <w:rFonts w:ascii="Times New Roman" w:hAnsi="Times New Roman"/>
          <w:sz w:val="20"/>
        </w:rPr>
        <w:t xml:space="preserve">3.18 </w:t>
      </w:r>
      <w:r>
        <w:rPr>
          <w:rFonts w:ascii="Times New Roman" w:hAnsi="Times New Roman"/>
          <w:sz w:val="20"/>
          <w:u w:val="single"/>
        </w:rPr>
        <w:t>Clinical Data and Regulatory Compliance</w:t>
      </w:r>
      <w:r>
        <w:rPr>
          <w:rFonts w:ascii="Times New Roman" w:hAnsi="Times New Roman"/>
          <w:sz w:val="20"/>
        </w:rPr>
        <w:t>. Except as would not reasonably be expected to result in a Material Adverse Effect: (i) the preclinical tests and clinical trials, and other studies used to support regulatory approval (collectively, “</w:t>
      </w:r>
      <w:r>
        <w:rPr>
          <w:rFonts w:ascii="Times New Roman" w:hAnsi="Times New Roman"/>
          <w:b/>
          <w:sz w:val="20"/>
        </w:rPr>
        <w:t>studies</w:t>
      </w:r>
      <w:r>
        <w:rPr>
          <w:rFonts w:ascii="Times New Roman" w:hAnsi="Times New Roman"/>
          <w:sz w:val="20"/>
        </w:rPr>
        <w:t>”) being conducted or on behalf of, or sponsored by the Company or its subsidiaries were and, if still pending, are being conducted in all material respects in accordance with the protocols, procedures and controls designed and approved for such studies and with standard medical and scientific research procedures; (ii) each description of the results of such studies described in the Company Presentation is accurate and complete in all material respects and fairly presents the data derived from such studies, and the Company and its subsidiaries have no knowledge of any other studies (A) the results of which are inconsistent with, or otherwise call into question, the results described or referred to in the Company Presentation or (B) would be required to be disclosed in accordance with the Exchange Act; (iii) the Company and its subsidiaries have made or will make all such filings and obtained all such approvals as may be required by the FDA or from any other U.S. federal, state or local government or foreign government or Drug Regulatory Agency, or Institutional Review Board, each having jurisdiction over biopharmaceutical products (collectively, the “</w:t>
      </w:r>
      <w:r>
        <w:rPr>
          <w:rFonts w:ascii="Times New Roman" w:hAnsi="Times New Roman"/>
          <w:b/>
          <w:sz w:val="20"/>
        </w:rPr>
        <w:t>Regulatory Agencies</w:t>
      </w:r>
      <w:r>
        <w:rPr>
          <w:rFonts w:ascii="Times New Roman" w:hAnsi="Times New Roman"/>
          <w:sz w:val="20"/>
        </w:rPr>
        <w:t xml:space="preserve">”) for the conduct of its business as described in the Company Presentation; (iv) neither the Company nor any of its subsidiaries has received any notice of, or correspondence from, any Regulatory Agency requiring the termination or suspension of or imposing any clinical hold on any clinical trials; and (v) the Company and its subsidiaries have each operated and currently are in compliance in all material respects with all applicable rules, regulations and policies of the Regulatory Agencies. </w:t>
      </w:r>
    </w:p>
    <w:p>
      <w:pPr>
        <w:pStyle w:val="TextBody"/>
        <w:bidi w:val="0"/>
        <w:spacing w:before="240" w:after="0"/>
        <w:jc w:val="left"/>
        <w:rPr>
          <w:rFonts w:ascii="Times New Roman" w:hAnsi="Times New Roman"/>
          <w:sz w:val="20"/>
        </w:rPr>
      </w:pPr>
      <w:r>
        <w:rPr>
          <w:rFonts w:ascii="Times New Roman" w:hAnsi="Times New Roman"/>
          <w:sz w:val="20"/>
        </w:rPr>
        <w:t xml:space="preserve">3.19 </w:t>
      </w:r>
      <w:r>
        <w:rPr>
          <w:rFonts w:ascii="Times New Roman" w:hAnsi="Times New Roman"/>
          <w:sz w:val="20"/>
          <w:u w:val="single"/>
        </w:rPr>
        <w:t>Compliance with Health Care Laws</w:t>
      </w:r>
      <w:r>
        <w:rPr>
          <w:rFonts w:ascii="Times New Roman" w:hAnsi="Times New Roman"/>
          <w:sz w:val="20"/>
        </w:rPr>
        <w:t>. The Company and its subsidiaries are in compliance in all material respects with all Health Care Laws to the extent applicable to the Company’s current business and research use only products. For purposes of this Agreement, “</w:t>
      </w:r>
      <w:r>
        <w:rPr>
          <w:rFonts w:ascii="Times New Roman" w:hAnsi="Times New Roman"/>
          <w:b/>
          <w:sz w:val="20"/>
        </w:rPr>
        <w:t>Health Care Laws</w:t>
      </w:r>
      <w:r>
        <w:rPr>
          <w:rFonts w:ascii="Times New Roman" w:hAnsi="Times New Roman"/>
          <w:sz w:val="20"/>
        </w:rPr>
        <w:t xml:space="preserve">” means: (i) the Federal Food, Drug, and Cosmetic Act (21 U.S.C. Section 301 et seq.) and the Public Health Service Act (42 U.S.C. Section 201 et seq.), and the regulations promulgated thereunder; (ii) all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federal, state, local and foreign health care fraud and abuse laws, including, without limitation, the Anti-Kickback Statute (42 U.S.C. Section 1320a-7b(b)); (iii) HIPAA, as amended by the Health Information Technology for Economic and Clinical Health Act (42 U.S.C. Section 17921 et seq.); (iv) the Patient Protection and Affordable Care Act of 2010, as amended by the Health Care and Education Reconciliation Act of 2010; (v) the European Union (“</w:t>
      </w:r>
      <w:r>
        <w:rPr>
          <w:rFonts w:ascii="Times New Roman" w:hAnsi="Times New Roman"/>
          <w:b/>
          <w:sz w:val="20"/>
        </w:rPr>
        <w:t>EU</w:t>
      </w:r>
      <w:r>
        <w:rPr>
          <w:rFonts w:ascii="Times New Roman" w:hAnsi="Times New Roman"/>
          <w:sz w:val="20"/>
        </w:rPr>
        <w:t xml:space="preserve">”) Clinical Trials Regulation (Regulation (EU) No. 536/2014); (vi) the EU Regulation regarding community procedures for authorization and supervision of medicinal products for human and veterinary use and establishing a European Medicines Agency (Regulation (EC) No. 726/2004); (vii) licensure, quality, safety and accreditation requirements under applicable federal, state, local or foreign laws or regulatory bodies; (viii) all other local, state, federal, national, supranational and foreign laws, relating to the regulation of the Company or its subsidiaries, and (ix) the regulations promulgated pursuant to such statutes and any state or non-U.S. counterpart thereof. Neither the Company nor any of its subsidiaries has received written or, to the Company’s knowledge, oral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to the knowledge of the Company,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 </w:t>
      </w:r>
    </w:p>
    <w:p>
      <w:pPr>
        <w:pStyle w:val="TextBody"/>
        <w:bidi w:val="0"/>
        <w:spacing w:before="240" w:after="0"/>
        <w:jc w:val="left"/>
        <w:rPr>
          <w:rFonts w:ascii="Times New Roman" w:hAnsi="Times New Roman"/>
          <w:sz w:val="20"/>
        </w:rPr>
      </w:pPr>
      <w:r>
        <w:rPr>
          <w:rFonts w:ascii="Times New Roman" w:hAnsi="Times New Roman"/>
          <w:sz w:val="20"/>
        </w:rPr>
        <w:t xml:space="preserve">3.20 </w:t>
      </w:r>
      <w:r>
        <w:rPr>
          <w:rFonts w:ascii="Times New Roman" w:hAnsi="Times New Roman"/>
          <w:sz w:val="20"/>
          <w:u w:val="single"/>
        </w:rPr>
        <w:t>Accounting Controls and Disclosure Controls and Procedures</w:t>
      </w:r>
      <w:r>
        <w:rPr>
          <w:rFonts w:ascii="Times New Roman" w:hAnsi="Times New Roman"/>
          <w:sz w:val="20"/>
        </w:rPr>
        <w:t xml:space="preserve">. The Company maintains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including policies and procedures sufficient to provide reasonable assurance (i) that the Company maintains records that in reasonable detail accurately and fairly reflect the Company’s transactions and dispositions of assets, (ii) that transactions are recorded as necessary to permit preparation of financial statements in accordance with GAAP, (iii) that receipts and expenditures are made only in accordance with authorizations of management and the Board of Directors and (iv) regarding prevention or timely detection of the unauthorized acquisition, use or disposition of the Company’s assets that could have a material effect on the Company’s financial statements. Since the inception of the Company, there has been no material weaknesses in the design or operation of the Company’s internal control over financial reporting. The Company’s “disclosure controls and procedures” (as defined in Rules 13a-15(e) and 15d-15(e) of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w:t>
      </w:r>
    </w:p>
    <w:p>
      <w:pPr>
        <w:pStyle w:val="TextBody"/>
        <w:bidi w:val="0"/>
        <w:spacing w:before="240" w:after="0"/>
        <w:jc w:val="left"/>
        <w:rPr>
          <w:rFonts w:ascii="Times New Roman" w:hAnsi="Times New Roman"/>
          <w:sz w:val="20"/>
        </w:rPr>
      </w:pPr>
      <w:r>
        <w:rPr>
          <w:rFonts w:ascii="Times New Roman" w:hAnsi="Times New Roman"/>
          <w:sz w:val="20"/>
        </w:rPr>
        <w:t xml:space="preserve">3.21 </w:t>
      </w:r>
      <w:r>
        <w:rPr>
          <w:rFonts w:ascii="Times New Roman" w:hAnsi="Times New Roman"/>
          <w:sz w:val="20"/>
          <w:u w:val="single"/>
        </w:rPr>
        <w:t>Price Stabilization of Common Stock</w:t>
      </w:r>
      <w:r>
        <w:rPr>
          <w:rFonts w:ascii="Times New Roman" w:hAnsi="Times New Roman"/>
          <w:sz w:val="20"/>
        </w:rPr>
        <w:t xml:space="preserve">. The Company has not taken, nor will it take, directly or indirectly, any action designed to stabilize or manipulate the price of the Common Stock to facilitate the sale or resale of the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3.22 </w:t>
      </w:r>
      <w:r>
        <w:rPr>
          <w:rFonts w:ascii="Times New Roman" w:hAnsi="Times New Roman"/>
          <w:sz w:val="20"/>
          <w:u w:val="single"/>
        </w:rPr>
        <w:t>Investment Company Act</w:t>
      </w:r>
      <w:r>
        <w:rPr>
          <w:rFonts w:ascii="Times New Roman" w:hAnsi="Times New Roman"/>
          <w:sz w:val="20"/>
        </w:rPr>
        <w:t xml:space="preserve">. The Company is not, and immediately after receipt of payment for the Securities will not be, an “investment company” within the meaning of the U.S.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 xml:space="preserve">3.23 </w:t>
      </w:r>
      <w:r>
        <w:rPr>
          <w:rFonts w:ascii="Times New Roman" w:hAnsi="Times New Roman"/>
          <w:sz w:val="20"/>
          <w:u w:val="single"/>
        </w:rPr>
        <w:t>General Solicitation; No Integration or Aggregation</w:t>
      </w:r>
      <w:r>
        <w:rPr>
          <w:rFonts w:ascii="Times New Roman" w:hAnsi="Times New Roman"/>
          <w:sz w:val="20"/>
        </w:rPr>
        <w:t xml:space="preserve">. Neither the Company nor any other person or entity authorized by the Company to act on its behalf has engaged in a general solicitation or general advertising (within the meaning of Regulation D of the Securities Act) of investors with respect to offers or sales of the Securities pursuant to this Agreement. The Company has not, directly or indirectly, sold, offered for sale, solicited offers to buy or otherwise negotiated in respect of, any security (as defined in the Securities Act) which, to its knowledge, is or will be (i) integrated with the Securities sold pursuant to this Agreement for purposes of the Securities Act or (ii) aggregated with prior offerings by the Company for the purposes of the rules and regulations of the Nasdaq Global Market. Assuming the accuracy of the representations and warranties of the Investors set forth in Section 4,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of the Securities Act for the exemption from registration for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3.24 </w:t>
      </w:r>
      <w:r>
        <w:rPr>
          <w:rFonts w:ascii="Times New Roman" w:hAnsi="Times New Roman"/>
          <w:sz w:val="20"/>
          <w:u w:val="single"/>
        </w:rPr>
        <w:t>Brokers and Finders</w:t>
      </w:r>
      <w:r>
        <w:rPr>
          <w:rFonts w:ascii="Times New Roman" w:hAnsi="Times New Roman"/>
          <w:sz w:val="20"/>
        </w:rPr>
        <w:t xml:space="preserve">. Neither the Company nor any other Person authorized by the Company to act on its behalf has retained, utilized or been represented by any broker or finder in connection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3.25 </w:t>
      </w:r>
      <w:r>
        <w:rPr>
          <w:rFonts w:ascii="Times New Roman" w:hAnsi="Times New Roman"/>
          <w:sz w:val="20"/>
          <w:u w:val="single"/>
        </w:rPr>
        <w:t>Reliance by the Investors</w:t>
      </w:r>
      <w:r>
        <w:rPr>
          <w:rFonts w:ascii="Times New Roman" w:hAnsi="Times New Roman"/>
          <w:sz w:val="20"/>
        </w:rPr>
        <w:t xml:space="preserve">. The Company has a reasonable basis for making each of the representations set forth in this </w:t>
      </w:r>
      <w:r>
        <w:rPr>
          <w:rFonts w:ascii="Times New Roman" w:hAnsi="Times New Roman"/>
          <w:sz w:val="20"/>
          <w:u w:val="single"/>
        </w:rPr>
        <w:t>Section 3</w:t>
      </w:r>
      <w:r>
        <w:rPr>
          <w:rFonts w:ascii="Times New Roman" w:hAnsi="Times New Roman"/>
          <w:sz w:val="20"/>
        </w:rPr>
        <w:t xml:space="preserve">. The Company acknowledges that each of the Investors will rely upon the truth and accuracy of, and the Company’s compliance with, the representations, warranties, agreements, acknowledgements and understandings of the Company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3.26 </w:t>
      </w:r>
      <w:r>
        <w:rPr>
          <w:rFonts w:ascii="Times New Roman" w:hAnsi="Times New Roman"/>
          <w:sz w:val="20"/>
          <w:u w:val="single"/>
        </w:rPr>
        <w:t>No Additional Agreements</w:t>
      </w:r>
      <w:r>
        <w:rPr>
          <w:rFonts w:ascii="Times New Roman" w:hAnsi="Times New Roman"/>
          <w:sz w:val="20"/>
        </w:rPr>
        <w:t xml:space="preserve">. There are no agreements or understandings between the Company, on one hand, and any Investor, on the other hand, with respect to the transactions contemplated by the Transaction Agreements other than as specified in the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3.27 </w:t>
      </w:r>
      <w:r>
        <w:rPr>
          <w:rFonts w:ascii="Times New Roman" w:hAnsi="Times New Roman"/>
          <w:sz w:val="20"/>
          <w:u w:val="single"/>
        </w:rPr>
        <w:t>Anti-Bribery and Anti-Money Laundering Laws; Sanctions</w:t>
      </w:r>
      <w:r>
        <w:rPr>
          <w:rFonts w:ascii="Times New Roman" w:hAnsi="Times New Roman"/>
          <w:sz w:val="20"/>
        </w:rPr>
        <w:t xml:space="preserve">. Each of the Company, its subsidiaries and, to the knowledge of the Company, any of their respective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except as would not reasonably be expected, individually or in the aggregate, to result in a Material Adverse Effect,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3.28 </w:t>
      </w:r>
      <w:r>
        <w:rPr>
          <w:rFonts w:ascii="Times New Roman" w:hAnsi="Times New Roman"/>
          <w:sz w:val="20"/>
          <w:u w:val="single"/>
        </w:rPr>
        <w:t>Cybersecurity</w:t>
      </w:r>
      <w:r>
        <w:rPr>
          <w:rFonts w:ascii="Times New Roman" w:hAnsi="Times New Roman"/>
          <w:sz w:val="20"/>
        </w:rPr>
        <w:t>. The Company and its subsidiaries’ information technology assets and equipment, computers, systems, networks, hardware, software, websites, applications, and databases (collectively, “</w:t>
      </w:r>
      <w:r>
        <w:rPr>
          <w:rFonts w:ascii="Times New Roman" w:hAnsi="Times New Roman"/>
          <w:b/>
          <w:sz w:val="20"/>
        </w:rPr>
        <w:t>IT Systems</w:t>
      </w:r>
      <w:r>
        <w:rPr>
          <w:rFonts w:ascii="Times New Roman" w:hAnsi="Times New Roman"/>
          <w:sz w:val="20"/>
        </w:rPr>
        <w:t>”) are adequate for, and operate and perform in all material respects as required in connection with the operation of the business of the Company and its subsidiaries as currently conducted, and are free and clear of all material Trojan horses, time bombs, malware and other malicious code.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 w:hAnsi="Times New Roman"/>
          <w:b/>
          <w:sz w:val="20"/>
        </w:rPr>
        <w:t>Confidential Data</w:t>
      </w:r>
      <w:r>
        <w:rPr>
          <w:rFonts w:ascii="Times New Roman" w:hAnsi="Times New Roman"/>
          <w:sz w:val="20"/>
        </w:rPr>
        <w:t>”) used or maintained in connection with their businesses and Personal Data (defined below), and the integrity, availability continuous operation, redundancy and security of all IT Systems. “</w:t>
      </w:r>
      <w:r>
        <w:rPr>
          <w:rFonts w:ascii="Times New Roman" w:hAnsi="Times New Roman"/>
          <w:b/>
          <w:sz w:val="20"/>
        </w:rPr>
        <w:t>Personal Data</w:t>
      </w:r>
      <w:r>
        <w:rPr>
          <w:rFonts w:ascii="Times New Roman" w:hAnsi="Times New Roman"/>
          <w:sz w:val="20"/>
        </w:rPr>
        <w:t>” means the following data used in connection with the Company’s and its subsidiaries’ businesses and in their possession or control: (i) a natural person’s name, street address, telephone number, e-mail address, photograph, social security number or other tax identification number, driver’s license number, passport number, credit card number or bank information; (ii) information that identifies or may reasonably be used to identify an individual; (iii) any information that would qualify as “protected health information” under the Health Insurance Portability and Accountability Act of 1996, as amended by the Health Information Technology for Economic and Clinical Health Act (collectively, “</w:t>
      </w:r>
      <w:r>
        <w:rPr>
          <w:rFonts w:ascii="Times New Roman" w:hAnsi="Times New Roman"/>
          <w:b/>
          <w:sz w:val="20"/>
        </w:rPr>
        <w:t>HIPAA</w:t>
      </w:r>
      <w:r>
        <w:rPr>
          <w:rFonts w:ascii="Times New Roman" w:hAnsi="Times New Roman"/>
          <w:sz w:val="20"/>
        </w:rPr>
        <w:t xml:space="preserve">”); and (iv) any information that would qualify as “personal data,” “personal information” (or similar term) under the Privacy Laws. To the Company’s knowledge, there have been no breaches, outages or unauthorized uses of or accesses to the Company’s IT Systems, Confidential Data, or Personal Data that would require notification under Privacy Laws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3.29 </w:t>
      </w:r>
      <w:r>
        <w:rPr>
          <w:rFonts w:ascii="Times New Roman" w:hAnsi="Times New Roman"/>
          <w:sz w:val="20"/>
          <w:u w:val="single"/>
        </w:rPr>
        <w:t>Compliance with Data Privacy Laws</w:t>
      </w:r>
      <w:r>
        <w:rPr>
          <w:rFonts w:ascii="Times New Roman" w:hAnsi="Times New Roman"/>
          <w:sz w:val="20"/>
        </w:rPr>
        <w:t>. The Company and its subsidiaries are, and at all prior times were, in material compliance with all applicable state, federal and foreign data privacy and security laws and regulations regarding the collection, use, storage, retention, disclosure, transfer, disposal, or any other processing (collectively “</w:t>
      </w:r>
      <w:r>
        <w:rPr>
          <w:rFonts w:ascii="Times New Roman" w:hAnsi="Times New Roman"/>
          <w:b/>
          <w:sz w:val="20"/>
        </w:rPr>
        <w:t>Process</w:t>
      </w:r>
      <w:r>
        <w:rPr>
          <w:rFonts w:ascii="Times New Roman" w:hAnsi="Times New Roman"/>
          <w:sz w:val="20"/>
        </w:rPr>
        <w:t>” or “</w:t>
      </w:r>
      <w:r>
        <w:rPr>
          <w:rFonts w:ascii="Times New Roman" w:hAnsi="Times New Roman"/>
          <w:b/>
          <w:sz w:val="20"/>
        </w:rPr>
        <w:t>Processing</w:t>
      </w:r>
      <w:r>
        <w:rPr>
          <w:rFonts w:ascii="Times New Roman" w:hAnsi="Times New Roman"/>
          <w:sz w:val="20"/>
        </w:rPr>
        <w:t>”) of Personal Data, including without limitation HIPAA, the EU General Data Protection Regulation (“</w:t>
      </w:r>
      <w:r>
        <w:rPr>
          <w:rFonts w:ascii="Times New Roman" w:hAnsi="Times New Roman"/>
          <w:b/>
          <w:sz w:val="20"/>
        </w:rPr>
        <w:t>GDPR</w:t>
      </w:r>
      <w:r>
        <w:rPr>
          <w:rFonts w:ascii="Times New Roman" w:hAnsi="Times New Roman"/>
          <w:sz w:val="20"/>
        </w:rPr>
        <w:t>”) (Regulation (EU) No. 2016/679), all other local, state, federal, national, supranational and foreign laws relating to the regulation of the Company or its subsidiaries, and the regulations promulgated pursuant to such statutes and any state or non-U.S. counterpart thereof (collectively, the “</w:t>
      </w:r>
      <w:r>
        <w:rPr>
          <w:rFonts w:ascii="Times New Roman" w:hAnsi="Times New Roman"/>
          <w:b/>
          <w:sz w:val="20"/>
        </w:rPr>
        <w:t>Privacy Laws</w:t>
      </w:r>
      <w:r>
        <w:rPr>
          <w:rFonts w:ascii="Times New Roman" w:hAnsi="Times New Roman"/>
          <w:sz w:val="20"/>
        </w:rPr>
        <w:t>”). To ensure material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 w:hAnsi="Times New Roman"/>
          <w:b/>
          <w:sz w:val="20"/>
        </w:rPr>
        <w:t>Privacy Statements</w:t>
      </w:r>
      <w:r>
        <w:rPr>
          <w:rFonts w:ascii="Times New Roman" w:hAnsi="Times New Roman"/>
          <w:sz w:val="20"/>
        </w:rPr>
        <w:t xml:space="preserve">”). The Company and its subsidiaries have, except as would not reasonably be expected, individually or in the aggregate, to result in a Material Adverse Effect, at all times since inception provided accurate notice of its Privacy Statements then in effect to its customers, employees, third party vendors and representatives. None of such disclosures made or contained in any Privacy Statements have been materially inaccurate, misleading, incomplete, or in material violation of any Privacy Laws. </w:t>
      </w:r>
    </w:p>
    <w:p>
      <w:pPr>
        <w:pStyle w:val="TextBody"/>
        <w:bidi w:val="0"/>
        <w:spacing w:before="240" w:after="0"/>
        <w:jc w:val="left"/>
        <w:rPr>
          <w:rFonts w:ascii="Times New Roman" w:hAnsi="Times New Roman"/>
          <w:sz w:val="20"/>
        </w:rPr>
      </w:pPr>
      <w:r>
        <w:rPr>
          <w:rFonts w:ascii="Times New Roman" w:hAnsi="Times New Roman"/>
          <w:sz w:val="20"/>
        </w:rPr>
        <w:t xml:space="preserve">3.30 </w:t>
      </w:r>
      <w:r>
        <w:rPr>
          <w:rFonts w:ascii="Times New Roman" w:hAnsi="Times New Roman"/>
          <w:sz w:val="20"/>
          <w:u w:val="single"/>
        </w:rPr>
        <w:t>Transactions with Affiliates and Employees</w:t>
      </w:r>
      <w:r>
        <w:rPr>
          <w:rFonts w:ascii="Times New Roman" w:hAnsi="Times New Roman"/>
          <w:sz w:val="20"/>
        </w:rPr>
        <w:t xml:space="preserve">. No relationship, direct or indirect, exists between or among the Company, on the one hand, and any director, officer, stockholder, customer or supplier of the Company, on the other hand, that is required to be described in any forms, statements, certifications, reports and documents required to be filed or furnished with the SEC under the Exchange Act or the Securities Act that will not be so described in accordance with the Exchange Act following the Closing. </w:t>
      </w:r>
    </w:p>
    <w:p>
      <w:pPr>
        <w:pStyle w:val="TextBody"/>
        <w:bidi w:val="0"/>
        <w:spacing w:before="240" w:after="0"/>
        <w:jc w:val="left"/>
        <w:rPr>
          <w:rFonts w:ascii="Times New Roman" w:hAnsi="Times New Roman"/>
          <w:sz w:val="20"/>
        </w:rPr>
      </w:pPr>
      <w:r>
        <w:rPr>
          <w:rFonts w:ascii="Times New Roman" w:hAnsi="Times New Roman"/>
          <w:sz w:val="20"/>
        </w:rPr>
        <w:t xml:space="preserve">3.31 </w:t>
      </w:r>
      <w:r>
        <w:rPr>
          <w:rFonts w:ascii="Times New Roman" w:hAnsi="Times New Roman"/>
          <w:sz w:val="20"/>
          <w:u w:val="single"/>
        </w:rPr>
        <w:t>Information Provided</w:t>
      </w:r>
      <w:r>
        <w:rPr>
          <w:rFonts w:ascii="Times New Roman" w:hAnsi="Times New Roman"/>
          <w:sz w:val="20"/>
        </w:rPr>
        <w:t>. The information to be supplied by or on behalf of the Company for inclusion or incorporation by reference in the Registration Statement (as defined in the Merger Agreement), or supplied by or on behalf of the Company for inclusion in any filing pursuant to Rule 165 and Rule 425 under the Securities Act or Rule 14a-12 under the Exchange Act (each a “</w:t>
      </w:r>
      <w:r>
        <w:rPr>
          <w:rFonts w:ascii="Times New Roman" w:hAnsi="Times New Roman"/>
          <w:b/>
          <w:sz w:val="20"/>
        </w:rPr>
        <w:t>Regulation M-A Filing</w:t>
      </w:r>
      <w:r>
        <w:rPr>
          <w:rFonts w:ascii="Times New Roman" w:hAnsi="Times New Roman"/>
          <w:sz w:val="20"/>
        </w:rPr>
        <w:t xml:space="preserve">”), shall not, at the time the Registration Statement or any such Regulation M-A Filing is filed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SEC, at any time it is amended or supplemented or at the time the Registration Statement is declared effective by the SEC, as applicable, contain any untrue statement of a material fact or omit to state any material fact required to be stated therein or necessary in order to make the statements therein not misleading. The information to be supplied by or on behalf of the Company for inclusion in the Registration Statement to be sent to the stockholders of Parent in connection with the meeting of Parent’s stockholders (the “</w:t>
      </w:r>
      <w:r>
        <w:rPr>
          <w:rFonts w:ascii="Times New Roman" w:hAnsi="Times New Roman"/>
          <w:b/>
          <w:sz w:val="20"/>
        </w:rPr>
        <w:t>Public Company Meeting</w:t>
      </w:r>
      <w:r>
        <w:rPr>
          <w:rFonts w:ascii="Times New Roman" w:hAnsi="Times New Roman"/>
          <w:sz w:val="20"/>
        </w:rPr>
        <w:t xml:space="preserve">”), shall not, on the date the proxy statement/prospectus included in the Registration Statement is first mailed to stockholders of Parent, at the time of the Public Company Meeting or at the Merger Agreement Closing, contain any statement that, at such time and in light of the circumstances under which it shall be made, is false or misleading with respect to any material fact, or omit to state any material fact necessary in order to make the statements made in the Registration Statement not false or misleading; or omit to state any material fact necessary to correct any statement in any earlier communication with respect to the solicitation of proxies for the Public Company Meeting that has become false or misleading. </w:t>
      </w:r>
    </w:p>
    <w:p>
      <w:pPr>
        <w:pStyle w:val="TextBody"/>
        <w:bidi w:val="0"/>
        <w:spacing w:before="240" w:after="0"/>
        <w:jc w:val="left"/>
        <w:rPr>
          <w:rFonts w:ascii="Times New Roman" w:hAnsi="Times New Roman"/>
          <w:sz w:val="20"/>
        </w:rPr>
      </w:pPr>
      <w:r>
        <w:rPr>
          <w:rFonts w:ascii="Times New Roman" w:hAnsi="Times New Roman"/>
          <w:sz w:val="20"/>
        </w:rPr>
        <w:t xml:space="preserve">3.32 </w:t>
      </w:r>
      <w:r>
        <w:rPr>
          <w:rFonts w:ascii="Times New Roman" w:hAnsi="Times New Roman"/>
          <w:sz w:val="20"/>
          <w:u w:val="single"/>
        </w:rPr>
        <w:t>Additional 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Company’s representations and warranties set forth in the Merger Agreement in Section 4.2 (Capital Stock), Section 4.6 (Financial Statements), Section 4.9 (Litigation), Section 4.10 (Compliance with Laws), Section 4.11 (Health Care Regulatory Matters), Section 4.13 (Labor and Employment Matters), Section 4.14 (Environmental Matters), Section 4.16 (Contracts), Section 4.19 (Intellectual Property) and 4.22 (Related Party Transactions) are hereby incorporated by reference and made by the Company, as qualified by the disclosures in the Company Disclosure Letter (as defined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(b) As of the date hereof, and as of the Closing Date, the representations and warranties of the Company contained in Section 4 of the Merger Agreement and in any certificate or other writing delivered by the Company pursuant thereto are true and correct as though given in accordance with Section 8.3(a) of the Merger Agreement as of the date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hereof and as of the Closing Date, to the knowledge of the Company, the representations and warranties of Parent contained in Section 5 of the Merger Agreement and in any certificate or other writing delivered by Parent pursuant thereto are true and correct as though given in accordance with Section 8.2(a)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Representations and Warranties of Each Investor</w:t>
      </w:r>
      <w:r>
        <w:rPr>
          <w:rFonts w:ascii="Times New Roman" w:hAnsi="Times New Roman"/>
          <w:sz w:val="20"/>
        </w:rPr>
        <w:t xml:space="preserve">. Each Investor, severally for itself and not jointly with any other Investor, represents and warrants to the Company that the statements contained in this </w:t>
      </w:r>
      <w:r>
        <w:rPr>
          <w:rFonts w:ascii="Times New Roman" w:hAnsi="Times New Roman"/>
          <w:sz w:val="20"/>
          <w:u w:val="single"/>
        </w:rPr>
        <w:t>Section 4</w:t>
      </w:r>
      <w:r>
        <w:rPr>
          <w:rFonts w:ascii="Times New Roman" w:hAnsi="Times New Roman"/>
          <w:sz w:val="20"/>
        </w:rPr>
        <w:t xml:space="preserve"> are true and correct as of the date hereof and the Closing Date (except for the representations and warranties that speak as of a specific date, which shall be made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Organization</w:t>
      </w:r>
      <w:r>
        <w:rPr>
          <w:rFonts w:ascii="Times New Roman" w:hAnsi="Times New Roman"/>
          <w:sz w:val="20"/>
        </w:rPr>
        <w:t xml:space="preserve">. Such Investor is duly organized, validly existing and in good standing under the laws of the jurisdiction of its organization and has the requisite power and authority to own, lease and operate its properties and to carry on its business as now conducted.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Authorization</w:t>
      </w:r>
      <w:r>
        <w:rPr>
          <w:rFonts w:ascii="Times New Roman" w:hAnsi="Times New Roman"/>
          <w:sz w:val="20"/>
        </w:rPr>
        <w:t xml:space="preserve">. Such Investor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such Investor or its stockholders, members or partners necessary for the authorization, execution, delivery and performance of this Agreement and the other Transaction Agreements to which it will be a party and the consummation of the other transactions contemplated herein has been taken. The execution, delivery and performance by such Investor of the Transaction Agreements to which such Investor is a party have been duly authorized and each has been duly executed. Assuming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constitutes the legal and binding agreement of the Company, this Agreement constitutes a legal, valid and binding obligation of such Investor, enforceable against such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No Conflicts</w:t>
      </w:r>
      <w:r>
        <w:rPr>
          <w:rFonts w:ascii="Times New Roman" w:hAnsi="Times New Roman"/>
          <w:sz w:val="20"/>
        </w:rPr>
        <w:t xml:space="preserve">. The execution, delivery and performance of the applicable Transaction Agreements by such Investor, the purchase of the Securities in accordance with their terms and the consummation by such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of control right or to a loss of a material benefit under (i) any provision of the organizational documents of such Investor,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such Investor or its respective properties or assets, except, in the case of clause (ii), as would not, individually or in the aggregate, be reasonably expected to materially delay or materially hinder the ability of such Investor to perform its obligations under the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Residency</w:t>
      </w:r>
      <w:r>
        <w:rPr>
          <w:rFonts w:ascii="Times New Roman" w:hAnsi="Times New Roman"/>
          <w:sz w:val="20"/>
        </w:rPr>
        <w:t xml:space="preserve">. Such Investor’s residence (if an individual) or offices in which its investment decision with respect to the Securities was made (if an entity) are located at the address immediately below such Investor’s name on </w:t>
      </w:r>
      <w:r>
        <w:rPr>
          <w:rFonts w:ascii="Times New Roman" w:hAnsi="Times New Roman"/>
          <w:sz w:val="20"/>
          <w:u w:val="single"/>
        </w:rPr>
        <w:t>Exhibit A</w:t>
      </w:r>
      <w:r>
        <w:rPr>
          <w:rFonts w:ascii="Times New Roman" w:hAnsi="Times New Roman"/>
          <w:sz w:val="20"/>
        </w:rPr>
        <w:t xml:space="preserve">, except as otherwise communicated by such Investor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Brokers and Finders</w:t>
      </w:r>
      <w:r>
        <w:rPr>
          <w:rFonts w:ascii="Times New Roman" w:hAnsi="Times New Roman"/>
          <w:sz w:val="20"/>
        </w:rPr>
        <w:t xml:space="preserve">. Such Investor has not retained, utilized or been represented by any broker or finder in connection with the transactions contemplated by this Agreement whose fees the Company would be required to pay.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Investment Representations and Warranties</w:t>
      </w:r>
      <w:r>
        <w:rPr>
          <w:rFonts w:ascii="Times New Roman" w:hAnsi="Times New Roman"/>
          <w:sz w:val="20"/>
        </w:rPr>
        <w:t xml:space="preserve">. Each Investor hereby represents and warrants that, it (i) as of the date hereof is, if an entity, a “qualified institutional buyer” (as defined in Rule 144A under the Securities Act) or an “accredited investor” as that term is defined in Rule 501(a) under Regulation D promulgated pursuant to the Securities Act; or (ii) if an individual, is an “accredited investor” as that term is defined in Rule 501(a) of Regulation D of the Securities Act and has such knowledge and experience in financial and business matters as to be able to protect its own interests in connection with an investment in the Securities. Each Investor further represents and warrants that (x) it is capable of evaluating the merits and risk of such investment, and (y) that it has not been organized for the purpose of acquiring the Securities and is an “institutional account” as defined by FINRA Rule 4512(c). Such Investor understands and agrees that the offering and sale of the Securities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such Investor’s representations as expressed herein.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Intent</w:t>
      </w:r>
      <w:r>
        <w:rPr>
          <w:rFonts w:ascii="Times New Roman" w:hAnsi="Times New Roman"/>
          <w:sz w:val="20"/>
        </w:rPr>
        <w:t xml:space="preserve">. Each Investor is purchasing the Securities solely for investment purposes, for such Investor’s own account and not for the account of others, and not with a view to the resale or distribution of any part thereof in violation of the Securities Act, and the Investor has no present intention of selling, granting any participation in, or otherwise distributing the same in violation of the Securities Act without prejudice, however, to the Investor’s right at all times to sell or otherwise dispose of all or any part of such Securities in compliance with applicable federal and state securities laws. Notwithstanding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foregoing, if such Investor is purchasing the Securities as a fiduciary or agent for one or more investor accounts, such Investor has full investment discretion with respect to each such account, and the full power and authority to make the acknowledgements, representations and agreements herein on behalf of each owner of each such account. Each Investor has no present arrangement to sell the Securities to or through any person or entity. Each Investor understands that the Securities must be held indefinitely unless such Securities are resold pursuant to a registration statement under the Securities Act or an exemption from registration is available. Nothing contained herein shall be deemed a representation or warranty by such Investor to hold the Securities for any period of time.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Investment Experience; Ability to Protect Its Own Interests and Bear Economic Risks</w:t>
      </w:r>
      <w:r>
        <w:rPr>
          <w:rFonts w:ascii="Times New Roman" w:hAnsi="Times New Roman"/>
          <w:sz w:val="20"/>
        </w:rPr>
        <w:t xml:space="preserve">. Each Investor acknowledges that it can bear the economic risk and complete loss of its investment in the Securities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such Investor has considered necessary to make an informed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Each Investor acknowledges that such Investor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Securities. Each Investor acknowledges that such Investor is aware that there are substantial risks incident to the purchase and ownership of the Securities, including those set forth in the Company’s filings with the SEC. Alone, or together with any professional advisor(s), such Investor has adequately analyzed and fully considered the risks of an investment in the Securities and determined that the Securities are a suitable investment for the Investor. Each Investor is, at this time and in the foreseeable future, able to afford the loss of such Investor’s entire investment in the Securities and such Investor acknowledges specifically that a possibility of total loss exists.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Independent Investment Decision</w:t>
      </w:r>
      <w:r>
        <w:rPr>
          <w:rFonts w:ascii="Times New Roman" w:hAnsi="Times New Roman"/>
          <w:sz w:val="20"/>
        </w:rPr>
        <w:t xml:space="preserve">. Such Investor understands that nothing in the Transaction Agreements or any other materials presented by or on behalf of the Company to such Investor in connection with the purchase of the Securities constitutes legal, tax or investment advice. Such Investor has consulted such legal, tax and investment advisors as it, in their sole discretion, has deemed necessary or appropriate in connection with its purchase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Securities Not Registered; Legends</w:t>
      </w:r>
      <w:r>
        <w:rPr>
          <w:rFonts w:ascii="Times New Roman" w:hAnsi="Times New Roman"/>
          <w:sz w:val="20"/>
        </w:rPr>
        <w:t xml:space="preserve">. Such Investor acknowledges and agrees that the Securities are being offered in a transaction not involving any public offering within the meaning of the Securities Act, and such Investor understands that the offering and sale of the Securities have not been registered under the Securities Act, by reason of their issuance by the Company in a transaction exempt from the registration requirements of the Securities Act, and that the Securities must continue to be held and may not be offered, resold, transferred, pledged or otherwise disposed of by such Investor unless a subsequent disposition thereof is registered under the Securities Act or is exempt from such registration and in each case in accordance with any applicable securities laws of any state of the United States. Such Investor understands that the exemptions from registration afforded by Rule 144 (the provisions of which are known to it) promulgated under the Securities Act depend on the satisfaction of various conditions including, but not limited to, the time and manner of sale, the holding period and on requirements relating to the Company which are outside of such Investor’s control and which the Company may not be able to satisfy, and that, if applicable, Rule 144 may afford the basis for sales only in limited amounts. Such Investor acknowledges and agrees that it has been advised to consult legal counsel prior to making any offer, resale, transfer, pledge or disposition of any of the Securities. Such Investor acknowledges that no federal or state agency has passed upon or endorsed the merits of the offering of the Securities or made any findings or determination as to the fairness of this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Investor understands that any certificates or book entry notations evidencing the Securities may bear one or more legends in substantially the following form and substance: </w:t>
      </w:r>
    </w:p>
    <w:p>
      <w:pPr>
        <w:pStyle w:val="TextBody"/>
        <w:bidi w:val="0"/>
        <w:spacing w:before="120" w:after="0"/>
        <w:jc w:val="left"/>
        <w:rPr/>
      </w:pPr>
      <w:r>
        <w:rPr/>
        <w:t>“</w:t>
      </w:r>
      <w:r>
        <w:rPr>
          <w:rFonts w:ascii="Times New Roman" w:hAnsi="Times New Roman"/>
          <w:sz w:val="20"/>
        </w:rPr>
        <w:t xml:space="preserve">THE SECURITIES REPRESENTED HEREBY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NOTWITHSTANDING THE FOREGOING, THE SECURITIES MAY BE PLEDGED IN CONNECTION WITH A BONA FIDE MARGIN ACCOUNT OR OTHER LOAN OR FINANCING ARRANGEMENT SECURED BY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Securities may contain a legend regarding affiliate status of the Investor, if applicable, provided that the Company will notify such Investor in advance of Closing if such a legend is to be placed on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No General Solicitation</w:t>
      </w:r>
      <w:r>
        <w:rPr>
          <w:rFonts w:ascii="Times New Roman" w:hAnsi="Times New Roman"/>
          <w:sz w:val="20"/>
        </w:rPr>
        <w:t xml:space="preserve">. Each Investor acknowledges and agrees that the Investor is purchasing the Securities directly from the Company. Such Investor became aware of this offering of the Securities solely by means of direct contact from the Company as a result of a pre-existing, substantive relationship with the Company, and/or their respective advisors (including, without limitation, attorneys, accountants, bankers, consultants and financial advisors), agents, control persons, representatives, affiliates, directors, officers, managers, members, and/or employees, and/or the representatives of such persons. The Securities were offered to such Investor solely by direct contact between such Investor and the Company and/or their respective representatives. Such Investor did not become aware of this offering of the Securities, nor were the Securities offered to such Investor, by any other means, and none of the Company and/or their respective representatives acted as investment advisor, broker or dealer to such Investor. Such Investor is not purchasing the Securities as a result of any general or public solicitation or general advertising, or publicly disseminated advertisement, article, notice or other communication regarding the Securities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Access to Information</w:t>
      </w:r>
      <w:r>
        <w:rPr>
          <w:rFonts w:ascii="Times New Roman" w:hAnsi="Times New Roman"/>
          <w:sz w:val="20"/>
        </w:rPr>
        <w:t xml:space="preserve">. In making its decision to purchase the Securities, each Investor has relied solely upon independent investigation made by such Investor and upon the representations, warranties and covenants set forth herein. Such Investor acknowledges and agrees that such Investor has received such information as such Investor deems necessary in order to make an investment decision with respect to the Securities, including, with respect to the Company. Each Investor acknowledges and agrees that such Investor and such Investor’s professional advisor(s), if any, have had the opportunity to ask such questions, receive such answers and obtain such information from the Company regarding the Company, its business and the terms and conditions of the offering of the Securities as such Investor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Investor’s professional advisor(s), if any, have deemed necessary to make an investment decision with respect to the Securities and that such Investor has independently made its own analysis and decision to invest in the Company. Neither such inquiries nor any other due diligence investigation conducted by such Investor shall modify, limit or otherwise affect such Investor’s right to rely on the Company’s representations and warranties contained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Certain Trading Activities</w:t>
      </w:r>
      <w:r>
        <w:rPr>
          <w:rFonts w:ascii="Times New Roman" w:hAnsi="Times New Roman"/>
          <w:sz w:val="20"/>
        </w:rPr>
        <w:t xml:space="preserve">. Other than consummating the transaction contemplated hereby, the Investor has not, nor has any Person acting on behalf of or pursuant to any understanding with such Investor, directly or indirectly executed any purchases or sales, including Short Sales, of the securities of the Company during the period commencing as of the time that such Investor was first contacted by the Company or any other Person regarding the transaction contemplated hereby and ending immediately prior to the date hereof. Notwithstanding the foregoing, (i)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Securities covered by this Agreement and (ii) in the case of an Investor whose investment adviser utilized an information barrier with respect to the information regarding the transactions contemplated hereunder after first being contacted by the Company or such other Person representing the Company, the representation set forth above shall only apply after the point in time when the portfolio manager who manages such Investor’s assets was informed of the information regarding the transactions contemplated hereunder and, with respect to the Investor’s investment adviser, the representation set forth above shall only apply with respect to any purchases or sales, including Short Sales, of the securities of the Company on behalf of other funds or investment vehicles for which the Investor’s investment adviser is also an investment adviser or subadviser after the point in time when the portfolio manager who manages the assets of such other funds or investment vehicles for which the Investor’s investment adviser is also an investment adviser or sub-adviser was informed of the information regarding the transactions contemplated hereunder. Other than to other Persons party to this Agreement and to its advisors and agents who had a need to know such information, such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Further Assurances</w:t>
      </w:r>
      <w:r>
        <w:rPr>
          <w:rFonts w:ascii="Times New Roman" w:hAnsi="Times New Roman"/>
          <w:sz w:val="20"/>
        </w:rPr>
        <w:t xml:space="preserve">. Prior to the Closing,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hereof and compliance with applicable law, including taking reasonable action to facilitate the filing of any document or the taking of reasonable action to assist the other parties hereto in complying with the terms hereof. Each Investor acknowledges that the Company will rely on the acknowledgments, understandings, agreements, representations and warranties contained in this Agreement. Prior to the Closing, the Investor agrees to promptly notify the Company if any of the acknowledgments, understandings, agreements, representations and warranties set forth in </w:t>
      </w:r>
      <w:r>
        <w:rPr>
          <w:rFonts w:ascii="Times New Roman" w:hAnsi="Times New Roman"/>
          <w:sz w:val="20"/>
          <w:u w:val="single"/>
        </w:rPr>
        <w:t>Section 4</w:t>
      </w:r>
      <w:r>
        <w:rPr>
          <w:rFonts w:ascii="Times New Roman" w:hAnsi="Times New Roman"/>
          <w:sz w:val="20"/>
        </w:rPr>
        <w:t xml:space="preserve"> are no longer accurate and the Company agrees to promptly notify each Investor if any of the acknowledgments, understandings, agreements, representations and warranties set forth in </w:t>
      </w:r>
      <w:r>
        <w:rPr>
          <w:rFonts w:ascii="Times New Roman" w:hAnsi="Times New Roman"/>
          <w:sz w:val="20"/>
          <w:u w:val="single"/>
        </w:rPr>
        <w:t>Section 3</w:t>
      </w:r>
      <w:r>
        <w:rPr>
          <w:rFonts w:ascii="Times New Roman" w:hAnsi="Times New Roman"/>
          <w:sz w:val="20"/>
        </w:rPr>
        <w:t xml:space="preserve"> are no longer accurate.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Listing</w:t>
      </w:r>
      <w:r>
        <w:rPr>
          <w:rFonts w:ascii="Times New Roman" w:hAnsi="Times New Roman"/>
          <w:sz w:val="20"/>
        </w:rPr>
        <w:t>. The Company shall use commercially reasonable efforts (a) to cause Parent to maintain the listing and trading of Parent’s common stock, $0.001 par value per share (“</w:t>
      </w:r>
      <w:r>
        <w:rPr>
          <w:rFonts w:ascii="Times New Roman" w:hAnsi="Times New Roman"/>
          <w:b/>
          <w:sz w:val="20"/>
        </w:rPr>
        <w:t>Parent Common Stock</w:t>
      </w:r>
      <w:r>
        <w:rPr>
          <w:rFonts w:ascii="Times New Roman" w:hAnsi="Times New Roman"/>
          <w:sz w:val="20"/>
        </w:rPr>
        <w:t xml:space="preserve">”) on the Nasdaq Global Market and, in accordance therewith, will use reasonable best efforts to cause Parent to comply in all material respects with the Parent’s reporting, filing and other obligations under the rules and regulations of Nasdaq and (b) to obtain approval of the listing of the Shares on Nasdaq following the closing of the Merger.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Disclosure of Transactions</w:t>
      </w:r>
      <w:r>
        <w:rPr>
          <w:rFonts w:ascii="Times New Roman" w:hAnsi="Times New Roman"/>
          <w:sz w:val="20"/>
        </w:rPr>
        <w:t>. The Company shall, by 9:00 a.m., New York City time, on the first (1st) Business Day immediately following the date hereof (provided that, if this Agreement is executed between midnight and 9:00 a.m., New York City time on any Business Day, no later than 9:01 a.m. on the date hereof), issue a press release and ensure that Parent shall substantially contemporaneously file with the SEC a Current Report on Form 8-K (including all exhibits thereto, the “</w:t>
      </w:r>
      <w:r>
        <w:rPr>
          <w:rFonts w:ascii="Times New Roman" w:hAnsi="Times New Roman"/>
          <w:b/>
          <w:sz w:val="20"/>
        </w:rPr>
        <w:t>Disclosure Document</w:t>
      </w:r>
      <w:r>
        <w:rPr>
          <w:rFonts w:ascii="Times New Roman" w:hAnsi="Times New Roman"/>
          <w:sz w:val="20"/>
        </w:rPr>
        <w:t>” and the actual filing of such press release and/or Current Report on Form 8-K, the “</w:t>
      </w:r>
      <w:r>
        <w:rPr>
          <w:rFonts w:ascii="Times New Roman" w:hAnsi="Times New Roman"/>
          <w:b/>
          <w:sz w:val="20"/>
        </w:rPr>
        <w:t>Disclosure Time</w:t>
      </w:r>
      <w:r>
        <w:rPr>
          <w:rFonts w:ascii="Times New Roman" w:hAnsi="Times New Roman"/>
          <w:sz w:val="20"/>
        </w:rPr>
        <w:t xml:space="preserve">”) disclosing (i) all material terms of the transactions contemplated hereby and by the other Transaction Agreements and attaching this Agreement and the other Transaction Agreements as exhibits to such Disclosure Document, and (ii) all material non-public information concerning the Company, the transactions contemplated hereby or the transactions contemplated by the Merger Agreement disclosed to the Investors prior to the Disclosure Time. Following the Disclosure Time, no Investor shall be in possession of any material non-public information received from the Company, its subsidiaries or any of their respective officers, directors, employees or agents. Notwithstanding anything in this Agreement, the Company shall not provide any of the Investors or their respective affiliates, attorneys, agents or representatives with any material non-public information regarding the Company or Parent or their respective securities from and after the Disclosure Time except as otherwise agreed by such Investor. The Company understands and confirms that the Investors will rely on the foregoing representations, covenants and agreements in effecting securities transactions. Notwithstanding anything in this Agreement to the contrary, the Company shall not disclose the name of any Investor or any of its affiliates or advisers, or include the name of any Investor or any of its affiliates or advisers in any marketing materials (whether or not made publicly available), press release, public announcement or filing with the SEC (other than any registration statement contemplated by the Registration Rights Agreement, which shall be subject to review of the Investors in accordance with the terms of the Registration Rights Agreement) or any regulatory agency, without the prior written consent of such Investor, except (i) as required by the federal securities law in connection with (A) any registration statement contemplated by the Registration Rights Agreement and (B) the filing of final Transaction Agreements with the SEC or pursuant to other routine proceedings of regulatory authorities, or (ii) to the extent such disclosure is required by law, at the request of the staff of the SEC or regulatory agency or under the regulations of the Nasdaq Global Market.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Integration</w:t>
      </w:r>
      <w:r>
        <w:rPr>
          <w:rFonts w:ascii="Times New Roman" w:hAnsi="Times New Roman"/>
          <w:sz w:val="20"/>
        </w:rPr>
        <w:t xml:space="preserve">.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Investors, or that will be integrated with the offer or sale of the Securities for purposes of the rules and regulations of any National Exchange such that it would require stockholder approval prior to the closing of such other transaction unless stockholder approval is obtained before the closing of such subsequent transaction.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Removal of Legends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connection with any sale, assignment, transfer or other disposition of the Shares by an Investor pursuant to Rule 144 or pursuant to any other exemption under the Securities Act such that the purchaser acquires freely tradable shares and upon compliance by the Investor with the requirements of this Agreement, if requested by the Investor by notice to the Company, the Company shall instruct the Transfer Agent to remove any restrictive legends related to the book entry account holding such Shares and make a new, unlegended entry for such book entry Shares sold or disposed of without restrictive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legends as soon as reasonably practicable following any such request therefor from such Investor, provided that the Company has timely received from the Investor a completed Investor representation letter and such other customary representations as may be reasonably required, in accordance with applicable law in connection therewith. Any shares subject to legend removal under this Section 5.5 may be transmitted by the Transfer Agent to the Investor by crediting the account of the Investor’s prime broker with the DTC System as directed by such Investor. The Company shall be responsible for the fees of its Transfer Agent, DTC and its legal counsel associated with such legend removal. </w:t>
      </w:r>
    </w:p>
    <w:p>
      <w:pPr>
        <w:pStyle w:val="TextBody"/>
        <w:bidi w:val="0"/>
        <w:spacing w:before="240" w:after="0"/>
        <w:jc w:val="left"/>
        <w:rPr>
          <w:rFonts w:ascii="Times New Roman" w:hAnsi="Times New Roman"/>
          <w:sz w:val="20"/>
        </w:rPr>
      </w:pPr>
      <w:r>
        <w:rPr>
          <w:rFonts w:ascii="Times New Roman" w:hAnsi="Times New Roman"/>
          <w:sz w:val="20"/>
        </w:rPr>
        <w:t xml:space="preserve">(b) In addition, without limiting Section 5.5(a), and subject to receipt from the Investor by the Company and the Transfer Agent of customary representations and other documentation reasonably acceptable to the Company and the Transfer Agent in connection therewith, upon the earliest of such time as the Initial Shares or any other Shares (i) have been registered for resale under the Securities Act pursuant to an effective registration statement, (ii) have been sold pursuant to Rule 144 (in which case the provisions of Section 5.5(a) shall apply), or (iii) are eligible for resale under Rule 144(b)(1) without the requirement for the Company to be in compliance with the current public information requirements under Rule 144(c)(1) (or any successor provision), the Company shall, in accordance with the provisions of this Section 5.5(b) (A) upon effectiveness of the registration statement registering the resale of such Initial Shares or any other Shares as set forth in clause (i), provide a “blanket” opinion to the Transfer Agent for the removal of legends in connection with any sale pursuant to the effective registration statement, and (B) with respect to clauses (i), (ii) and (iii), as soon as reasonably practicable following any request therefor from an Investor accompanied by such customary and reasonably acceptable documentation referred to above, deliver to the Transfer Agent irrevocable instructions that the Transfer Agent shall make a new, unlegended entry for such book entry shares. If, as a condition to the removal of any legends of any of the Securities, the Transfer Agent requires that the request for removal be accompanied by a certificate and/or an opinion of counsel reasonably satisfactory to the Transfer Agent, to the effect that the proposed transfer does not result in a violation of the Securities Act, the Company and/or its legal counsel shall provide such certificate or opinion with respect to any such transfer. The Company shall be responsible for the fees of its Transfer Agent, DTC and its legal counsel associated with such legend removal. </w:t>
      </w:r>
    </w:p>
    <w:p>
      <w:pPr>
        <w:pStyle w:val="TextBody"/>
        <w:bidi w:val="0"/>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Withholding Taxes</w:t>
      </w:r>
      <w:r>
        <w:rPr>
          <w:rFonts w:ascii="Times New Roman" w:hAnsi="Times New Roman"/>
          <w:sz w:val="20"/>
        </w:rPr>
        <w:t xml:space="preserve">. Each Investor agrees to furnish the Company with any information, representations and forms as shall reasonably be requested by the Company from time to time to assist the Company in complying with any applicable tax law (including any withholding obligations). </w:t>
      </w:r>
    </w:p>
    <w:p>
      <w:pPr>
        <w:pStyle w:val="TextBody"/>
        <w:bidi w:val="0"/>
        <w:spacing w:before="24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Fees and Taxes</w:t>
      </w:r>
      <w:r>
        <w:rPr>
          <w:rFonts w:ascii="Times New Roman" w:hAnsi="Times New Roman"/>
          <w:sz w:val="20"/>
        </w:rPr>
        <w:t xml:space="preserve">. The Company shall be solely responsible for the payment of any financial advisory fees, or broker’s commissions (other than for Persons engaged by an Investor) relating to or arising out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5.8 </w:t>
      </w:r>
      <w:r>
        <w:rPr>
          <w:rFonts w:ascii="Times New Roman" w:hAnsi="Times New Roman"/>
          <w:sz w:val="20"/>
          <w:u w:val="single"/>
        </w:rPr>
        <w:t>No Conflicting Agreements</w:t>
      </w:r>
      <w:r>
        <w:rPr>
          <w:rFonts w:ascii="Times New Roman" w:hAnsi="Times New Roman"/>
          <w:sz w:val="20"/>
        </w:rPr>
        <w:t xml:space="preserve">. The Company will not take any action, enter into any agreement or make any commitment that would conflict or interfere in any material respect with the Company’s obligations to the Investors under the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5.9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agrees to indemnify and hold harmless each Investor and its Affiliates, and their respective directors, officers, trustees, general partners, members, managers, employees, investment advisors and agents (collectively, the “</w:t>
      </w:r>
      <w:r>
        <w:rPr>
          <w:rFonts w:ascii="Times New Roman" w:hAnsi="Times New Roman"/>
          <w:b/>
          <w:sz w:val="20"/>
        </w:rPr>
        <w:t>Indemnified Persons</w:t>
      </w:r>
      <w:r>
        <w:rPr>
          <w:rFonts w:ascii="Times New Roman" w:hAnsi="Times New Roman"/>
          <w:sz w:val="20"/>
        </w:rPr>
        <w:t xml:space="preserve">”),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Indemnified Person may become subject (i) as a result of any breach of representation, warranty, covenant or agreement made by or to be performed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the part of the Company under the Transaction Agreements or (ii) as a result of or arising out of any action, claim or proceeding, pending or threatened, against an Indemnified Person in any capacity by any stockholder of the Company (whether directly or in a derivative capacity) who is not an Affiliate of the Indemnified Person with respect to the transactions contemplated by the Transaction Agreements, and in each case will reimburse any such Indemnified Person for all such amounts as they are incurred by such Indemnified Person, except to the extent such amounts have been finally judicially determined to have resulted from such Indemnified Person’s fraud or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(b)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 (ii) 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or wrongdoing or malfeasance by or on behalf of, the indemnified party. No indemnified party will, except with the consent of the indemnifying party, which consent shall not be unreasonably withheld, conditioned or delayed, consent to entry of any judgment or enter into any settlement. </w:t>
      </w:r>
    </w:p>
    <w:p>
      <w:pPr>
        <w:pStyle w:val="TextBody"/>
        <w:bidi w:val="0"/>
        <w:spacing w:before="240" w:after="0"/>
        <w:jc w:val="left"/>
        <w:rPr>
          <w:rFonts w:ascii="Times New Roman" w:hAnsi="Times New Roman"/>
          <w:sz w:val="20"/>
        </w:rPr>
      </w:pPr>
      <w:r>
        <w:rPr>
          <w:rFonts w:ascii="Times New Roman" w:hAnsi="Times New Roman"/>
          <w:sz w:val="20"/>
        </w:rPr>
        <w:t xml:space="preserve">5.10 </w:t>
      </w:r>
      <w:r>
        <w:rPr>
          <w:rFonts w:ascii="Times New Roman" w:hAnsi="Times New Roman"/>
          <w:sz w:val="20"/>
          <w:u w:val="single"/>
        </w:rPr>
        <w:t>Reservation of Common Stock</w:t>
      </w:r>
      <w:r>
        <w:rPr>
          <w:rFonts w:ascii="Times New Roman" w:hAnsi="Times New Roman"/>
          <w:sz w:val="20"/>
        </w:rPr>
        <w:t xml:space="preserve">. As of the date hereof, the Company has reserved and the Company shall continue to reserve and keep available at all times, free of preemptive rights, a sufficient number of shares of Common Stock for the purpose of enabling the Company to issue the Initial Shares. </w:t>
      </w:r>
    </w:p>
    <w:p>
      <w:pPr>
        <w:pStyle w:val="TextBody"/>
        <w:bidi w:val="0"/>
        <w:spacing w:before="240" w:after="0"/>
        <w:jc w:val="left"/>
        <w:rPr>
          <w:rFonts w:ascii="Times New Roman" w:hAnsi="Times New Roman"/>
          <w:sz w:val="20"/>
        </w:rPr>
      </w:pPr>
      <w:r>
        <w:rPr>
          <w:rFonts w:ascii="Times New Roman" w:hAnsi="Times New Roman"/>
          <w:sz w:val="20"/>
        </w:rPr>
        <w:t xml:space="preserve">5.11 </w:t>
      </w:r>
      <w:r>
        <w:rPr>
          <w:rFonts w:ascii="Times New Roman" w:hAnsi="Times New Roman"/>
          <w:sz w:val="20"/>
          <w:u w:val="single"/>
        </w:rPr>
        <w:t>Legend Removal</w:t>
      </w:r>
      <w:r>
        <w:rPr>
          <w:rFonts w:ascii="Times New Roman" w:hAnsi="Times New Roman"/>
          <w:sz w:val="20"/>
        </w:rPr>
        <w:t xml:space="preserve">. The Company shall use commercially reasonable efforts to ensure the restrictive legends described in Section 4.10 shall promptly be removed in accordance with applicable securities laws following the closing of the Merger. </w:t>
      </w:r>
    </w:p>
    <w:p>
      <w:pPr>
        <w:pStyle w:val="TextBody"/>
        <w:bidi w:val="0"/>
        <w:spacing w:before="240" w:after="0"/>
        <w:jc w:val="left"/>
        <w:rPr>
          <w:rFonts w:ascii="Times New Roman" w:hAnsi="Times New Roman"/>
          <w:sz w:val="20"/>
        </w:rPr>
      </w:pPr>
      <w:r>
        <w:rPr>
          <w:rFonts w:ascii="Times New Roman" w:hAnsi="Times New Roman"/>
          <w:sz w:val="20"/>
        </w:rPr>
        <w:t xml:space="preserve">5.12 </w:t>
      </w:r>
      <w:r>
        <w:rPr>
          <w:rFonts w:ascii="Times New Roman" w:hAnsi="Times New Roman"/>
          <w:sz w:val="20"/>
          <w:u w:val="single"/>
        </w:rPr>
        <w:t>Form S-4</w:t>
      </w:r>
      <w:r>
        <w:rPr>
          <w:rFonts w:ascii="Times New Roman" w:hAnsi="Times New Roman"/>
          <w:sz w:val="20"/>
        </w:rPr>
        <w:t xml:space="preserve">. From the date hereof until the Closing Date, the Company shall use commercially reasonable efforts to ensure the Registration Statement will register the issuance of the shares of Parent Common Stock to be issued, subject to and in accordance with the terms of the Merger Agreement, in exchange for the Initial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5.13 </w:t>
      </w:r>
      <w:r>
        <w:rPr>
          <w:rFonts w:ascii="Times New Roman" w:hAnsi="Times New Roman"/>
          <w:sz w:val="20"/>
          <w:u w:val="single"/>
        </w:rPr>
        <w:t>No Amendment or Waiver of Merger Agreement Terms</w:t>
      </w:r>
      <w:r>
        <w:rPr>
          <w:rFonts w:ascii="Times New Roman" w:hAnsi="Times New Roman"/>
          <w:sz w:val="20"/>
        </w:rPr>
        <w:t xml:space="preserve">. The Company shall not amend, modify or waive (or fail to contest an action regarding a breach of) any provision of the Merger Agreement in a manner that would reasonably be expected to materially and adversely affect the benefits that an Investor would reasonably expect to receive pursuant to this Agreement without the prior written consent of the Investor Majority, it being agreed that any amendment or modification to the definition of “Company Valuation” or “Company Outstanding Shares” shall be deemed to materially and adversely affect the benefits that the Investors would reasonably expect to receive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5.14 </w:t>
      </w:r>
      <w:r>
        <w:rPr>
          <w:rFonts w:ascii="Times New Roman" w:hAnsi="Times New Roman"/>
          <w:sz w:val="20"/>
          <w:u w:val="single"/>
        </w:rPr>
        <w:t>Stockholder Approval</w:t>
      </w:r>
      <w:r>
        <w:rPr>
          <w:rFonts w:ascii="Times New Roman" w:hAnsi="Times New Roman"/>
          <w:sz w:val="20"/>
        </w:rPr>
        <w:t xml:space="preserve">. The Company shall use its commercially reasonable efforts to ensure that Parent obtains the Parent Stockholder Approval (as defined in the Merger Agreement) at the Parent Stockholder Meeting (as defined in the Merger Agreement), which shall be held as promptly as practicable after the filing of the Proxy Statement (as defined in the Merger Agreement) in accordance with the terms and conditions of the Merger Agreement. The Company shall use its best efforts to solicit its stockholders’ approval of the Merger and to cause the Board of Directors to recommend to the stockholders that they approve such resolution.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Conditions of Closing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Conditions to the Obligation of the Investors</w:t>
      </w:r>
      <w:r>
        <w:rPr>
          <w:rFonts w:ascii="Times New Roman" w:hAnsi="Times New Roman"/>
          <w:sz w:val="20"/>
        </w:rPr>
        <w:t xml:space="preserve">. The several obligations of each Investor to consummate the transactions to be consummated at the Closing, and to purchase and pay for the Securities being purchased by it at the Closing pursuant to this Agreement, are subject to the satisfaction or waiver in writing of the following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representations and warranties of the Company contained herein shall be true and correct in all material respects, except for those representations and warranties qualified by materiality or Material Adverse Effect, which shall be true and correct in all respects, as of the date hereof and as of the Closing Date, as though made on and as of such date, except to the extent any such representation or warranty expressly speaks as of an earlier date, in which case such representation or warranty shall be true and correct in all material respects as of such earlier date, except for those representations and warranties qualified by materiality or Material Adverse Effect, which shall be true and correct in all respects as of such earlier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w:t>
      </w:r>
      <w:r>
        <w:rPr>
          <w:rFonts w:ascii="Times New Roman" w:hAnsi="Times New Roman"/>
          <w:sz w:val="20"/>
        </w:rPr>
        <w:t xml:space="preserve">. The Company shall have performed in all material respects the obligations and conditions herein required to be performed or observed by the Company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Injunction</w:t>
      </w:r>
      <w:r>
        <w:rPr>
          <w:rFonts w:ascii="Times New Roman" w:hAnsi="Times New Roman"/>
          <w:sz w:val="20"/>
        </w:rPr>
        <w:t xml:space="preserve">. The purchase of and payment for the Securities by each Investor shall not be prohibited or enjoined by any law or governmental or court order or regulation and no such prohibition shall have been threatened in writing.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Consents</w:t>
      </w:r>
      <w:r>
        <w:rPr>
          <w:rFonts w:ascii="Times New Roman" w:hAnsi="Times New Roman"/>
          <w:sz w:val="20"/>
        </w:rPr>
        <w:t xml:space="preserve">. The Company shall have obtained any and all consents, permits, approvals, registrations and waivers necessary for the consummation of the purchase and sale of the Securities, all of which shall be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Transfer Agent</w:t>
      </w:r>
      <w:r>
        <w:rPr>
          <w:rFonts w:ascii="Times New Roman" w:hAnsi="Times New Roman"/>
          <w:sz w:val="20"/>
        </w:rPr>
        <w:t xml:space="preserve">. The Company shall have furnished all required materials to the Transfer Agent to reflect the issuance of the Initial Shares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Adverse Changes</w:t>
      </w:r>
      <w:r>
        <w:rPr>
          <w:rFonts w:ascii="Times New Roman" w:hAnsi="Times New Roman"/>
          <w:sz w:val="20"/>
        </w:rPr>
        <w:t xml:space="preserve">. Since the date hereof, no event or series of events shall have occurred that has had or would reasonably be expected to have a Material Adverse Effect or a Parent Material Adverse Effect (as defined in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Compliance Certificate</w:t>
      </w:r>
      <w:r>
        <w:rPr>
          <w:rFonts w:ascii="Times New Roman" w:hAnsi="Times New Roman"/>
          <w:sz w:val="20"/>
        </w:rPr>
        <w:t xml:space="preserve">. An authorized officer of the Company shall have delivered to the Investors at the Closing Date a certificate certifying that the conditions specified in </w:t>
      </w:r>
      <w:r>
        <w:rPr>
          <w:rFonts w:ascii="Times New Roman" w:hAnsi="Times New Roman"/>
          <w:sz w:val="20"/>
          <w:u w:val="single"/>
        </w:rPr>
        <w:t>Sections 6.1(a)</w:t>
      </w:r>
      <w:r>
        <w:rPr>
          <w:rFonts w:ascii="Times New Roman" w:hAnsi="Times New Roman"/>
          <w:sz w:val="20"/>
        </w:rPr>
        <w:t xml:space="preserve"> (Representations and Warranties), </w:t>
      </w:r>
      <w:r>
        <w:rPr>
          <w:rFonts w:ascii="Times New Roman" w:hAnsi="Times New Roman"/>
          <w:sz w:val="20"/>
          <w:u w:val="single"/>
        </w:rPr>
        <w:t>6.1(b)</w:t>
      </w:r>
      <w:r>
        <w:rPr>
          <w:rFonts w:ascii="Times New Roman" w:hAnsi="Times New Roman"/>
          <w:sz w:val="20"/>
        </w:rPr>
        <w:t xml:space="preserve"> (Performance), </w:t>
      </w:r>
      <w:r>
        <w:rPr>
          <w:rFonts w:ascii="Times New Roman" w:hAnsi="Times New Roman"/>
          <w:sz w:val="20"/>
          <w:u w:val="single"/>
        </w:rPr>
        <w:t>6.1(c)</w:t>
      </w:r>
      <w:r>
        <w:rPr>
          <w:rFonts w:ascii="Times New Roman" w:hAnsi="Times New Roman"/>
          <w:sz w:val="20"/>
        </w:rPr>
        <w:t xml:space="preserve"> (No Injunction), </w:t>
      </w:r>
      <w:r>
        <w:rPr>
          <w:rFonts w:ascii="Times New Roman" w:hAnsi="Times New Roman"/>
          <w:sz w:val="20"/>
          <w:u w:val="single"/>
        </w:rPr>
        <w:t>6.1(d)</w:t>
      </w:r>
      <w:r>
        <w:rPr>
          <w:rFonts w:ascii="Times New Roman" w:hAnsi="Times New Roman"/>
          <w:sz w:val="20"/>
        </w:rPr>
        <w:t xml:space="preserve"> (Consents), </w:t>
      </w:r>
      <w:r>
        <w:rPr>
          <w:rFonts w:ascii="Times New Roman" w:hAnsi="Times New Roman"/>
          <w:sz w:val="20"/>
          <w:u w:val="single"/>
        </w:rPr>
        <w:t>6.1(f)</w:t>
      </w:r>
      <w:r>
        <w:rPr>
          <w:rFonts w:ascii="Times New Roman" w:hAnsi="Times New Roman"/>
          <w:sz w:val="20"/>
        </w:rPr>
        <w:t xml:space="preserve"> (Adverse Changes), </w:t>
      </w:r>
      <w:r>
        <w:rPr>
          <w:rFonts w:ascii="Times New Roman" w:hAnsi="Times New Roman"/>
          <w:sz w:val="20"/>
          <w:u w:val="single"/>
        </w:rPr>
        <w:t>6.1(k)</w:t>
      </w:r>
      <w:r>
        <w:rPr>
          <w:rFonts w:ascii="Times New Roman" w:hAnsi="Times New Roman"/>
          <w:sz w:val="20"/>
        </w:rPr>
        <w:t xml:space="preserve"> (Registration Statement; No Stop Orders), </w:t>
      </w:r>
      <w:r>
        <w:rPr>
          <w:rFonts w:ascii="Times New Roman" w:hAnsi="Times New Roman"/>
          <w:sz w:val="20"/>
          <w:u w:val="single"/>
        </w:rPr>
        <w:t>6.1(l)</w:t>
      </w:r>
      <w:r>
        <w:rPr>
          <w:rFonts w:ascii="Times New Roman" w:hAnsi="Times New Roman"/>
          <w:sz w:val="20"/>
        </w:rPr>
        <w:t xml:space="preserve"> (Nasdaq), </w:t>
      </w:r>
      <w:r>
        <w:rPr>
          <w:rFonts w:ascii="Times New Roman" w:hAnsi="Times New Roman"/>
          <w:sz w:val="20"/>
          <w:u w:val="single"/>
        </w:rPr>
        <w:t>6.1(m)</w:t>
      </w:r>
      <w:r>
        <w:rPr>
          <w:rFonts w:ascii="Times New Roman" w:hAnsi="Times New Roman"/>
          <w:sz w:val="20"/>
        </w:rPr>
        <w:t xml:space="preserve"> (Merger) of this Agreement have been fulfilled.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Secretary’s Certificate</w:t>
      </w:r>
      <w:r>
        <w:rPr>
          <w:rFonts w:ascii="Times New Roman" w:hAnsi="Times New Roman"/>
          <w:sz w:val="20"/>
        </w:rPr>
        <w:t xml:space="preserve">. The Secretary of the Company shall have delivered to the Investors at the Closing Date a certificate certifying (i) the Certificate of Incorporation, (ii) the Bylaws, and (iii) resolutions of the Company’s Board of Directors (or an authorized committee thereof) approving this Agreement, the other Transaction Agreements, the transactions contemplated by this Agreement and the issuance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Registration Rights Agreement</w:t>
      </w:r>
      <w:r>
        <w:rPr>
          <w:rFonts w:ascii="Times New Roman" w:hAnsi="Times New Roman"/>
          <w:sz w:val="20"/>
        </w:rPr>
        <w:t xml:space="preserve">. The Company shall have executed and delivered the Registration Rights Agreement in the form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b/>
          <w:sz w:val="20"/>
        </w:rPr>
        <w:t>Registration Rights Agreement</w:t>
      </w:r>
      <w:r>
        <w:rPr>
          <w:rFonts w:ascii="Times New Roman" w:hAnsi="Times New Roman"/>
          <w:sz w:val="20"/>
        </w:rPr>
        <w:t xml:space="preserve">”) to the Investors.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Opinion of Company Counsel</w:t>
      </w:r>
      <w:r>
        <w:rPr>
          <w:rFonts w:ascii="Times New Roman" w:hAnsi="Times New Roman"/>
          <w:sz w:val="20"/>
        </w:rPr>
        <w:t xml:space="preserve">. The Company shall have delivered to the Investors the opinion of Cooley LLP, dated as of the Closing Date, in customary form and substance to be reasonably agreed upon with the Investor Majority and addressing such legal matters as the Investor Majority and the Company reasonably agree.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Registration Statement; No Stop Orders</w:t>
      </w:r>
      <w:r>
        <w:rPr>
          <w:rFonts w:ascii="Times New Roman" w:hAnsi="Times New Roman"/>
          <w:sz w:val="20"/>
        </w:rPr>
        <w:t xml:space="preserve">. The Registration Statement shall have become effective under the Securities Act and no stop order suspending the effectiveness of the Registration Statement shall have been issued and no proceeding for that purpose, and no similar proceeding with respect to the Registration Statement shall have been initiated or threatened in writing by the SEC or its staff. The Parent Common Stock shall be listed on the National Exchange and shall not have been suspended, as of the Closing Date, by the SEC or the National Exchange from trading thereon.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Nasdaq</w:t>
      </w:r>
      <w:r>
        <w:rPr>
          <w:rFonts w:ascii="Times New Roman" w:hAnsi="Times New Roman"/>
          <w:sz w:val="20"/>
        </w:rPr>
        <w:t xml:space="preserve">. The Nasdaq Listing Application (as defined in the Merger Agreement) shall have been approved by Nasdaq and the shares of Parent Common Stock to be issued upon conversion of the Shares pursuant to the Merger Agreement shall have been approved for listing (subject to official notice of issuance) on Nasdaq.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Merger</w:t>
      </w:r>
      <w:r>
        <w:rPr>
          <w:rFonts w:ascii="Times New Roman" w:hAnsi="Times New Roman"/>
          <w:sz w:val="20"/>
        </w:rPr>
        <w:t xml:space="preserve">. All conditions to the closing of the Merger shall have been satisfied or waived (other than the Closing hereunder and other than those conditions which, by their nature, are to be satisfied at the closing of the transactions contemplated by the Merger Agreement), and the closing of the Merger shall be set to occur substantially concurrently with the Closing hereunder. The Merger Agreement shall not have been amended or modified, and the Company shall not have waived any provision thereunder, in each case in a manner that would reasonably be expected to materially and adversely affect the benefits that an Investor would reasonably expect to receive under this Agreement without having received the prior written consent of the Investor Majority. The Merger Agreement or any provision thereof shall not have been amended, modified, supplemented, terminated or waived in contravention of Section 5.13.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Conditions to the Obligation of the Company</w:t>
      </w:r>
      <w:r>
        <w:rPr>
          <w:rFonts w:ascii="Times New Roman" w:hAnsi="Times New Roman"/>
          <w:sz w:val="20"/>
        </w:rPr>
        <w:t xml:space="preserve">. The obligation of the Company to consummate the transactions to be consummated at the Closing, and to issue and sell to each Investor the Securities to be purchased by it at the Closing pursuant to this Agreement, is subject to the satisfaction or waiver in writing of the following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representations and warranties of each Investor in </w:t>
      </w:r>
      <w:r>
        <w:rPr>
          <w:rFonts w:ascii="Times New Roman" w:hAnsi="Times New Roman"/>
          <w:sz w:val="20"/>
          <w:u w:val="single"/>
        </w:rPr>
        <w:t>Section 4</w:t>
      </w:r>
      <w:r>
        <w:rPr>
          <w:rFonts w:ascii="Times New Roman" w:hAnsi="Times New Roman"/>
          <w:sz w:val="20"/>
        </w:rPr>
        <w:t xml:space="preserve"> hereto shall be true and correct on and as of the Closing Date, with the same force and effect as though made on and as of the Closing Date, except to the extent that any such representation or warranty expressly speaks as of an earlier date, in which case such representation and warranty shall be true and correct in all respects as of such earlier date, and consummation of the Closing shall constitute a reaffirmation by the Investor of each of the representations, warranties, covenants and agreements of the Investor contained in this Agreement as of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w:t>
      </w:r>
      <w:r>
        <w:rPr>
          <w:rFonts w:ascii="Times New Roman" w:hAnsi="Times New Roman"/>
          <w:sz w:val="20"/>
        </w:rPr>
        <w:t xml:space="preserve">. Each Investor shall have performed or complied with in all material respects all obligations and conditions herein required to be performed or observed by such Investor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Injunction</w:t>
      </w:r>
      <w:r>
        <w:rPr>
          <w:rFonts w:ascii="Times New Roman" w:hAnsi="Times New Roman"/>
          <w:sz w:val="20"/>
        </w:rPr>
        <w:t xml:space="preserve">. The purchase of and payment for the Securities by each Investor shall not be prohibited or enjoined by any law or governmental or court order or regulation.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Registration Rights Agreement</w:t>
      </w:r>
      <w:r>
        <w:rPr>
          <w:rFonts w:ascii="Times New Roman" w:hAnsi="Times New Roman"/>
          <w:sz w:val="20"/>
        </w:rPr>
        <w:t xml:space="preserve">. Each Investor shall have executed and delivered the Registration Rights Agreement to the Company in the form attached as </w:t>
      </w:r>
      <w:r>
        <w:rPr>
          <w:rFonts w:ascii="Times New Roman" w:hAnsi="Times New Roman"/>
          <w:sz w:val="20"/>
          <w:u w:val="single"/>
        </w:rPr>
        <w:t>Exhibit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Payment</w:t>
      </w:r>
      <w:r>
        <w:rPr>
          <w:rFonts w:ascii="Times New Roman" w:hAnsi="Times New Roman"/>
          <w:sz w:val="20"/>
        </w:rPr>
        <w:t xml:space="preserve">. Except as may be agreed to among the Company and one or more Investors in accordance with </w:t>
      </w:r>
      <w:r>
        <w:rPr>
          <w:rFonts w:ascii="Times New Roman" w:hAnsi="Times New Roman"/>
          <w:sz w:val="20"/>
          <w:u w:val="single"/>
        </w:rPr>
        <w:t>Section 2.2</w:t>
      </w:r>
      <w:r>
        <w:rPr>
          <w:rFonts w:ascii="Times New Roman" w:hAnsi="Times New Roman"/>
          <w:sz w:val="20"/>
        </w:rPr>
        <w:t xml:space="preserve">, the Company shall have received payment, by wire transfer of immediately available funds, in the full amount of the purchase price for the number of Securities being purchased by each Investor at the Closing as set forth in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Termination</w:t>
      </w:r>
      <w:r>
        <w:rPr>
          <w:rFonts w:ascii="Times New Roman" w:hAnsi="Times New Roman"/>
          <w:sz w:val="20"/>
        </w:rPr>
        <w:t xml:space="preserve">. The obligations of the Company, on the one hand, and each Investor, on the other hand, to effect the Closing shall terminate as follows: </w:t>
      </w:r>
    </w:p>
    <w:p>
      <w:pPr>
        <w:pStyle w:val="TextBody"/>
        <w:bidi w:val="0"/>
        <w:spacing w:before="240" w:after="0"/>
        <w:jc w:val="left"/>
        <w:rPr>
          <w:rFonts w:ascii="Times New Roman" w:hAnsi="Times New Roman"/>
          <w:sz w:val="20"/>
        </w:rPr>
      </w:pPr>
      <w:r>
        <w:rPr>
          <w:rFonts w:ascii="Times New Roman" w:hAnsi="Times New Roman"/>
          <w:sz w:val="20"/>
        </w:rPr>
        <w:t xml:space="preserve">(i) upon the mutual written consent of the Company and the Investor Majority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(ii) by the Company, if any of the conditions set forth in </w:t>
      </w:r>
      <w:r>
        <w:rPr>
          <w:rFonts w:ascii="Times New Roman" w:hAnsi="Times New Roman"/>
          <w:sz w:val="20"/>
          <w:u w:val="single"/>
        </w:rPr>
        <w:t>Section 6.2</w:t>
      </w:r>
      <w:r>
        <w:rPr>
          <w:rFonts w:ascii="Times New Roman" w:hAnsi="Times New Roman"/>
          <w:sz w:val="20"/>
        </w:rPr>
        <w:t xml:space="preserve"> shall have become incapable of fulfillment and shall not have been waived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(iii) by an Investor, solely as to itself, if any of the conditions set forth in </w:t>
      </w:r>
      <w:r>
        <w:rPr>
          <w:rFonts w:ascii="Times New Roman" w:hAnsi="Times New Roman"/>
          <w:sz w:val="20"/>
          <w:u w:val="single"/>
        </w:rPr>
        <w:t>Section 6.1</w:t>
      </w:r>
      <w:r>
        <w:rPr>
          <w:rFonts w:ascii="Times New Roman" w:hAnsi="Times New Roman"/>
          <w:sz w:val="20"/>
        </w:rPr>
        <w:t xml:space="preserve"> shall have become incapable of fulfillment and shall not have been waived by such Investor; or </w:t>
      </w:r>
    </w:p>
    <w:p>
      <w:pPr>
        <w:pStyle w:val="TextBody"/>
        <w:bidi w:val="0"/>
        <w:spacing w:before="240" w:after="0"/>
        <w:jc w:val="left"/>
        <w:rPr>
          <w:rFonts w:ascii="Times New Roman" w:hAnsi="Times New Roman"/>
          <w:sz w:val="20"/>
        </w:rPr>
      </w:pPr>
      <w:r>
        <w:rPr>
          <w:rFonts w:ascii="Times New Roman" w:hAnsi="Times New Roman"/>
          <w:sz w:val="20"/>
        </w:rPr>
        <w:t xml:space="preserve">(iv) automatically if the Merger Agreement is terminated in accordance with its terms without the Merger being consummated; or </w:t>
      </w:r>
    </w:p>
    <w:p>
      <w:pPr>
        <w:pStyle w:val="TextBody"/>
        <w:bidi w:val="0"/>
        <w:spacing w:before="240" w:after="0"/>
        <w:jc w:val="left"/>
        <w:rPr>
          <w:rFonts w:ascii="Times New Roman" w:hAnsi="Times New Roman"/>
          <w:sz w:val="20"/>
        </w:rPr>
      </w:pPr>
      <w:r>
        <w:rPr>
          <w:rFonts w:ascii="Times New Roman" w:hAnsi="Times New Roman"/>
          <w:sz w:val="20"/>
        </w:rPr>
        <w:t xml:space="preserve">(v) by either the Company or an Investor, solely as to itself, if the Closing has not occurred on or before February 28, 2027.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except in the case of clauses (ii) through (iv)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Notice</w:t>
      </w:r>
      <w:r>
        <w:rPr>
          <w:rFonts w:ascii="Times New Roman" w:hAnsi="Times New Roman"/>
          <w:sz w:val="20"/>
        </w:rPr>
        <w:t xml:space="preserve">. In the event of termination pursuant to </w:t>
      </w:r>
      <w:r>
        <w:rPr>
          <w:rFonts w:ascii="Times New Roman" w:hAnsi="Times New Roman"/>
          <w:sz w:val="20"/>
          <w:u w:val="single"/>
        </w:rPr>
        <w:t>Section 7.1</w:t>
      </w:r>
      <w:r>
        <w:rPr>
          <w:rFonts w:ascii="Times New Roman" w:hAnsi="Times New Roman"/>
          <w:sz w:val="20"/>
        </w:rPr>
        <w:t xml:space="preserve">, written notice thereof shall be given to each other Investor. Nothing in this </w:t>
      </w:r>
      <w:r>
        <w:rPr>
          <w:rFonts w:ascii="Times New Roman" w:hAnsi="Times New Roman"/>
          <w:sz w:val="20"/>
          <w:u w:val="single"/>
        </w:rPr>
        <w:t>Section 7</w:t>
      </w:r>
      <w:r>
        <w:rPr>
          <w:rFonts w:ascii="Times New Roman" w:hAnsi="Times New Roman"/>
          <w:sz w:val="20"/>
        </w:rPr>
        <w:t xml:space="preserve">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Public Statements or Releases</w:t>
      </w:r>
      <w:r>
        <w:rPr>
          <w:rFonts w:ascii="Times New Roman" w:hAnsi="Times New Roman"/>
          <w:sz w:val="20"/>
        </w:rPr>
        <w:t xml:space="preserve">. Except as set forth in </w:t>
      </w:r>
      <w:r>
        <w:rPr>
          <w:rFonts w:ascii="Times New Roman" w:hAnsi="Times New Roman"/>
          <w:sz w:val="20"/>
          <w:u w:val="single"/>
        </w:rPr>
        <w:t>Section 5.3</w:t>
      </w:r>
      <w:r>
        <w:rPr>
          <w:rFonts w:ascii="Times New Roman" w:hAnsi="Times New Roman"/>
          <w:sz w:val="20"/>
        </w:rPr>
        <w:t xml:space="preserve">, neither the Company nor any Investor shall make any public announcement with respect to the existence or terms of this Agreement or the transactions provided for herein without the prior consent of the other party (which consent shall not be unreasonably withheld) other than filings pursuant to Section 13 and/or Section 16 of the Exchange Act, which, for avoidance of doubt, shall not require the Company’s consent; </w:t>
      </w:r>
      <w:r>
        <w:rPr>
          <w:rFonts w:ascii="Times New Roman" w:hAnsi="Times New Roman"/>
          <w:sz w:val="20"/>
          <w:u w:val="single"/>
        </w:rPr>
        <w:t>provided</w:t>
      </w:r>
      <w:r>
        <w:rPr>
          <w:rFonts w:ascii="Times New Roman" w:hAnsi="Times New Roman"/>
          <w:sz w:val="20"/>
        </w:rPr>
        <w:t xml:space="preserve"> that, the Company shall not publicly disclose the name of any Investor or any affiliate or investment adviser of any Investor without such Investor’s prior written consent (email being sufficient). Notwithstanding the foregoing, and subject to compliance with </w:t>
      </w:r>
      <w:r>
        <w:rPr>
          <w:rFonts w:ascii="Times New Roman" w:hAnsi="Times New Roman"/>
          <w:sz w:val="20"/>
          <w:u w:val="single"/>
        </w:rPr>
        <w:t>Section 5.3</w:t>
      </w:r>
      <w:r>
        <w:rPr>
          <w:rFonts w:ascii="Times New Roman" w:hAnsi="Times New Roman"/>
          <w:sz w:val="20"/>
        </w:rPr>
        <w:t xml:space="preserve">, nothing in this </w:t>
      </w:r>
      <w:r>
        <w:rPr>
          <w:rFonts w:ascii="Times New Roman" w:hAnsi="Times New Roman"/>
          <w:sz w:val="20"/>
          <w:u w:val="single"/>
        </w:rPr>
        <w:t>Section 8.1</w:t>
      </w:r>
      <w:r>
        <w:rPr>
          <w:rFonts w:ascii="Times New Roman" w:hAnsi="Times New Roman"/>
          <w:sz w:val="20"/>
        </w:rPr>
        <w:t xml:space="preserve"> shall prevent any party from making any public announcement it considers necessary in order to satisfy its obligations under the law, including applicable securities laws, or under the rules of any national securities exchange or securities market, in which case the Company shall allow the applicable Investors reasonable time to comment on such release or announcement in advance of such issuance to the extent the Investors are named therein, and the Company will consider in good faith any Investor comments. The Company shall not include the name of the Investor in any press release or public announcement (which, for the avoidance of doubt, shall not include any filing with the SEC if so required by the applicable rules of the SEC) without the prior written consent of the Investors, except as otherwise required by law or the applicable rules or regulations of any securities exchange or securities market, in which case the Company shall allow the Investors, to the extent reasonably practicable in the circumstances, reasonable time to comment on such release or announcement in advance of such issuance. Notwithstanding anything to the contrary in this </w:t>
      </w:r>
      <w:r>
        <w:rPr>
          <w:rFonts w:ascii="Times New Roman" w:hAnsi="Times New Roman"/>
          <w:sz w:val="20"/>
          <w:u w:val="single"/>
        </w:rPr>
        <w:t>Section 8.1</w:t>
      </w:r>
      <w:r>
        <w:rPr>
          <w:rFonts w:ascii="Times New Roman" w:hAnsi="Times New Roman"/>
          <w:sz w:val="20"/>
        </w:rPr>
        <w:t xml:space="preserve">, Investor review shall not be required for Company disclosures that are substantially consistent with prior Company disclosures.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Interpretation</w:t>
      </w:r>
      <w:r>
        <w:rPr>
          <w:rFonts w:ascii="Times New Roman" w:hAnsi="Times New Roman"/>
          <w:sz w:val="20"/>
        </w:rPr>
        <w:t xml:space="preserve">. The words “hereof,” “herein” and “hereunder” and words of similar import when used in this Agreement will refer to this Agreement as a whole and not to any particular provision of this Agreement, and section and subsection references are to this Agreement unless otherwise specified. The headings in this Agreement are included for convenience of reference only and will not limit or otherwise affect the meaning or interpretation of this Agreement. Whenever the words “include,” “includes” or “including” are used in this Agreement, they will be deemed to be followed by the words “without limitation.” The phrases “the date of this Agreement,” “the date hereof” and terms of similar import, unless the context otherwise requires, will be deemed to refer to the date set forth in the first paragraph of this Agreement. The meanings given to terms defined herein will be equally applicable to both the singular and plural forms of such terms. All matters to be agreed to by any party hereto must be agreed to in writing by such party unless otherwise indicated herein. References to agreements, policies, standards, guidelines or instruments, or to statutes or regulations, are to such agreements, policies, standards, guidelines or instruments, or statutes or regulations, as amended or supplemented from time to time (or to successors thereto).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Notices</w:t>
      </w:r>
      <w:r>
        <w:rPr>
          <w:rFonts w:ascii="Times New Roman" w:hAnsi="Times New Roman"/>
          <w:sz w:val="20"/>
        </w:rPr>
        <w:t xml:space="preserve">.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provided no rejection or undeliverable notice is received,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If to the Company, addressed as follows: </w:t>
      </w:r>
    </w:p>
    <w:p>
      <w:pPr>
        <w:pStyle w:val="TextBody"/>
        <w:bidi w:val="0"/>
        <w:spacing w:before="240" w:after="0"/>
        <w:jc w:val="left"/>
        <w:rPr>
          <w:rFonts w:ascii="Times New Roman" w:hAnsi="Times New Roman"/>
          <w:sz w:val="20"/>
        </w:rPr>
      </w:pPr>
      <w:r>
        <w:rPr>
          <w:rFonts w:ascii="Times New Roman" w:hAnsi="Times New Roman"/>
          <w:sz w:val="20"/>
        </w:rPr>
        <w:t xml:space="preserve">Slate Medicines, Inc. </w:t>
      </w:r>
    </w:p>
    <w:p>
      <w:pPr>
        <w:pStyle w:val="TextBody"/>
        <w:bidi w:val="0"/>
        <w:spacing w:before="0" w:after="0"/>
        <w:jc w:val="left"/>
        <w:rPr>
          <w:rFonts w:ascii="Times New Roman" w:hAnsi="Times New Roman"/>
          <w:sz w:val="20"/>
        </w:rPr>
      </w:pPr>
      <w:r>
        <w:rPr>
          <w:rFonts w:ascii="Times New Roman" w:hAnsi="Times New Roman"/>
          <w:sz w:val="20"/>
        </w:rPr>
        <w:t xml:space="preserve">4114 Center at North Hills, Suite 250 </w:t>
      </w:r>
    </w:p>
    <w:p>
      <w:pPr>
        <w:pStyle w:val="TextBody"/>
        <w:bidi w:val="0"/>
        <w:spacing w:before="0" w:after="0"/>
        <w:jc w:val="left"/>
        <w:rPr>
          <w:rFonts w:ascii="Times New Roman" w:hAnsi="Times New Roman"/>
          <w:sz w:val="20"/>
        </w:rPr>
      </w:pPr>
      <w:r>
        <w:rPr>
          <w:rFonts w:ascii="Times New Roman" w:hAnsi="Times New Roman"/>
          <w:sz w:val="20"/>
        </w:rPr>
        <w:t xml:space="preserve">Raleigh, NC 27609 </w:t>
      </w:r>
    </w:p>
    <w:p>
      <w:pPr>
        <w:pStyle w:val="TextBody"/>
        <w:bidi w:val="0"/>
        <w:spacing w:before="0" w:after="0"/>
        <w:jc w:val="left"/>
        <w:rPr>
          <w:rFonts w:ascii="Times New Roman" w:hAnsi="Times New Roman"/>
          <w:sz w:val="20"/>
        </w:rPr>
      </w:pPr>
      <w:r>
        <w:rPr>
          <w:rFonts w:ascii="Times New Roman" w:hAnsi="Times New Roman"/>
          <w:sz w:val="20"/>
        </w:rPr>
        <w:t xml:space="preserve">Attention: Legal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500 Boylston, 14th Floor </w:t>
      </w:r>
    </w:p>
    <w:p>
      <w:pPr>
        <w:pStyle w:val="TextBody"/>
        <w:bidi w:val="0"/>
        <w:spacing w:before="0" w:after="0"/>
        <w:jc w:val="left"/>
        <w:rPr>
          <w:rFonts w:ascii="Times New Roman" w:hAnsi="Times New Roman"/>
          <w:sz w:val="20"/>
        </w:rPr>
      </w:pPr>
      <w:r>
        <w:rPr>
          <w:rFonts w:ascii="Times New Roman" w:hAnsi="Times New Roman"/>
          <w:sz w:val="20"/>
        </w:rPr>
        <w:t xml:space="preserve">Boston, MA 02116 </w:t>
      </w:r>
    </w:p>
    <w:p>
      <w:pPr>
        <w:pStyle w:val="TextBody"/>
        <w:bidi w:val="0"/>
        <w:spacing w:before="0" w:after="0"/>
        <w:jc w:val="left"/>
        <w:rPr>
          <w:rFonts w:ascii="Times New Roman" w:hAnsi="Times New Roman"/>
          <w:sz w:val="20"/>
        </w:rPr>
      </w:pPr>
      <w:r>
        <w:rPr>
          <w:rFonts w:ascii="Times New Roman" w:hAnsi="Times New Roman"/>
          <w:sz w:val="20"/>
        </w:rPr>
        <w:t xml:space="preserve">Attention: Eric Blanchard, Miguel Vega, Lindsey O’Crump </w:t>
      </w:r>
    </w:p>
    <w:p>
      <w:pPr>
        <w:pStyle w:val="TextBody"/>
        <w:bidi w:val="0"/>
        <w:spacing w:before="0" w:after="0"/>
        <w:jc w:val="left"/>
        <w:rPr>
          <w:rFonts w:ascii="Times New Roman" w:hAnsi="Times New Roman"/>
          <w:sz w:val="20"/>
        </w:rPr>
      </w:pPr>
      <w:r>
        <w:rPr>
          <w:rFonts w:ascii="Times New Roman" w:hAnsi="Times New Roman"/>
          <w:sz w:val="20"/>
        </w:rPr>
        <w:t xml:space="preserve">Crow, Madison Jones </w:t>
      </w:r>
    </w:p>
    <w:p>
      <w:pPr>
        <w:pStyle w:val="TextBody"/>
        <w:bidi w:val="0"/>
        <w:spacing w:before="0" w:after="0"/>
        <w:jc w:val="left"/>
        <w:rPr>
          <w:rFonts w:ascii="Times New Roman" w:hAnsi="Times New Roman"/>
          <w:sz w:val="20"/>
        </w:rPr>
      </w:pPr>
      <w:r>
        <w:rPr>
          <w:rFonts w:ascii="Times New Roman" w:hAnsi="Times New Roman"/>
          <w:sz w:val="20"/>
        </w:rPr>
        <w:t xml:space="preserve">Email: [***], [***], [***], [***] </w:t>
      </w:r>
    </w:p>
    <w:p>
      <w:pPr>
        <w:pStyle w:val="TextBody"/>
        <w:bidi w:val="0"/>
        <w:spacing w:before="240" w:after="0"/>
        <w:jc w:val="left"/>
        <w:rPr>
          <w:rFonts w:ascii="Times New Roman" w:hAnsi="Times New Roman"/>
          <w:sz w:val="20"/>
        </w:rPr>
      </w:pPr>
      <w:r>
        <w:rPr>
          <w:rFonts w:ascii="Times New Roman" w:hAnsi="Times New Roman"/>
          <w:sz w:val="20"/>
        </w:rPr>
        <w:t xml:space="preserve">(b) If to any Investor, at its address set forth on </w:t>
      </w:r>
      <w:r>
        <w:rPr>
          <w:rFonts w:ascii="Times New Roman" w:hAnsi="Times New Roman"/>
          <w:sz w:val="20"/>
          <w:u w:val="single"/>
        </w:rPr>
        <w:t>Exhibit A</w:t>
      </w:r>
      <w:r>
        <w:rPr>
          <w:rFonts w:ascii="Times New Roman" w:hAnsi="Times New Roman"/>
          <w:sz w:val="20"/>
        </w:rPr>
        <w:t xml:space="preserve"> or to such e-mail address or address as subsequently modified by written notice given in accordance with this </w:t>
      </w:r>
      <w:r>
        <w:rPr>
          <w:rFonts w:ascii="Times New Roman" w:hAnsi="Times New Roman"/>
          <w:sz w:val="20"/>
          <w:u w:val="single"/>
        </w:rPr>
        <w:t>Section 8.3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Person may change the address to which notices and communications to it are to be addressed by notification as provided for herein.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Consent to Electronic Notice</w:t>
      </w:r>
      <w:r>
        <w:rPr>
          <w:rFonts w:ascii="Times New Roman" w:hAnsi="Times New Roman"/>
          <w:sz w:val="20"/>
        </w:rPr>
        <w:t xml:space="preserve">. Each Investor consents to the delivery of any stockholder notice pursuant to Section 232 of the DGCL, at the e-mail address set forth below the Investor’s name on the signature page or </w:t>
      </w:r>
      <w:r>
        <w:rPr>
          <w:rFonts w:ascii="Times New Roman" w:hAnsi="Times New Roman"/>
          <w:sz w:val="20"/>
          <w:u w:val="single"/>
        </w:rPr>
        <w:t>Exhibit A,</w:t>
      </w:r>
      <w:r>
        <w:rPr>
          <w:rFonts w:ascii="Times New Roman" w:hAnsi="Times New Roman"/>
          <w:sz w:val="20"/>
        </w:rPr>
        <w:t xml:space="preserve">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 </w:t>
      </w:r>
    </w:p>
    <w:p>
      <w:pPr>
        <w:pStyle w:val="TextBody"/>
        <w:bidi w:val="0"/>
        <w:spacing w:before="240" w:after="0"/>
        <w:jc w:val="left"/>
        <w:rPr>
          <w:rFonts w:ascii="Times New Roman" w:hAnsi="Times New Roman"/>
          <w:sz w:val="20"/>
        </w:rPr>
      </w:pPr>
      <w:r>
        <w:rPr>
          <w:rFonts w:ascii="Times New Roman" w:hAnsi="Times New Roman"/>
          <w:sz w:val="20"/>
        </w:rPr>
        <w:t xml:space="preserve">8.5 Severability.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8.6 </w:t>
      </w:r>
      <w:r>
        <w:rPr>
          <w:rFonts w:ascii="Times New Roman" w:hAnsi="Times New Roman"/>
          <w:sz w:val="20"/>
          <w:u w:val="single"/>
        </w:rPr>
        <w:t>Governing Law; Submission to Jurisdiction; Venue; Waiver of Trial by Jury.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shall be governed by, and construed in accordance with, the laws of the State of Delaware without regard to choice of laws or conflicts of laws provisions thereof that would require the application of the laws of any other jurisdiction, except to the extent that mandatory principles of Delaware law may apply.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and each of the Investors hereby irrevocably and unconditionally: </w:t>
      </w:r>
    </w:p>
    <w:p>
      <w:pPr>
        <w:pStyle w:val="TextBody"/>
        <w:bidi w:val="0"/>
        <w:spacing w:before="240" w:after="0"/>
        <w:jc w:val="left"/>
        <w:rPr>
          <w:rFonts w:ascii="Times New Roman" w:hAnsi="Times New Roman"/>
          <w:sz w:val="20"/>
        </w:rPr>
      </w:pPr>
      <w:r>
        <w:rPr>
          <w:rFonts w:ascii="Times New Roman" w:hAnsi="Times New Roman"/>
          <w:sz w:val="20"/>
        </w:rPr>
        <w:t xml:space="preserve">(i) submits for itself and its property in any legal action or proceeding relating solely to this Agreement or the transactions contemplated hereby, to the general jurisdiction of any state court or United States Federal court sitting in the City of Wilmington in the State of Delaware;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(iii) agrees that service of process in any such action or proceeding may be effected by mailing a copy thereof by registered or certified mail (or any substantially similar form of mail), postage prepaid, to the party, as the case may be, at its address set forth in Section 8.3 or at such other address of which the other party shall have been notified pursuant thereto; </w:t>
      </w:r>
    </w:p>
    <w:p>
      <w:pPr>
        <w:pStyle w:val="TextBody"/>
        <w:bidi w:val="0"/>
        <w:spacing w:before="240" w:after="0"/>
        <w:jc w:val="left"/>
        <w:rPr>
          <w:rFonts w:ascii="Times New Roman" w:hAnsi="Times New Roman"/>
          <w:sz w:val="20"/>
        </w:rPr>
      </w:pPr>
      <w:r>
        <w:rPr>
          <w:rFonts w:ascii="Times New Roman" w:hAnsi="Times New Roman"/>
          <w:sz w:val="20"/>
        </w:rPr>
        <w:t xml:space="preserve">(iv) 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(v) 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(vi) 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 </w:t>
      </w:r>
    </w:p>
    <w:p>
      <w:pPr>
        <w:pStyle w:val="TextBody"/>
        <w:bidi w:val="0"/>
        <w:spacing w:before="240" w:after="0"/>
        <w:jc w:val="left"/>
        <w:rPr>
          <w:rFonts w:ascii="Times New Roman" w:hAnsi="Times New Roman"/>
          <w:sz w:val="20"/>
        </w:rPr>
      </w:pPr>
      <w:r>
        <w:rPr>
          <w:rFonts w:ascii="Times New Roman" w:hAnsi="Times New Roman"/>
          <w:sz w:val="20"/>
        </w:rPr>
        <w:t xml:space="preserve">(vii) irrevocably and unconditionally waives trial by jury in any legal action or proceeding in relation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8.7 </w:t>
      </w:r>
      <w:r>
        <w:rPr>
          <w:rFonts w:ascii="Times New Roman" w:hAnsi="Times New Roman"/>
          <w:sz w:val="20"/>
          <w:u w:val="single"/>
        </w:rPr>
        <w:t>Waiver</w:t>
      </w:r>
      <w:r>
        <w:rPr>
          <w:rFonts w:ascii="Times New Roman" w:hAnsi="Times New Roman"/>
          <w:sz w:val="20"/>
        </w:rPr>
        <w:t xml:space="preserve">.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8.8 </w:t>
      </w:r>
      <w:r>
        <w:rPr>
          <w:rFonts w:ascii="Times New Roman" w:hAnsi="Times New Roman"/>
          <w:sz w:val="20"/>
          <w:u w:val="single"/>
        </w:rPr>
        <w:t>Expenses</w:t>
      </w:r>
      <w:r>
        <w:rPr>
          <w:rFonts w:ascii="Times New Roman" w:hAnsi="Times New Roman"/>
          <w:sz w:val="20"/>
        </w:rPr>
        <w:t xml:space="preserve">.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Securities and the consummation of the transactions contemplated thereby; provided, however, that the Company shall pay all Transfer Agent fees (including, without limitation, any fees required for same-day processing of any instruction letter delivered by the Company), stamp taxes and other taxes (other than income taxes) and duties levied in connection with the delivery of any Securities to the Investors. Notwithstanding the foregoing, the Company shall pay the reasonable and documented fees and expenses of Latham &amp; Watkins LLP, counsel for certain of the Investors, in an amount not to exceed $200,000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8.9 </w:t>
      </w:r>
      <w:r>
        <w:rPr>
          <w:rFonts w:ascii="Times New Roman" w:hAnsi="Times New Roman"/>
          <w:sz w:val="20"/>
          <w:u w:val="single"/>
        </w:rPr>
        <w:t>Assignment</w:t>
      </w:r>
      <w:r>
        <w:rPr>
          <w:rFonts w:ascii="Times New Roman" w:hAnsi="Times New Roman"/>
          <w:sz w:val="20"/>
        </w:rPr>
        <w:t xml:space="preserve">. None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an Investor, and (y) the Investors, in the case of the Company, </w:t>
      </w:r>
      <w:r>
        <w:rPr>
          <w:rFonts w:ascii="Times New Roman" w:hAnsi="Times New Roman"/>
          <w:sz w:val="20"/>
          <w:u w:val="single"/>
        </w:rPr>
        <w:t>provided</w:t>
      </w:r>
      <w:r>
        <w:rPr>
          <w:rFonts w:ascii="Times New Roman" w:hAnsi="Times New Roman"/>
          <w:sz w:val="20"/>
        </w:rPr>
        <w:t xml:space="preserve"> that an Investor may, without the prior consent of the Company, assign its rights to purchase the Securities hereunder to any of its affiliates or to any other investment funds or accounts managed or advised by the investment manager who acts on behalf of such Investor (</w:t>
      </w:r>
      <w:r>
        <w:rPr>
          <w:rFonts w:ascii="Times New Roman" w:hAnsi="Times New Roman"/>
          <w:sz w:val="20"/>
          <w:u w:val="single"/>
        </w:rPr>
        <w:t>provided</w:t>
      </w:r>
      <w:r>
        <w:rPr>
          <w:rFonts w:ascii="Times New Roman" w:hAnsi="Times New Roman"/>
          <w:sz w:val="20"/>
        </w:rPr>
        <w:t xml:space="preserve"> each such assignee agrees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bound by the terms of this Agreement and makes the same representations and warranties set forth in </w:t>
      </w:r>
      <w:r>
        <w:rPr>
          <w:rFonts w:ascii="Times New Roman" w:hAnsi="Times New Roman"/>
          <w:sz w:val="20"/>
          <w:u w:val="single"/>
        </w:rPr>
        <w:t>Section 4</w:t>
      </w:r>
      <w:r>
        <w:rPr>
          <w:rFonts w:ascii="Times New Roman" w:hAnsi="Times New Roman"/>
          <w:sz w:val="20"/>
        </w:rPr>
        <w:t xml:space="preserve"> hereof).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 unless expressly consented to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8.10 </w:t>
      </w:r>
      <w:r>
        <w:rPr>
          <w:rFonts w:ascii="Times New Roman" w:hAnsi="Times New Roman"/>
          <w:sz w:val="20"/>
          <w:u w:val="single"/>
        </w:rPr>
        <w:t>Confidential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Investor covenants that until such time as the transactions contemplated by this Agreement and any material non-public information provided to such Investor are publicly disclosed by the Company in accordance with Section 5.3, such Investor will maintain the confidentiality of all disclosures made to it in connection with this transaction (including the existence and terms of this transaction), other than to such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(b) The Company may request from the Investors such reasonable and customary additional information as the Company may deem necessary to evaluate the eligibility of the Investor to acquire the Securities, and the Investor shall promptly provide such information as may reasonably be requested to the extent readily available; provided, that the Company agrees to keep any such information provided by the Investor confidential, except (i) as required by the federal securities laws, rules or regulations, (ii) to the extent such disclosure is required by other laws, rules or regulations, and (iii) at the request of the staff of the SEC or regulatory agency or under the regulations of Nasdaq. The Investor acknowledges that the Company may file a form of this Agreement and the Registration Rights Agreement with the SEC as exhibits to a periodic report or a registration statement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8.11 </w:t>
      </w:r>
      <w:r>
        <w:rPr>
          <w:rFonts w:ascii="Times New Roman" w:hAnsi="Times New Roman"/>
          <w:sz w:val="20"/>
          <w:u w:val="single"/>
        </w:rPr>
        <w:t>Third Parties</w:t>
      </w:r>
      <w:r>
        <w:rPr>
          <w:rFonts w:ascii="Times New Roman" w:hAnsi="Times New Roman"/>
          <w:sz w:val="20"/>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except as expressly set forth in this Agreement. Notwithstanding the foregoing, the Indemnified Persons are intended third-party beneficiaries of Section 5.9. </w:t>
      </w:r>
    </w:p>
    <w:p>
      <w:pPr>
        <w:pStyle w:val="TextBody"/>
        <w:bidi w:val="0"/>
        <w:spacing w:before="240" w:after="0"/>
        <w:jc w:val="left"/>
        <w:rPr>
          <w:rFonts w:ascii="Times New Roman" w:hAnsi="Times New Roman"/>
          <w:sz w:val="20"/>
        </w:rPr>
      </w:pPr>
      <w:r>
        <w:rPr>
          <w:rFonts w:ascii="Times New Roman" w:hAnsi="Times New Roman"/>
          <w:sz w:val="20"/>
        </w:rPr>
        <w:t xml:space="preserve">8.12 </w:t>
      </w:r>
      <w:r>
        <w:rPr>
          <w:rFonts w:ascii="Times New Roman" w:hAnsi="Times New Roman"/>
          <w:sz w:val="20"/>
          <w:u w:val="single"/>
        </w:rPr>
        <w:t>Independent Nature of Investors’ Obligations and Right</w:t>
      </w:r>
      <w:r>
        <w:rPr>
          <w:rFonts w:ascii="Times New Roman" w:hAnsi="Times New Roman"/>
          <w:sz w:val="20"/>
        </w:rPr>
        <w:t xml:space="preserve">. The obligations of each Investor under this Agreement are several and not joint with the obligations of any other Investor, and no Investor shall be responsible in any way for the performance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 venture or any other kind of entity, or create a presumption that the Investors are in any way acting in concert or as a group (including a “group” within the meaning of Section 13(d)(3) of the Exchange Act), and the Company will not assert any such claim with respect to such obligations or the transactions contemplated by this Agreement and the Company acknowledges that the Investors are not acting in concert or as a group with respect to such obligations or the transactions contemplated by this Agreement. It is expressly understood that each provision contained in this Agreement is between the Company and an Investor, solely, and not between the Company and the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collectively and not between and among the Investors. The Company acknowledges and each Investor confirms that it has independently participated in the negotiation of the transaction contemplated hereby with the advice of its own counsel and advisors. Each Investor also acknowledges that Cooley LLP has not rendered legal advice to such Investor. Each Investor shall be entitled to independently protect and enforce its rights, including, without limitation, the rights arising out of this Agreement, and it shall not be necessary for any other Investor to be joined as an additional party in any proceeding for such purpose. The Company has elected to provide all Investors with the same terms and Transaction Agreements for the convenience of the Company and not because it was required or requested to do so by any Investor. </w:t>
      </w:r>
    </w:p>
    <w:p>
      <w:pPr>
        <w:pStyle w:val="TextBody"/>
        <w:bidi w:val="0"/>
        <w:spacing w:before="240" w:after="0"/>
        <w:jc w:val="left"/>
        <w:rPr>
          <w:rFonts w:ascii="Times New Roman" w:hAnsi="Times New Roman"/>
          <w:sz w:val="20"/>
        </w:rPr>
      </w:pPr>
      <w:r>
        <w:rPr>
          <w:rFonts w:ascii="Times New Roman" w:hAnsi="Times New Roman"/>
          <w:sz w:val="20"/>
        </w:rPr>
        <w:t xml:space="preserve">8.13 </w:t>
      </w:r>
      <w:r>
        <w:rPr>
          <w:rFonts w:ascii="Times New Roman" w:hAnsi="Times New Roman"/>
          <w:sz w:val="20"/>
          <w:u w:val="single"/>
        </w:rPr>
        <w:t>Headings</w:t>
      </w:r>
      <w:r>
        <w:rPr>
          <w:rFonts w:ascii="Times New Roman" w:hAnsi="Times New Roman"/>
          <w:sz w:val="20"/>
        </w:rPr>
        <w:t xml:space="preserve">. The titles, subtitles and headings in this Agreement are for convenience of reference and shall not form part of, or affect the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8.14 </w:t>
      </w:r>
      <w:r>
        <w:rPr>
          <w:rFonts w:ascii="Times New Roman" w:hAnsi="Times New Roman"/>
          <w:sz w:val="20"/>
          <w:u w:val="single"/>
        </w:rPr>
        <w:t>Counterparts</w:t>
      </w:r>
      <w:r>
        <w:rPr>
          <w:rFonts w:ascii="Times New Roman" w:hAnsi="Times New Roman"/>
          <w:sz w:val="20"/>
        </w:rPr>
        <w:t xml:space="preserve">. This Agreement may be executed in two (2)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 </w:t>
      </w:r>
    </w:p>
    <w:p>
      <w:pPr>
        <w:pStyle w:val="TextBody"/>
        <w:bidi w:val="0"/>
        <w:spacing w:before="240" w:after="0"/>
        <w:jc w:val="left"/>
        <w:rPr>
          <w:rFonts w:ascii="Times New Roman" w:hAnsi="Times New Roman"/>
          <w:sz w:val="20"/>
        </w:rPr>
      </w:pPr>
      <w:r>
        <w:rPr>
          <w:rFonts w:ascii="Times New Roman" w:hAnsi="Times New Roman"/>
          <w:sz w:val="20"/>
        </w:rPr>
        <w:t xml:space="preserve">8.15 </w:t>
      </w:r>
      <w:r>
        <w:rPr>
          <w:rFonts w:ascii="Times New Roman" w:hAnsi="Times New Roman"/>
          <w:sz w:val="20"/>
          <w:u w:val="single"/>
        </w:rPr>
        <w:t>Entire Agreement; Amendments</w:t>
      </w:r>
      <w:r>
        <w:rPr>
          <w:rFonts w:ascii="Times New Roman" w:hAnsi="Times New Roman"/>
          <w:sz w:val="20"/>
        </w:rPr>
        <w:t>. This Agreement and the other Transaction Agreements (including all schedules and exhibits hereto and thereto), constitute the entire agreement between the parties hereto respecting the subject matter hereof and thereof and supersede all prior agreements, negotiations, understandings, representations and statements respecting the subject matter hereof and thereof, whether written or oral. No amendment, modification, alteration, or change in any of the terms of this Agreement shall be valid or binding upon the parties hereto unless made in writing and duly executed by the Company and the Investor Majority. Notwithstanding the foregoing, this Agreement may not be amended with respect to any Investor without the written consent of such Investor unless such amendment or waiver applies to all Investors in the same fashion. The Company, on the one hand, and each Investor, on the other hand, may by an instrument signed in writing by such parties waive the performance, compliance or satisfaction by such Investor or the Company, respectively, with any term or provision hereof or any condition hereto to be performed, complied with or satisfied by such Investor or the Company, respectively. For the avoidance of doubt, an amendment to this Agreement after the date hereof allowing for the sale of additional Securities (“</w:t>
      </w:r>
      <w:r>
        <w:rPr>
          <w:rFonts w:ascii="Times New Roman" w:hAnsi="Times New Roman"/>
          <w:b/>
          <w:sz w:val="20"/>
        </w:rPr>
        <w:t>Additional Securities</w:t>
      </w:r>
      <w:r>
        <w:rPr>
          <w:rFonts w:ascii="Times New Roman" w:hAnsi="Times New Roman"/>
          <w:sz w:val="20"/>
        </w:rPr>
        <w:t xml:space="preserve">”) to one or more Persons (whether or not an existing Investor) shall only require the approval of the Company and the Investor Majority; </w:t>
      </w:r>
      <w:r>
        <w:rPr>
          <w:rFonts w:ascii="Times New Roman" w:hAnsi="Times New Roman"/>
          <w:sz w:val="20"/>
          <w:u w:val="single"/>
        </w:rPr>
        <w:t>provided</w:t>
      </w:r>
      <w:r>
        <w:rPr>
          <w:rFonts w:ascii="Times New Roman" w:hAnsi="Times New Roman"/>
          <w:sz w:val="20"/>
        </w:rPr>
        <w:t xml:space="preserve"> that the price paid for such Additional Securities is equal to or greater than the Share Price. </w:t>
      </w:r>
    </w:p>
    <w:p>
      <w:pPr>
        <w:pStyle w:val="TextBody"/>
        <w:bidi w:val="0"/>
        <w:spacing w:before="240" w:after="0"/>
        <w:jc w:val="left"/>
        <w:rPr>
          <w:rFonts w:ascii="Times New Roman" w:hAnsi="Times New Roman"/>
          <w:sz w:val="20"/>
        </w:rPr>
      </w:pPr>
      <w:r>
        <w:rPr>
          <w:rFonts w:ascii="Times New Roman" w:hAnsi="Times New Roman"/>
          <w:sz w:val="20"/>
        </w:rPr>
        <w:t xml:space="preserve">8.16 </w:t>
      </w:r>
      <w:r>
        <w:rPr>
          <w:rFonts w:ascii="Times New Roman" w:hAnsi="Times New Roman"/>
          <w:sz w:val="20"/>
          <w:u w:val="single"/>
        </w:rPr>
        <w:t>Survival</w:t>
      </w:r>
      <w:r>
        <w:rPr>
          <w:rFonts w:ascii="Times New Roman" w:hAnsi="Times New Roman"/>
          <w:sz w:val="20"/>
        </w:rPr>
        <w:t xml:space="preserve">. The covenants, representations and warranties made by each party hereto contained in this Agreement shall survive the Closing and the delivery of the Securities in accordance with their respective terms. Each Investor shall be responsible only for its own representations, warranties, agreements and covenants hereunder. </w:t>
      </w:r>
    </w:p>
    <w:p>
      <w:pPr>
        <w:pStyle w:val="TextBody"/>
        <w:bidi w:val="0"/>
        <w:spacing w:before="240" w:after="0"/>
        <w:jc w:val="left"/>
        <w:rPr>
          <w:rFonts w:ascii="Times New Roman" w:hAnsi="Times New Roman"/>
          <w:sz w:val="20"/>
        </w:rPr>
      </w:pPr>
      <w:r>
        <w:rPr>
          <w:rFonts w:ascii="Times New Roman" w:hAnsi="Times New Roman"/>
          <w:sz w:val="20"/>
        </w:rPr>
        <w:t xml:space="preserve">8.17 </w:t>
      </w:r>
      <w:r>
        <w:rPr>
          <w:rFonts w:ascii="Times New Roman" w:hAnsi="Times New Roman"/>
          <w:sz w:val="20"/>
          <w:u w:val="single"/>
        </w:rPr>
        <w:t>Mutual Drafting</w:t>
      </w:r>
      <w:r>
        <w:rPr>
          <w:rFonts w:ascii="Times New Roman" w:hAnsi="Times New Roman"/>
          <w:sz w:val="20"/>
        </w:rPr>
        <w:t xml:space="preserve">. This Agreement is the joint product of each Investor and the Company and each provision hereof has been subject to the mutual consultation, negotiation and agreement of such parties and shall not be construed for or against any party hereto. </w:t>
      </w:r>
    </w:p>
    <w:p>
      <w:pPr>
        <w:pStyle w:val="TextBody"/>
        <w:bidi w:val="0"/>
        <w:spacing w:before="240" w:after="0"/>
        <w:jc w:val="left"/>
        <w:rPr>
          <w:rFonts w:ascii="Times New Roman" w:hAnsi="Times New Roman"/>
          <w:sz w:val="20"/>
        </w:rPr>
      </w:pPr>
      <w:r>
        <w:rPr>
          <w:rFonts w:ascii="Times New Roman" w:hAnsi="Times New Roman"/>
          <w:sz w:val="20"/>
        </w:rPr>
        <w:t xml:space="preserve">8.18 </w:t>
      </w:r>
      <w:r>
        <w:rPr>
          <w:rFonts w:ascii="Times New Roman" w:hAnsi="Times New Roman"/>
          <w:sz w:val="20"/>
          <w:u w:val="single"/>
        </w:rPr>
        <w:t>Arm’s Length Negotiations</w:t>
      </w:r>
      <w:r>
        <w:rPr>
          <w:rFonts w:ascii="Times New Roman" w:hAnsi="Times New Roman"/>
          <w:sz w:val="20"/>
        </w:rPr>
        <w:t xml:space="preserve">. For the avoidance of doubt, the parties acknowledge and confirm that the terms and conditions of the Securities were determined as a result of arm’s-length negotiations.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22"/>
        <w:gridCol w:w="131"/>
        <w:gridCol w:w="3229"/>
      </w:tblGrid>
      <w:tr>
        <w:trPr/>
        <w:tc>
          <w:tcPr>
            <w:tcW w:w="722"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32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SLATE MEDICINES, INC.</w:t>
            </w:r>
          </w:p>
        </w:tc>
      </w:tr>
      <w:tr>
        <w:trPr>
          <w:trHeight w:val="240" w:hRule="atLeast"/>
        </w:trPr>
        <w:tc>
          <w:tcPr>
            <w:tcW w:w="722" w:type="dxa"/>
            <w:tcBorders/>
            <w:vAlign w:val="center"/>
          </w:tcPr>
          <w:p>
            <w:pPr>
              <w:pStyle w:val="TableContents"/>
              <w:bidi w:val="0"/>
              <w:spacing w:before="0" w:after="283"/>
              <w:jc w:val="left"/>
              <w:rPr>
                <w:sz w:val="4"/>
                <w:szCs w:val="4"/>
              </w:rPr>
            </w:pPr>
            <w:r>
              <w:rPr>
                <w:sz w:val="4"/>
                <w:szCs w:val="4"/>
              </w:rPr>
            </w:r>
          </w:p>
        </w:tc>
        <w:tc>
          <w:tcPr>
            <w:tcW w:w="3360" w:type="dxa"/>
            <w:gridSpan w:val="2"/>
            <w:tcBorders/>
            <w:vAlign w:val="center"/>
          </w:tcPr>
          <w:p>
            <w:pPr>
              <w:pStyle w:val="TableContents"/>
              <w:bidi w:val="0"/>
              <w:spacing w:before="0" w:after="283"/>
              <w:jc w:val="left"/>
              <w:rPr>
                <w:sz w:val="4"/>
                <w:szCs w:val="4"/>
              </w:rPr>
            </w:pPr>
            <w:r>
              <w:rPr>
                <w:sz w:val="4"/>
                <w:szCs w:val="4"/>
              </w:rPr>
            </w:r>
          </w:p>
        </w:tc>
      </w:tr>
      <w:tr>
        <w:trPr/>
        <w:tc>
          <w:tcPr>
            <w:tcW w:w="722" w:type="dxa"/>
            <w:tcBorders/>
          </w:tcPr>
          <w:p>
            <w:pPr>
              <w:pStyle w:val="TableContents"/>
              <w:bidi w:val="0"/>
              <w:spacing w:before="0" w:after="283"/>
              <w:jc w:val="left"/>
              <w:rPr/>
            </w:pPr>
            <w:r>
              <w:rPr/>
              <w:t>By:</w:t>
            </w:r>
          </w:p>
        </w:tc>
        <w:tc>
          <w:tcPr>
            <w:tcW w:w="131" w:type="dxa"/>
            <w:tcBorders/>
            <w:vAlign w:val="bottom"/>
          </w:tcPr>
          <w:p>
            <w:pPr>
              <w:pStyle w:val="TableContents"/>
              <w:bidi w:val="0"/>
              <w:spacing w:before="0" w:after="283"/>
              <w:jc w:val="left"/>
              <w:rPr/>
            </w:pPr>
            <w:r>
              <w:rPr/>
              <w:t> </w:t>
            </w:r>
          </w:p>
        </w:tc>
        <w:tc>
          <w:tcPr>
            <w:tcW w:w="3229"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164"/>
        <w:gridCol w:w="111"/>
        <w:gridCol w:w="2807"/>
      </w:tblGrid>
      <w:tr>
        <w:trPr/>
        <w:tc>
          <w:tcPr>
            <w:tcW w:w="1164"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[NAME]</w:t>
            </w:r>
          </w:p>
        </w:tc>
      </w:tr>
      <w:tr>
        <w:trPr>
          <w:trHeight w:val="240" w:hRule="atLeast"/>
        </w:trPr>
        <w:tc>
          <w:tcPr>
            <w:tcW w:w="1164" w:type="dxa"/>
            <w:tcBorders/>
            <w:vAlign w:val="center"/>
          </w:tcPr>
          <w:p>
            <w:pPr>
              <w:pStyle w:val="TableContents"/>
              <w:bidi w:val="0"/>
              <w:spacing w:before="0" w:after="283"/>
              <w:jc w:val="left"/>
              <w:rPr>
                <w:sz w:val="4"/>
                <w:szCs w:val="4"/>
              </w:rPr>
            </w:pPr>
            <w:r>
              <w:rPr>
                <w:sz w:val="4"/>
                <w:szCs w:val="4"/>
              </w:rPr>
            </w:r>
          </w:p>
        </w:tc>
        <w:tc>
          <w:tcPr>
            <w:tcW w:w="2918"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tcPr>
          <w:p>
            <w:pPr>
              <w:pStyle w:val="TableContents"/>
              <w:bidi w:val="0"/>
              <w:spacing w:before="0" w:after="283"/>
              <w:jc w:val="left"/>
              <w:rPr/>
            </w:pPr>
            <w:r>
              <w:rPr/>
              <w:t>By:</w:t>
            </w:r>
          </w:p>
        </w:tc>
        <w:tc>
          <w:tcPr>
            <w:tcW w:w="111" w:type="dxa"/>
            <w:tcBorders/>
            <w:vAlign w:val="bottom"/>
          </w:tcPr>
          <w:p>
            <w:pPr>
              <w:pStyle w:val="TableContents"/>
              <w:bidi w:val="0"/>
              <w:spacing w:before="0" w:after="283"/>
              <w:jc w:val="left"/>
              <w:rPr/>
            </w:pPr>
            <w:r>
              <w:rPr/>
              <w:t> </w:t>
            </w:r>
          </w:p>
        </w:tc>
        <w:tc>
          <w:tcPr>
            <w:tcW w:w="2807" w:type="dxa"/>
            <w:tcBorders/>
          </w:tcPr>
          <w:p>
            <w:pPr>
              <w:pStyle w:val="TableContents"/>
              <w:pBdr>
                <w:bottom w:val="single" w:sz="2" w:space="1" w:color="000000"/>
              </w:pBdr>
              <w:bidi w:val="0"/>
              <w:spacing w:before="0" w:after="20"/>
              <w:jc w:val="left"/>
              <w:rPr/>
            </w:pPr>
            <w:r>
              <w:rPr/>
              <w:t> </w:t>
            </w:r>
          </w:p>
        </w:tc>
      </w:tr>
      <w:tr>
        <w:trPr>
          <w:trHeight w:val="240" w:hRule="atLeast"/>
        </w:trPr>
        <w:tc>
          <w:tcPr>
            <w:tcW w:w="1164" w:type="dxa"/>
            <w:tcBorders/>
            <w:vAlign w:val="center"/>
          </w:tcPr>
          <w:p>
            <w:pPr>
              <w:pStyle w:val="TableContents"/>
              <w:bidi w:val="0"/>
              <w:spacing w:before="0" w:after="283"/>
              <w:jc w:val="left"/>
              <w:rPr>
                <w:sz w:val="4"/>
                <w:szCs w:val="4"/>
              </w:rPr>
            </w:pPr>
            <w:r>
              <w:rPr>
                <w:sz w:val="4"/>
                <w:szCs w:val="4"/>
              </w:rPr>
            </w:r>
          </w:p>
        </w:tc>
        <w:tc>
          <w:tcPr>
            <w:tcW w:w="2918"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tcPr>
          <w:p>
            <w:pPr>
              <w:pStyle w:val="TableContents"/>
              <w:bidi w:val="0"/>
              <w:spacing w:before="0" w:after="283"/>
              <w:jc w:val="left"/>
              <w:rPr/>
            </w:pPr>
            <w:r>
              <w:rPr/>
              <w:t>Name:</w:t>
            </w:r>
          </w:p>
        </w:tc>
        <w:tc>
          <w:tcPr>
            <w:tcW w:w="111" w:type="dxa"/>
            <w:tcBorders/>
            <w:vAlign w:val="bottom"/>
          </w:tcPr>
          <w:p>
            <w:pPr>
              <w:pStyle w:val="TableContents"/>
              <w:bidi w:val="0"/>
              <w:spacing w:before="0" w:after="283"/>
              <w:jc w:val="left"/>
              <w:rPr/>
            </w:pPr>
            <w:r>
              <w:rPr/>
              <w:t> </w:t>
            </w:r>
          </w:p>
        </w:tc>
        <w:tc>
          <w:tcPr>
            <w:tcW w:w="2807" w:type="dxa"/>
            <w:tcBorders/>
          </w:tcPr>
          <w:p>
            <w:pPr>
              <w:pStyle w:val="TableContents"/>
              <w:pBdr>
                <w:bottom w:val="single" w:sz="2" w:space="1" w:color="000000"/>
              </w:pBdr>
              <w:bidi w:val="0"/>
              <w:spacing w:before="0" w:after="20"/>
              <w:jc w:val="left"/>
              <w:rPr/>
            </w:pPr>
            <w:r>
              <w:rPr/>
              <w:t> </w:t>
            </w:r>
          </w:p>
        </w:tc>
      </w:tr>
      <w:tr>
        <w:trPr>
          <w:trHeight w:val="240" w:hRule="atLeast"/>
        </w:trPr>
        <w:tc>
          <w:tcPr>
            <w:tcW w:w="1164" w:type="dxa"/>
            <w:tcBorders/>
            <w:vAlign w:val="center"/>
          </w:tcPr>
          <w:p>
            <w:pPr>
              <w:pStyle w:val="TableContents"/>
              <w:bidi w:val="0"/>
              <w:spacing w:before="0" w:after="283"/>
              <w:jc w:val="left"/>
              <w:rPr>
                <w:sz w:val="4"/>
                <w:szCs w:val="4"/>
              </w:rPr>
            </w:pPr>
            <w:r>
              <w:rPr>
                <w:sz w:val="4"/>
                <w:szCs w:val="4"/>
              </w:rPr>
            </w:r>
          </w:p>
        </w:tc>
        <w:tc>
          <w:tcPr>
            <w:tcW w:w="2918"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tcPr>
          <w:p>
            <w:pPr>
              <w:pStyle w:val="TableContents"/>
              <w:bidi w:val="0"/>
              <w:spacing w:before="0" w:after="283"/>
              <w:jc w:val="left"/>
              <w:rPr/>
            </w:pPr>
            <w:r>
              <w:rPr/>
              <w:t>Title:</w:t>
            </w:r>
          </w:p>
        </w:tc>
        <w:tc>
          <w:tcPr>
            <w:tcW w:w="111" w:type="dxa"/>
            <w:tcBorders/>
            <w:vAlign w:val="bottom"/>
          </w:tcPr>
          <w:p>
            <w:pPr>
              <w:pStyle w:val="TableContents"/>
              <w:bidi w:val="0"/>
              <w:spacing w:before="0" w:after="283"/>
              <w:jc w:val="left"/>
              <w:rPr/>
            </w:pPr>
            <w:r>
              <w:rPr/>
              <w:t> </w:t>
            </w:r>
          </w:p>
        </w:tc>
        <w:tc>
          <w:tcPr>
            <w:tcW w:w="2807" w:type="dxa"/>
            <w:tcBorders/>
          </w:tcPr>
          <w:p>
            <w:pPr>
              <w:pStyle w:val="TableContents"/>
              <w:pBdr>
                <w:bottom w:val="single" w:sz="2" w:space="1" w:color="000000"/>
              </w:pBdr>
              <w:bidi w:val="0"/>
              <w:spacing w:before="0" w:after="20"/>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INVESTORS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REGISTRATION RIGHTS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10.5 </w:t>
      </w:r>
    </w:p>
    <w:p>
      <w:pPr>
        <w:pStyle w:val="TextBody"/>
        <w:bidi w:val="0"/>
        <w:spacing w:before="48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240" w:after="0"/>
        <w:jc w:val="left"/>
        <w:rPr>
          <w:rFonts w:ascii="Times New Roman" w:hAnsi="Times New Roman"/>
          <w:sz w:val="20"/>
        </w:rPr>
      </w:pPr>
      <w:r>
        <w:rPr>
          <w:rFonts w:ascii="Times New Roman" w:hAnsi="Times New Roman"/>
          <w:b/>
          <w:sz w:val="20"/>
        </w:rPr>
        <w:t xml:space="preserve">THIS REGISTRATION RIGHTS AGREEMENT </w:t>
      </w:r>
      <w:r>
        <w:rPr>
          <w:rFonts w:ascii="Times New Roman" w:hAnsi="Times New Roman"/>
          <w:sz w:val="20"/>
        </w:rPr>
        <w:t>(this “</w:t>
      </w:r>
      <w:r>
        <w:rPr>
          <w:rFonts w:ascii="Times New Roman" w:hAnsi="Times New Roman"/>
          <w:b/>
          <w:sz w:val="20"/>
        </w:rPr>
        <w:t>Agreement</w:t>
      </w:r>
      <w:r>
        <w:rPr>
          <w:rFonts w:ascii="Times New Roman" w:hAnsi="Times New Roman"/>
          <w:sz w:val="20"/>
        </w:rPr>
        <w:t>”), dated as of August 16, 2026, is entered into by and among Slate Medicines, Inc., a Delaware corporation (the “</w:t>
      </w:r>
      <w:r>
        <w:rPr>
          <w:rFonts w:ascii="Times New Roman" w:hAnsi="Times New Roman"/>
          <w:b/>
          <w:sz w:val="20"/>
        </w:rPr>
        <w:t>Company</w:t>
      </w:r>
      <w:r>
        <w:rPr>
          <w:rFonts w:ascii="Times New Roman" w:hAnsi="Times New Roman"/>
          <w:sz w:val="20"/>
        </w:rPr>
        <w:t>”), and the several investors signatory hereto (individually as an “</w:t>
      </w:r>
      <w:r>
        <w:rPr>
          <w:rFonts w:ascii="Times New Roman" w:hAnsi="Times New Roman"/>
          <w:b/>
          <w:sz w:val="20"/>
        </w:rPr>
        <w:t>Investor</w:t>
      </w:r>
      <w:r>
        <w:rPr>
          <w:rFonts w:ascii="Times New Roman" w:hAnsi="Times New Roman"/>
          <w:sz w:val="20"/>
        </w:rPr>
        <w:t>” and collectively together with their respective permitted assigns, the “</w:t>
      </w:r>
      <w:r>
        <w:rPr>
          <w:rFonts w:ascii="Times New Roman" w:hAnsi="Times New Roman"/>
          <w:b/>
          <w:sz w:val="20"/>
        </w:rPr>
        <w:t>Investors</w:t>
      </w:r>
      <w:r>
        <w:rPr>
          <w:rFonts w:ascii="Times New Roman" w:hAnsi="Times New Roman"/>
          <w:sz w:val="20"/>
        </w:rPr>
        <w:t>”). Capitalized terms used herein and not otherwise defined herein shall have the respective meanings set forth in the Securities Purchase Agreement by and among the Company and the parties hereto, dated as of August 16, 2026 (as amended, restated, supplemented or otherwise modified from time to time, the “</w:t>
      </w:r>
      <w:r>
        <w:rPr>
          <w:rFonts w:ascii="Times New Roman" w:hAnsi="Times New Roman"/>
          <w:b/>
          <w:sz w:val="20"/>
        </w:rPr>
        <w:t>Purchase Agreement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WHEREAS: </w:t>
      </w:r>
    </w:p>
    <w:p>
      <w:pPr>
        <w:pStyle w:val="TextBody"/>
        <w:bidi w:val="0"/>
        <w:spacing w:before="240" w:after="0"/>
        <w:jc w:val="left"/>
        <w:rPr>
          <w:rFonts w:ascii="Times New Roman" w:hAnsi="Times New Roman"/>
          <w:sz w:val="20"/>
        </w:rPr>
      </w:pPr>
      <w:r>
        <w:rPr>
          <w:rFonts w:ascii="Times New Roman" w:hAnsi="Times New Roman"/>
          <w:sz w:val="20"/>
        </w:rPr>
        <w:t>A. Upon the terms and subject to the conditions of the Purchase Agreement, the Company has agreed to issue to the Investors, and the Investors have agreed to purchase, severally and not jointly, an aggregate of up to $245,000,000 of (x) shares (the “</w:t>
      </w:r>
      <w:r>
        <w:rPr>
          <w:rFonts w:ascii="Times New Roman" w:hAnsi="Times New Roman"/>
          <w:b/>
          <w:sz w:val="20"/>
        </w:rPr>
        <w:t>Initial Shares</w:t>
      </w:r>
      <w:r>
        <w:rPr>
          <w:rFonts w:ascii="Times New Roman" w:hAnsi="Times New Roman"/>
          <w:sz w:val="20"/>
        </w:rPr>
        <w:t>”) of the Company’s common stock, par value $0.001 per share (the “</w:t>
      </w:r>
      <w:r>
        <w:rPr>
          <w:rFonts w:ascii="Times New Roman" w:hAnsi="Times New Roman"/>
          <w:b/>
          <w:sz w:val="20"/>
        </w:rPr>
        <w:t>Common Stock</w:t>
      </w:r>
      <w:r>
        <w:rPr>
          <w:rFonts w:ascii="Times New Roman" w:hAnsi="Times New Roman"/>
          <w:sz w:val="20"/>
        </w:rPr>
        <w:t>”) pursuant to the Purchase Agreement. The Initial Shares are referred to herein as the “</w:t>
      </w:r>
      <w:r>
        <w:rPr>
          <w:rFonts w:ascii="Times New Roman" w:hAnsi="Times New Roman"/>
          <w:b/>
          <w:sz w:val="20"/>
        </w:rPr>
        <w:t>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The Company is party to that certain Agreement and Plan of Merger (the “</w:t>
      </w:r>
      <w:r>
        <w:rPr>
          <w:rFonts w:ascii="Times New Roman" w:hAnsi="Times New Roman"/>
          <w:b/>
          <w:sz w:val="20"/>
        </w:rPr>
        <w:t>Merger Agreement</w:t>
      </w:r>
      <w:r>
        <w:rPr>
          <w:rFonts w:ascii="Times New Roman" w:hAnsi="Times New Roman"/>
          <w:sz w:val="20"/>
        </w:rPr>
        <w:t>”) by and among the Company, Fulcrum Therapeutics, Inc. (“</w:t>
      </w:r>
      <w:r>
        <w:rPr>
          <w:rFonts w:ascii="Times New Roman" w:hAnsi="Times New Roman"/>
          <w:b/>
          <w:sz w:val="20"/>
        </w:rPr>
        <w:t>Parent</w:t>
      </w:r>
      <w:r>
        <w:rPr>
          <w:rFonts w:ascii="Times New Roman" w:hAnsi="Times New Roman"/>
          <w:sz w:val="20"/>
        </w:rPr>
        <w:t>”), and Fusion Merger Sub I, Inc., a Delaware corporation and a wholly owned subsidiary of Parent, (“</w:t>
      </w:r>
      <w:r>
        <w:rPr>
          <w:rFonts w:ascii="Times New Roman" w:hAnsi="Times New Roman"/>
          <w:b/>
          <w:sz w:val="20"/>
        </w:rPr>
        <w:t>First</w:t>
      </w:r>
      <w:r>
        <w:rPr>
          <w:rFonts w:ascii="Times New Roman" w:hAnsi="Times New Roman"/>
          <w:sz w:val="20"/>
        </w:rPr>
        <w:t xml:space="preserve"> </w:t>
      </w:r>
      <w:r>
        <w:rPr>
          <w:rFonts w:ascii="Times New Roman" w:hAnsi="Times New Roman"/>
          <w:b/>
          <w:sz w:val="20"/>
        </w:rPr>
        <w:t>Merger Sub</w:t>
      </w:r>
      <w:r>
        <w:rPr>
          <w:rFonts w:ascii="Times New Roman" w:hAnsi="Times New Roman"/>
          <w:sz w:val="20"/>
        </w:rPr>
        <w:t>”) and Fusion Merger Sub II, LLC, a Delaware limited liability company and a wholly-owned subsidiary of the Parent (“</w:t>
      </w:r>
      <w:r>
        <w:rPr>
          <w:rFonts w:ascii="Times New Roman" w:hAnsi="Times New Roman"/>
          <w:b/>
          <w:sz w:val="20"/>
        </w:rPr>
        <w:t>Second Merger Sub</w:t>
      </w:r>
      <w:r>
        <w:rPr>
          <w:rFonts w:ascii="Times New Roman" w:hAnsi="Times New Roman"/>
          <w:sz w:val="20"/>
        </w:rPr>
        <w:t>”), pursuant to which First Merger Sub will merge with and into the Company, with the Company surviving and becoming a wholly-owned subsidiary of Parent, and (ii) the Company will merge with and into Second Merger Sub, with Second Merger Sub being the surviving entity and a wholly-owned subsidiary of Parent (together, the “</w:t>
      </w:r>
      <w:r>
        <w:rPr>
          <w:rFonts w:ascii="Times New Roman" w:hAnsi="Times New Roman"/>
          <w:b/>
          <w:sz w:val="20"/>
        </w:rPr>
        <w:t>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 To induce the Investors to enter into the Purchase Agreement, the Company has agreed to provide certain registration rights under the U.S. Securities Act of 1933, as amended, and the rules and regulations thereunder, or any similar successor statute (collectively, the “</w:t>
      </w:r>
      <w:r>
        <w:rPr>
          <w:rFonts w:ascii="Times New Roman" w:hAnsi="Times New Roman"/>
          <w:b/>
          <w:sz w:val="20"/>
        </w:rPr>
        <w:t>Securities Act</w:t>
      </w:r>
      <w:r>
        <w:rPr>
          <w:rFonts w:ascii="Times New Roman" w:hAnsi="Times New Roman"/>
          <w:sz w:val="20"/>
        </w:rPr>
        <w:t xml:space="preserve">”), and applicable state securities laws. </w:t>
      </w:r>
    </w:p>
    <w:p>
      <w:pPr>
        <w:pStyle w:val="TextBody"/>
        <w:bidi w:val="0"/>
        <w:spacing w:before="240" w:after="0"/>
        <w:jc w:val="left"/>
        <w:rPr>
          <w:rFonts w:ascii="Times New Roman" w:hAnsi="Times New Roman"/>
          <w:sz w:val="20"/>
        </w:rPr>
      </w:pPr>
      <w:r>
        <w:rPr>
          <w:rFonts w:ascii="Times New Roman" w:hAnsi="Times New Roman"/>
          <w:b/>
          <w:sz w:val="20"/>
        </w:rPr>
        <w:t xml:space="preserve">NOW, THEREFORE, </w:t>
      </w:r>
      <w:r>
        <w:rPr>
          <w:rFonts w:ascii="Times New Roman" w:hAnsi="Times New Roman"/>
          <w:sz w:val="20"/>
        </w:rPr>
        <w:t xml:space="preserve">in consideration of the promises and the mutual covenants contained herein and other good and valuable consideration, the receipt and sufficiency of which are hereby acknowledged, the Company and the Investors hereby agree as follows: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rPr>
        <w:t>DEFINITIONS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Agreement,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Company</w:t>
      </w:r>
      <w:r>
        <w:rPr>
          <w:rFonts w:ascii="Times New Roman" w:hAnsi="Times New Roman"/>
          <w:sz w:val="20"/>
        </w:rPr>
        <w:t xml:space="preserve">” means Slate Medicines, Inc. for all periods prior to the First Effective Time (as defined in the Merger Agreement) and the Parent (as defined in the Merger Agreement) for all periods following the First Effective Time.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sz w:val="20"/>
        </w:rPr>
        <w:t>Filing Deadline</w:t>
      </w:r>
      <w:r>
        <w:rPr>
          <w:rFonts w:ascii="Times New Roman" w:hAnsi="Times New Roman"/>
          <w:sz w:val="20"/>
        </w:rPr>
        <w:t xml:space="preserve">” means, with respect to the Initial Registration Statement required hereunder, the 30th Business Day following the Closing Date and, with respect to any New Registration Statements or other Registration Statement filed hereunder, the 30th Business Day following the later of (i) the date on which the Company is permitted by SEC Guidance to file such New Registration Statement related to the Registrable Securities and (ii) the date on which the Company becomes aware of the necessity of filing such New Registration Statement related to the Registrable Securities.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b/>
          <w:sz w:val="20"/>
        </w:rPr>
        <w:t>Person</w:t>
      </w:r>
      <w:r>
        <w:rPr>
          <w:rFonts w:ascii="Times New Roman" w:hAnsi="Times New Roman"/>
          <w:sz w:val="20"/>
        </w:rPr>
        <w:t xml:space="preserve">” means any individual or entity including but not limited to any corporation, limited liability company, association, partnership, organization, business, individual, governmental or political subdivision thereof or a governmental agency.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b/>
          <w:sz w:val="20"/>
        </w:rPr>
        <w:t>Register</w:t>
      </w:r>
      <w:r>
        <w:rPr>
          <w:rFonts w:ascii="Times New Roman" w:hAnsi="Times New Roman"/>
          <w:sz w:val="20"/>
        </w:rPr>
        <w:t>,” “</w:t>
      </w:r>
      <w:r>
        <w:rPr>
          <w:rFonts w:ascii="Times New Roman" w:hAnsi="Times New Roman"/>
          <w:b/>
          <w:sz w:val="20"/>
        </w:rPr>
        <w:t>Registered</w:t>
      </w:r>
      <w:r>
        <w:rPr>
          <w:rFonts w:ascii="Times New Roman" w:hAnsi="Times New Roman"/>
          <w:sz w:val="20"/>
        </w:rPr>
        <w:t>,” and “</w:t>
      </w:r>
      <w:r>
        <w:rPr>
          <w:rFonts w:ascii="Times New Roman" w:hAnsi="Times New Roman"/>
          <w:b/>
          <w:sz w:val="20"/>
        </w:rPr>
        <w:t>Registration</w:t>
      </w:r>
      <w:r>
        <w:rPr>
          <w:rFonts w:ascii="Times New Roman" w:hAnsi="Times New Roman"/>
          <w:sz w:val="20"/>
        </w:rPr>
        <w:t>” 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w:t>
      </w:r>
      <w:r>
        <w:rPr>
          <w:rFonts w:ascii="Times New Roman" w:hAnsi="Times New Roman"/>
          <w:b/>
          <w:sz w:val="20"/>
        </w:rPr>
        <w:t>SEC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b/>
          <w:sz w:val="20"/>
        </w:rPr>
        <w:t>Registrable Securities</w:t>
      </w:r>
      <w:r>
        <w:rPr>
          <w:rFonts w:ascii="Times New Roman" w:hAnsi="Times New Roman"/>
          <w:sz w:val="20"/>
        </w:rPr>
        <w:t xml:space="preserve">” means (i) all shares of Parent Common Stock (as defined in the Merger Agreement) issued to an Investor at the closing of the Merger in respect of the Initial Shares and (ii) any Parent Common Stock issued or issuable with respect to the foregoing as a result of any stock split or subdivision, stock dividend, recapitalization, exchange or similar event. Registrable Securities shall cease to be Registrable Securities (and the Company shall not be required to maintain the effectiveness of any, or file another, Registration Statement hereunder with respect thereto) upon the earliest to occur of (A) the date on which such Investor shall have resold such Registrable Securities covered by the Registration Statement, (B) such Registrable Securities have been previously sold by such Investor in accordance with Rule 144, (C) such securities become eligible for resale without volume or manner-of-sale restrictions pursuant to Rule 144 and without the requirement for the Company to be in compliance with the current public information requirement under Rule 144, and (D) five (5) years after the date of this Agreement.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b/>
          <w:sz w:val="20"/>
        </w:rPr>
        <w:t>Registration Expenses</w:t>
      </w:r>
      <w:r>
        <w:rPr>
          <w:rFonts w:ascii="Times New Roman" w:hAnsi="Times New Roman"/>
          <w:sz w:val="20"/>
        </w:rPr>
        <w:t xml:space="preserve">” 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FINRA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 provided that in no event shall the Company be responsible for any underwriting, broker or similar fees or commissions of any Investor or, except to the extent provided for in the Purchase Agreement, any legal fees or other costs of the Investors.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b/>
          <w:sz w:val="20"/>
        </w:rPr>
        <w:t>Registration Statement</w:t>
      </w:r>
      <w:r>
        <w:rPr>
          <w:rFonts w:ascii="Times New Roman" w:hAnsi="Times New Roman"/>
          <w:sz w:val="20"/>
        </w:rPr>
        <w:t xml:space="preserve">” means any registration statement of the Company filed with, or to be filed with, the SEC under the Securities Act, that Registers Registrable Securities, including the related preliminary or final prospectus, amendments and supplements to such registration statement, including pre- and post-effective amendments, and all exhibits and all material incorporated by reference in such registration statement as may be necessary to comply with applicable securities laws. “Registration Statement” shall also include a New Registration Statement, as amended when each became effective, including all documents filed as part thereof or incorporated by reference therein, and including any information contained in a prospectus subsequently filed with the SEC. </w:t>
      </w:r>
    </w:p>
    <w:p>
      <w:pPr>
        <w:pStyle w:val="TextBody"/>
        <w:bidi w:val="0"/>
        <w:spacing w:before="120" w:after="0"/>
        <w:jc w:val="left"/>
        <w:rPr>
          <w:rFonts w:ascii="Times New Roman" w:hAnsi="Times New Roman"/>
          <w:sz w:val="20"/>
        </w:rPr>
      </w:pPr>
      <w:r>
        <w:rPr>
          <w:rFonts w:ascii="Times New Roman" w:hAnsi="Times New Roman"/>
          <w:sz w:val="20"/>
        </w:rPr>
        <w:t>(h) “</w:t>
      </w:r>
      <w:r>
        <w:rPr>
          <w:rFonts w:ascii="Times New Roman" w:hAnsi="Times New Roman"/>
          <w:b/>
          <w:sz w:val="20"/>
        </w:rPr>
        <w:t>Required Investors</w:t>
      </w:r>
      <w:r>
        <w:rPr>
          <w:rFonts w:ascii="Times New Roman" w:hAnsi="Times New Roman"/>
          <w:sz w:val="20"/>
        </w:rPr>
        <w:t xml:space="preserve">” means the Investors holding a majority of the Registrable Securities outstanding from time to time.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b/>
          <w:sz w:val="20"/>
        </w:rPr>
        <w:t>SEC Guidance</w:t>
      </w:r>
      <w:r>
        <w:rPr>
          <w:rFonts w:ascii="Times New Roman" w:hAnsi="Times New Roman"/>
          <w:sz w:val="20"/>
        </w:rPr>
        <w:t xml:space="preserve">” means (i) any publicly-available written or oral guidance of the SEC staff, or any comments, requirements or requests of the SEC staff (whether or not publicly-available); provided, that any such oral guidance, comments, requirements or requests are reduced to writing by the SEC (and shared with the Investors upon request if not publicly-available) and (ii)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(j) “</w:t>
      </w:r>
      <w:r>
        <w:rPr>
          <w:rFonts w:ascii="Times New Roman" w:hAnsi="Times New Roman"/>
          <w:b/>
          <w:sz w:val="20"/>
        </w:rPr>
        <w:t>Selling Expenses</w:t>
      </w:r>
      <w:r>
        <w:rPr>
          <w:rFonts w:ascii="Times New Roman" w:hAnsi="Times New Roman"/>
          <w:sz w:val="20"/>
        </w:rPr>
        <w:t xml:space="preserve">” means all underwriting discounts and selling commissions applicable to the sale of Registrable Securities and all similar fees and commissions relating to an Investor’s disposition of its Registrable Securities.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rPr>
        <w:t>REGISTRATION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Mandatory Registration</w:t>
      </w:r>
      <w:r>
        <w:rPr>
          <w:rFonts w:ascii="Times New Roman" w:hAnsi="Times New Roman"/>
          <w:sz w:val="20"/>
        </w:rPr>
        <w:t>. The Company shall, as promptly as reasonably practicable and in any event no later than the Filing Deadline, prepare and file with the SEC an initial Registration Statement (the “</w:t>
      </w:r>
      <w:r>
        <w:rPr>
          <w:rFonts w:ascii="Times New Roman" w:hAnsi="Times New Roman"/>
          <w:b/>
          <w:sz w:val="20"/>
        </w:rPr>
        <w:t>Initial Registration Statement</w:t>
      </w:r>
      <w:r>
        <w:rPr>
          <w:rFonts w:ascii="Times New Roman" w:hAnsi="Times New Roman"/>
          <w:sz w:val="20"/>
        </w:rPr>
        <w:t xml:space="preserve">”) registering the resale of all Registrable Securities. Before filing the Registration Statement, the Company shall furnish to the Investors a copy of the Registration Statement. The Investors and their respective counsel shall have at least three (3) Business Days prior to the anticipated filing date of a Registration Statement to review and comment upon such Registration Statement and any amendment or supplement to such Registration Statement and any related prospectus (including any documents incorporated by reference therein), prior to its filing with the SEC. Subject to any SEC comments, such Registration Statement shall include the plan of distribution substantially in the form attached hereto as </w:t>
      </w:r>
      <w:r>
        <w:rPr>
          <w:rFonts w:ascii="Times New Roman" w:hAnsi="Times New Roman"/>
          <w:sz w:val="20"/>
          <w:u w:val="single"/>
        </w:rPr>
        <w:t>Exhibit A</w:t>
      </w:r>
      <w:r>
        <w:rPr>
          <w:rFonts w:ascii="Times New Roman" w:hAnsi="Times New Roman"/>
          <w:sz w:val="20"/>
        </w:rPr>
        <w:t xml:space="preserve">. Such Registration Statement also shall cover, to the extent allowable under the Securities Act and the rules promulgated thereunder (including Rule 416), such indeterminate number of additional shares of Parent Common Stock resulting from stock splits, stock dividends or similar transactions with respect to the Registrable Securities. The Company shall (a) consider in good faith any comments reasonably proposed by the Investor or its counsel to such document prior to being so filed with the SEC, and (b) not file any Registration Statement or related prospectus or any amendment or supplement thereto containing information regarding the Investor that the Investor reasonably believes contains an untrue statement of a material fact or omit to state a material fact required to be stated therein or necessary to make the statements therein, in light of the circumstances under which they were made, not misleading, unless such information is required (in the opinion of the Company) to comply with any applicable law or regulation or SEC Guidance. Each Investor shall furnish all information with respect to such Investor reasonably requested by the Company and as shall be reasonably required in connection with any registration referred to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Effectiveness</w:t>
      </w:r>
      <w:r>
        <w:rPr>
          <w:rFonts w:ascii="Times New Roman" w:hAnsi="Times New Roman"/>
          <w:sz w:val="20"/>
        </w:rPr>
        <w:t>. The Company shall use its reasonable best efforts to have the Initial Registration Statement and any amendment declared effective by the SEC at the earliest possible date but no later than the earlier of (a) the sixtieth (60th) calendar day following the initial filing date of the Initial Registration Statement if the SEC notifies the Company that it will “review” the Initial Registration Statement and (b) the fifth (5th) Business Day after the date the Company is notified (orally or in writing, whichever is earlier) by the SEC that the Initial Registration Statement will not be “reviewed” or will not be subject to further review (the “</w:t>
      </w:r>
      <w:r>
        <w:rPr>
          <w:rFonts w:ascii="Times New Roman" w:hAnsi="Times New Roman"/>
          <w:b/>
          <w:sz w:val="20"/>
        </w:rPr>
        <w:t>Effectiveness Deadline</w:t>
      </w:r>
      <w:r>
        <w:rPr>
          <w:rFonts w:ascii="Times New Roman" w:hAnsi="Times New Roman"/>
          <w:sz w:val="20"/>
        </w:rPr>
        <w:t>”); provided that, the Effectiveness Deadline shall be extended by the same number of Business Days on which the SEC remains closed in the event of a government shutdown resulting in the SEC’s inability to review or declare effective the Initial Registration Statement during such time (such days, “</w:t>
      </w:r>
      <w:r>
        <w:rPr>
          <w:rFonts w:ascii="Times New Roman" w:hAnsi="Times New Roman"/>
          <w:b/>
          <w:sz w:val="20"/>
        </w:rPr>
        <w:t>Tolled Days</w:t>
      </w:r>
      <w:r>
        <w:rPr>
          <w:rFonts w:ascii="Times New Roman" w:hAnsi="Times New Roman"/>
          <w:sz w:val="20"/>
        </w:rPr>
        <w:t xml:space="preserve">”). Notwithstanding the foregoing, if, after the 30th consecutive Tolled Day, the SEC remains closed from such government shutdown and is unable to review or declare effective the Initial Registration Statement during such time, then the Company shall promptly, and no later than the fifth Business Day after such 30th consecutive Tolled Day, file an amendment to the Initial Registration Statement to remove the delaying amendment language such that the Initial Registration Statement shall become effective in accordance with Section 8(a) of the Securities Act within 20 calendar days after such filing; provided, that if the SEC re-opens during such 20-day period, the Company may, but is not required to, amend the Initial Registration Statement to re-add the delaying amendment language. The Company shall notify the Investor by e-mail as promptly as practicable, and in any event, within twenty-four (24) hours, after the Registration Statement is declared effective or is supplemented and shall provide the Investor with copies of any related prospectus to be used in connection with the sale or other disposition of the securities covered thereby. The Company shall use reasonable best efforts to keep the Initial Registration Statement continuously effective pursuant to Rule 415 promulgated under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Act and available for the resale by the Investors of all of the Registrable Securities covered thereby at all times until the earliest to occur of the following events: (i) the date on which the Investors shall have resold all the Registrable Securities covered thereby; (ii) the date on which the Registrable Securities may be resold by the Investors without registration and without regard to any volume or manner-of-sale limitations by reason of Rule 144, and without the requirement for the Company to be in compliance with the current public information requirement under Rule 144 under the Securities Act or any other rule of similar effect and (iii) five years after the date of this Agreement (the “</w:t>
      </w:r>
      <w:r>
        <w:rPr>
          <w:rFonts w:ascii="Times New Roman" w:hAnsi="Times New Roman"/>
          <w:b/>
          <w:sz w:val="20"/>
        </w:rPr>
        <w:t>Registration Period</w:t>
      </w:r>
      <w:r>
        <w:rPr>
          <w:rFonts w:ascii="Times New Roman" w:hAnsi="Times New Roman"/>
          <w:sz w:val="20"/>
        </w:rPr>
        <w:t xml:space="preserve">”). The Initial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Sufficient Number of Shares Registered</w:t>
      </w:r>
      <w:r>
        <w:rPr>
          <w:rFonts w:ascii="Times New Roman" w:hAnsi="Times New Roman"/>
          <w:sz w:val="20"/>
        </w:rPr>
        <w:t>. In the event the number of shares available under the Initial Registration Statement at any time is insufficient to cover the Registrable Securities, the Company shall, to the extent necessary and permissible, amend the Initial Registration Statement or file a new registration statement (together with any prospectuses or prospectus supplements thereunder, a “</w:t>
      </w:r>
      <w:r>
        <w:rPr>
          <w:rFonts w:ascii="Times New Roman" w:hAnsi="Times New Roman"/>
          <w:b/>
          <w:sz w:val="20"/>
        </w:rPr>
        <w:t>New Registration Statement</w:t>
      </w:r>
      <w:r>
        <w:rPr>
          <w:rFonts w:ascii="Times New Roman" w:hAnsi="Times New Roman"/>
          <w:sz w:val="20"/>
        </w:rPr>
        <w:t xml:space="preserve">”), so as to cover all of such Registrable Securities as soon as reasonably practicable, but in any event not later than </w:t>
      </w:r>
      <w:r>
        <w:rPr>
          <w:rFonts w:ascii="Times New Roman" w:hAnsi="Times New Roman"/>
          <w:b/>
          <w:sz w:val="20"/>
        </w:rPr>
        <w:t>the Filing Deadline</w:t>
      </w:r>
      <w:r>
        <w:rPr>
          <w:rFonts w:ascii="Times New Roman" w:hAnsi="Times New Roman"/>
          <w:sz w:val="20"/>
        </w:rPr>
        <w:t>. The Company shall use its reasonable best efforts to have such amendment and/or New Registration Statement become effective as soon as reasonably practicable following the filing thereof but no later than the earlier of (i) the sixtieth (60th) calendar day following the initial filing date of the New Registration Statement if the SEC notifies the Company that it will “review” the New Registration Statement and (ii) the fifth (5th) Business Day after the date the Company is notified (orally or in writing, whichever is earlier) by the SEC that the New Registration Statement will not be “reviewed” or will not be subject to further review (the “</w:t>
      </w:r>
      <w:r>
        <w:rPr>
          <w:rFonts w:ascii="Times New Roman" w:hAnsi="Times New Roman"/>
          <w:b/>
          <w:sz w:val="20"/>
        </w:rPr>
        <w:t>New Registration Statement Effectiveness Deadline</w:t>
      </w:r>
      <w:r>
        <w:rPr>
          <w:rFonts w:ascii="Times New Roman" w:hAnsi="Times New Roman"/>
          <w:sz w:val="20"/>
        </w:rPr>
        <w:t xml:space="preserve">”). The provisions of Sections 2(a) and 2(b) shall apply to the New Registration Statement, except as modified hereby.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Allowable Delays</w:t>
      </w:r>
      <w:r>
        <w:rPr>
          <w:rFonts w:ascii="Times New Roman" w:hAnsi="Times New Roman"/>
          <w:sz w:val="20"/>
        </w:rPr>
        <w:t>. On no more than two (2) occasions in any twelve (12)-month period for not more than thirty (30) consecutive days or for a total of not more than sixty (60) days, the Company may delay the effectiveness of the Initial Registration Statement or any other Registration Statement, or suspend the use of any prospectus included in any Registration Statement, in the event that the Board of Directors reasonably determines, in good faith and upon advice of legal counsel, that such delay or suspension is necessary (A) to delay the disclosure of material non-public information concerning the Company, including in connection with the negotiation or consummation of a material transaction by the Company that is pending, that would require additional disclosure by the Company in the Registration Statement of material non-public information that the Company has a bona fide business purpose for preserving as confidential and the non-disclosure of which would be expected, in the reasonable determination of the Board of Directors, upon advice of legal counsel, to cause the Registration Statement to fail to comply with applicable disclosure requirements, or (B) to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hAnsi="Times New Roman"/>
          <w:b/>
          <w:sz w:val="20"/>
        </w:rPr>
        <w:t>Allowed Delay</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that the Company shall promptly (a) notify each Investor in writing of the commencement of an Allowed Delay, but shall not (without the prior written consent of an Investor) disclose to such Investor any material non-public information giving rise to an Allowed Delay, (b) advise the Investors in writing to cease all sales under the applicable Registration Statement until the end of the Allowed Delay and (c) use reasonable best efforts to terminate an Allowed Delay as promptly as practicable. Each Investor may deliver written notice (an “</w:t>
      </w:r>
      <w:r>
        <w:rPr>
          <w:rFonts w:ascii="Times New Roman" w:hAnsi="Times New Roman"/>
          <w:b/>
          <w:sz w:val="20"/>
        </w:rPr>
        <w:t>Opt-Out Notice</w:t>
      </w:r>
      <w:r>
        <w:rPr>
          <w:rFonts w:ascii="Times New Roman" w:hAnsi="Times New Roman"/>
          <w:sz w:val="20"/>
        </w:rPr>
        <w:t xml:space="preserve">”) to the Company requesting that such Investor not receive notices from the Company otherwise required by this </w:t>
      </w:r>
      <w:r>
        <w:rPr>
          <w:rFonts w:ascii="Times New Roman" w:hAnsi="Times New Roman"/>
          <w:sz w:val="20"/>
          <w:u w:val="single"/>
        </w:rPr>
        <w:t>Section 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Investor may later revoke any such Opt-Out Notice in writing, which shall be effective five (5) Business Days after the receipt thereof. Following receipt of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Opt-Out Notice from an Investor (unless subsequently revoked), the Company shall not deliver any notices pursuant to this </w:t>
      </w:r>
      <w:r>
        <w:rPr>
          <w:rFonts w:ascii="Times New Roman" w:hAnsi="Times New Roman"/>
          <w:sz w:val="20"/>
          <w:u w:val="single"/>
        </w:rPr>
        <w:t>Section 2(d)</w:t>
      </w:r>
      <w:r>
        <w:rPr>
          <w:rFonts w:ascii="Times New Roman" w:hAnsi="Times New Roman"/>
          <w:sz w:val="20"/>
        </w:rPr>
        <w:t xml:space="preserve"> to such Investor and such Investor shall no longer be entitled to the rights associated with any such notice (for the avoidance of doubt, without limitation to the Company’s obligation to deliver any notice described in Section 3(e)(iii) hereof).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Rule 415; Cutback</w:t>
      </w:r>
      <w:r>
        <w:rPr>
          <w:rFonts w:ascii="Times New Roman" w:hAnsi="Times New Roman"/>
          <w:sz w:val="20"/>
        </w:rPr>
        <w:t>. If at any time the SEC takes the position that the offering of some or all of the Registrable Securities in any Registration Statement is not eligible to be made on a delayed or continuous basis under the provisions of Rule 415 under the Securities 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the Company shall be obligated to use reasonable best efforts to advocate with the SEC for the registration of all of the Registrable Securities) or requires any Investor to be named as an “underwriter,” the Company shall (i) promptly notify each holder of Registrable Securities thereof and (ii) make reasonable best efforts to persuade the SEC that the offering contemplated by such Registration Statement is a valid secondary offering and not an offering “by or on behalf of the issuer” as defined in Rule 415 and that none of the Investors is an “underwriter.” Each Investor shall have the right to have its legal counsel, at such Investor’s expense, to review and oversee any registration or matters pursuant to this </w:t>
      </w:r>
      <w:r>
        <w:rPr>
          <w:rFonts w:ascii="Times New Roman" w:hAnsi="Times New Roman"/>
          <w:sz w:val="20"/>
          <w:u w:val="single"/>
        </w:rPr>
        <w:t>Section 2(e)</w:t>
      </w:r>
      <w:r>
        <w:rPr>
          <w:rFonts w:ascii="Times New Roman" w:hAnsi="Times New Roman"/>
          <w:sz w:val="20"/>
        </w:rPr>
        <w:t xml:space="preserve">, including to comment on any written submission made to the SEC with respect thereto. No such written submission with respect to this matter shall be made to the SEC to which any Investor’s counsel reasonably objects. In the event that, despite the Company’s reasonable best efforts and compliance with the terms of this </w:t>
      </w:r>
      <w:r>
        <w:rPr>
          <w:rFonts w:ascii="Times New Roman" w:hAnsi="Times New Roman"/>
          <w:sz w:val="20"/>
          <w:u w:val="single"/>
        </w:rPr>
        <w:t>Section 2(e)</w:t>
      </w:r>
      <w:r>
        <w:rPr>
          <w:rFonts w:ascii="Times New Roman" w:hAnsi="Times New Roman"/>
          <w:sz w:val="20"/>
        </w:rPr>
        <w:t>, the SEC refuses to alter its position, the Company shall (i) remove from such Registration Statement such portion of the Registrable Securities and/or (ii) agree to such restrictions and limitations on the registration and resale of the Registrable Securities as the SEC may require to assure the Company’s compliance with the requirements of Rule 415 (collectively, the “</w:t>
      </w:r>
      <w:r>
        <w:rPr>
          <w:rFonts w:ascii="Times New Roman" w:hAnsi="Times New Roman"/>
          <w:b/>
          <w:sz w:val="20"/>
        </w:rPr>
        <w:t>SEC Restrictions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Company shall not name any Investor as an “underwriter” in such Registration Statement without the prior written consent of such Investor (</w:t>
      </w:r>
      <w:r>
        <w:rPr>
          <w:rFonts w:ascii="Times New Roman" w:hAnsi="Times New Roman"/>
          <w:sz w:val="20"/>
          <w:u w:val="single"/>
        </w:rPr>
        <w:t>provided</w:t>
      </w:r>
      <w:r>
        <w:rPr>
          <w:rFonts w:ascii="Times New Roman" w:hAnsi="Times New Roman"/>
          <w:sz w:val="20"/>
        </w:rPr>
        <w:t xml:space="preserve"> that, in the event an Investor withholds such consent, the Company shall have no obligation hereunder to include any Registrable Securities of such Investor in any Registration Statement registering the resale thereof until such time as the SEC no longer requires such Investor to be named as an “underwriter” in such Registration Statement or such Investor otherwise consents in writing to being so named). Any cut-back imposed on the Investors pursuant to this </w:t>
      </w:r>
      <w:r>
        <w:rPr>
          <w:rFonts w:ascii="Times New Roman" w:hAnsi="Times New Roman"/>
          <w:sz w:val="20"/>
          <w:u w:val="single"/>
        </w:rPr>
        <w:t>Section 2(e)</w:t>
      </w:r>
      <w:r>
        <w:rPr>
          <w:rFonts w:ascii="Times New Roman" w:hAnsi="Times New Roman"/>
          <w:sz w:val="20"/>
        </w:rPr>
        <w:t xml:space="preserve"> shall be applied first to any of the Registrable Securities of an Investor that the SEC has indicated cannot be included or must be limited in the number of Registrable Securities that can be included, and thereafter shall be allocated among the Investors on a pro rata basis, unless the SEC Restrictions otherwise require or provide otherwise, or an Investor otherwise agrees. </w:t>
      </w:r>
    </w:p>
    <w:p>
      <w:pPr>
        <w:pStyle w:val="TextBody"/>
        <w:bidi w:val="0"/>
        <w:spacing w:before="120" w:after="0"/>
        <w:jc w:val="left"/>
        <w:rPr>
          <w:rFonts w:ascii="Times New Roman" w:hAnsi="Times New Roman"/>
          <w:sz w:val="20"/>
        </w:rPr>
      </w:pPr>
      <w:r>
        <w:rPr>
          <w:rFonts w:ascii="Times New Roman" w:hAnsi="Times New Roman"/>
          <w:sz w:val="20"/>
        </w:rPr>
        <w:t xml:space="preserve">(f) Each Registration Statement filed hereunder shall be on Form S-3 (except if the Company is not then eligible to register for resale the Registrable Securities on Form S-3, in which case such registration shall be on another form in accordance with the provisions of this </w:t>
      </w:r>
      <w:r>
        <w:rPr>
          <w:rFonts w:ascii="Times New Roman" w:hAnsi="Times New Roman"/>
          <w:sz w:val="20"/>
          <w:u w:val="single"/>
        </w:rPr>
        <w:t>Section 2(f)</w:t>
      </w:r>
      <w:r>
        <w:rPr>
          <w:rFonts w:ascii="Times New Roman" w:hAnsi="Times New Roman"/>
          <w:sz w:val="20"/>
        </w:rPr>
        <w:t xml:space="preserve">). 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w:t>
      </w:r>
      <w:r>
        <w:rPr>
          <w:rFonts w:ascii="Times New Roman" w:hAnsi="Times New Roman"/>
          <w:sz w:val="20"/>
          <w:u w:val="single"/>
        </w:rPr>
        <w:t>provided</w:t>
      </w:r>
      <w:r>
        <w:rPr>
          <w:rFonts w:ascii="Times New Roman" w:hAnsi="Times New Roman"/>
          <w:sz w:val="20"/>
        </w:rPr>
        <w:t xml:space="preserve"> that the Company shall maintain the effectiveness of the Registration Statement then in effect until such time as a Registration Statement on Form S-3 registering the Registrable Securities has been declared effective by the SEC.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rPr>
        <w:t>RELATED COMPANY OBLIGATIONS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Registration Statement and whenever any Registrable Securities are to be Registered pursuant to </w:t>
      </w:r>
      <w:r>
        <w:rPr>
          <w:rFonts w:ascii="Times New Roman" w:hAnsi="Times New Roman"/>
          <w:sz w:val="20"/>
          <w:u w:val="single"/>
        </w:rPr>
        <w:t>Section 2</w:t>
      </w:r>
      <w:r>
        <w:rPr>
          <w:rFonts w:ascii="Times New Roman" w:hAnsi="Times New Roman"/>
          <w:sz w:val="20"/>
        </w:rPr>
        <w:t xml:space="preserve">, including on the Initial Registration Statement or on any New Registration Statement, the Company shall use its reasonable best efforts to effect the registration of the Registrable Securities in accordance with the intended method of disposition thereof and, pursuant thereto, the Company shall have the following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Notifications</w:t>
      </w:r>
      <w:r>
        <w:rPr>
          <w:rFonts w:ascii="Times New Roman" w:hAnsi="Times New Roman"/>
          <w:sz w:val="20"/>
        </w:rPr>
        <w:t xml:space="preserve">. The Company will promptly notify the Investors of the time when any subsequent amendment to the Initial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 regarding the Investor.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Amendments</w:t>
      </w:r>
      <w:r>
        <w:rPr>
          <w:rFonts w:ascii="Times New Roman" w:hAnsi="Times New Roman"/>
          <w:sz w:val="20"/>
        </w:rPr>
        <w:t xml:space="preserve">. The Company will prepare and file with the SEC any amendments, post-effective amendments or supplements to the Initial Registration Statement, any New Registration Statement or any related prospectus, as applicable, that, (a) as may be necessary to keep such Registration Statement effective for the Registration Period and to comply with the provisions of the Securities Act and the Exchange Act with respect to the distribution of all of the Registrable Securities covered thereby, or (b) in the reasonable opinion of an Investor and the Company, as may be necessary or advisable in connection with any acquisition or sale of Registrable Securities by the Investors.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Investor Review</w:t>
      </w:r>
      <w:r>
        <w:rPr>
          <w:rFonts w:ascii="Times New Roman" w:hAnsi="Times New Roman"/>
          <w:sz w:val="20"/>
        </w:rPr>
        <w:t xml:space="preserve">. The Company will not file any amendment or supplement to the Registration Statement, any New Registration Statement or any prospectus, other than documents incorporated by reference, relating to any Investor, the Registrable Securities or the transactions contemplated hereby unless (A) the Investor and its counsel shall have been advised and afforded the opportunity to review and comment thereon at least three (3) Business Days prior to filing with the SEC and (B) the Company shall have given good faith consideration to any comments thereon received from the Investor or its counsel.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Copies Available</w:t>
      </w:r>
      <w:r>
        <w:rPr>
          <w:rFonts w:ascii="Times New Roman" w:hAnsi="Times New Roman"/>
          <w:sz w:val="20"/>
        </w:rPr>
        <w:t xml:space="preserve">. The Company will furnish to any Investor whose Registrable Securities are included in any Registration Statement and its counsel copies of the Initial Registration Statement, any prospectus thereunder (including all documents incorporated by reference therein), any prospectus supplement thereunder, any New Registration Statement and all amendments to the Initial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such other documents as Investor may reasonably request in order to facilitate the disposition of the Registrable Securities owned by such Investor that are covered by such Registration Statement, in each case as soon as reasonably practicable upon such Investor’s request and in such quantities as such Investor may from time to time reasonably request;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be required to furnish any document to the Investor to the extent such document is available on EDGAR.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Notification of Stop Orders; Material Changes</w:t>
      </w:r>
      <w:r>
        <w:rPr>
          <w:rFonts w:ascii="Times New Roman" w:hAnsi="Times New Roman"/>
          <w:sz w:val="20"/>
        </w:rPr>
        <w:t xml:space="preserve">. The Company shall use reasonable best efforts to (i) prevent the issuance of any stop order or other suspension of effectiveness and, (ii) if such order is issued, obtain the withdrawal of any such order as soon as practicable. The Company shall advise the Investors promptly (but in no event later than 24 hours) and shall confirm such advice in writing, in each case: (i) of the Company’s receipt of notice of any request by the SEC or any other federal or state governmental authority for amendment of or a supplement to the Registration Statement or any prospectus or for any additional information; (ii) of the Company’s receipt of notice of the issuance by the SEC or any other federal or state governmental authority of any stop order suspending the effectiveness of the Initial Registration Statement or prohibiting or suspending the use of any prospectus or prospectus supplement, or any New Registration Statement, or of the Company’s receipt of any notification of the suspension of qualification of the Registrable Securities for offering or sale in any jurisdiction or the initiation or contemplated initiation of any proceeding for such purpose; and (iii) of the Company becoming aware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Company shall not be required to disclose to the Investors (and shall not so disclose to any Investor without such Investor’s prior written consent) the substance of specific reasons of any of the events set forth in clauses (i) through (iii) of the immediately preceding sentence and shall not provide any material non-public information to the Investors in such notice (each, a “</w:t>
      </w:r>
      <w:r>
        <w:rPr>
          <w:rFonts w:ascii="Times New Roman" w:hAnsi="Times New Roman"/>
          <w:b/>
          <w:sz w:val="20"/>
        </w:rPr>
        <w:t>Suspension Event</w:t>
      </w:r>
      <w:r>
        <w:rPr>
          <w:rFonts w:ascii="Times New Roman" w:hAnsi="Times New Roman"/>
          <w:sz w:val="20"/>
        </w:rPr>
        <w:t xml:space="preserve">”), but rather, shall only be required to disclose that the event has occurred. If at any time the SEC, or any other federal or state governmental authority shall issue any stop order suspending the effectiveness of any Registration Statement or prohibiting or suspending the use of any prospectus or prospectus supplement, the Company shall use its reasonable best efforts to obtain the withdrawal of such order at the earliest practicable time. The Company shall furnish to any Investor, upon request, without charge, a copy of any correspondence from the SEC or the staff of the SEC, or any other federal or state governmental authority to the Company or its representatives relating to the Initial Registration Statement, any New Registration Statement or any prospectus, or prospectus supplement as the case may be. In the event of a Suspension Event set forth in clause (iii) of the second sentence of this </w:t>
      </w:r>
      <w:r>
        <w:rPr>
          <w:rFonts w:ascii="Times New Roman" w:hAnsi="Times New Roman"/>
          <w:sz w:val="20"/>
          <w:u w:val="single"/>
        </w:rPr>
        <w:t>Section 3(e)</w:t>
      </w:r>
      <w:r>
        <w:rPr>
          <w:rFonts w:ascii="Times New Roman" w:hAnsi="Times New Roman"/>
          <w:sz w:val="20"/>
        </w:rPr>
        <w:t xml:space="preserve">, the Company will use its reasonable best efforts to publicly disclose such event as soon as reasonably practicable, or otherwise resolve the matter such that sales under Registration Statements may resume.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Confirmation of Effectiveness</w:t>
      </w:r>
      <w:r>
        <w:rPr>
          <w:rFonts w:ascii="Times New Roman" w:hAnsi="Times New Roman"/>
          <w:sz w:val="20"/>
        </w:rPr>
        <w:t xml:space="preserve">. If requested by an Investor at any time in respect of any Registration Statement, the Company shall deliver to such Investor a written confirmation (email being sufficient) from Company’s counsel of whether or not the effectiveness of such Registration Statement has lapsed at any time for any reason (including, without limitation, the issuance of a stop order) and whether or not such Registration Statement is currently effective and available to the Company for sale of Registrable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Listing</w:t>
      </w:r>
      <w:r>
        <w:rPr>
          <w:rFonts w:ascii="Times New Roman" w:hAnsi="Times New Roman"/>
          <w:sz w:val="20"/>
        </w:rPr>
        <w:t xml:space="preserve">. The Company shall use reasonable best efforts to cause all Registrable Securities covered by a Registration Statement to be listed on the Nasdaq Global Market and any other National Exchange upon which the Registrable Securities are listed.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Compliance</w:t>
      </w:r>
      <w:r>
        <w:rPr>
          <w:rFonts w:ascii="Times New Roman" w:hAnsi="Times New Roman"/>
          <w:sz w:val="20"/>
        </w:rPr>
        <w:t xml:space="preserve">. The Company shall otherwise use reasonable best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promptly inform the Investor in writing if, at any time during the Registration Period, the Company does not satisfy the conditions specified in Rule 172 and, as a result thereof, the Investor is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twelve (12) months, beginning after the effective date of each Registration Statement, which earnings statement shall satisfy the provisions of Section 11(a) of the Securities Act, including Rule 158 promulgated thereunder (for the purpose of this </w:t>
      </w:r>
      <w:r>
        <w:rPr>
          <w:rFonts w:ascii="Times New Roman" w:hAnsi="Times New Roman"/>
          <w:sz w:val="20"/>
          <w:u w:val="single"/>
        </w:rPr>
        <w:t>Section 3(h)</w:t>
      </w:r>
      <w:r>
        <w:rPr>
          <w:rFonts w:ascii="Times New Roman" w:hAnsi="Times New Roman"/>
          <w:sz w:val="20"/>
        </w:rPr>
        <w:t>, “</w:t>
      </w:r>
      <w:r>
        <w:rPr>
          <w:rFonts w:ascii="Times New Roman" w:hAnsi="Times New Roman"/>
          <w:b/>
          <w:sz w:val="20"/>
        </w:rPr>
        <w:t>Availability Date</w:t>
      </w:r>
      <w:r>
        <w:rPr>
          <w:rFonts w:ascii="Times New Roman" w:hAnsi="Times New Roman"/>
          <w:sz w:val="20"/>
        </w:rPr>
        <w:t xml:space="preserve">” means the forty-fifth (45th) day following the end of the fourth (4th) fiscal quarter that includes the effective date of such Registration Statement, except that, if such fourth (4th) fiscal quarter is the last quarter of the Company’s fiscal year, “Availability Date” means the ninetieth (90th) day after the end of such fourth (4th) fiscal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Blue-Sky</w:t>
      </w:r>
      <w:r>
        <w:rPr>
          <w:rFonts w:ascii="Times New Roman" w:hAnsi="Times New Roman"/>
          <w:sz w:val="20"/>
        </w:rPr>
        <w:t xml:space="preserve">. The Company shall register or qualify or cooperate with an Investor and its counsel in connection with the registration or qualification of such Registrable Securities for the offer and sale under the securities or blue sky laws of such jurisdictions reasonably requested by such Investor;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be required in connection therewith or as a condition thereto to (i) qualify to do business in any jurisdiction where it would not otherwise be required to qualify but for this </w:t>
      </w:r>
      <w:r>
        <w:rPr>
          <w:rFonts w:ascii="Times New Roman" w:hAnsi="Times New Roman"/>
          <w:sz w:val="20"/>
          <w:u w:val="single"/>
        </w:rPr>
        <w:t>Section 3(i)</w:t>
      </w:r>
      <w:r>
        <w:rPr>
          <w:rFonts w:ascii="Times New Roman" w:hAnsi="Times New Roman"/>
          <w:sz w:val="20"/>
        </w:rPr>
        <w:t xml:space="preserve">, (ii) subject itself to general taxation in any jurisdiction where it would not otherwise be so subject but for this </w:t>
      </w:r>
      <w:r>
        <w:rPr>
          <w:rFonts w:ascii="Times New Roman" w:hAnsi="Times New Roman"/>
          <w:sz w:val="20"/>
          <w:u w:val="single"/>
        </w:rPr>
        <w:t>Section 3(i)</w:t>
      </w:r>
      <w:r>
        <w:rPr>
          <w:rFonts w:ascii="Times New Roman" w:hAnsi="Times New Roman"/>
          <w:sz w:val="20"/>
        </w:rPr>
        <w:t xml:space="preserve">, or (iii) file a general consent to service of process in any such jurisdiction.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Rule 144</w:t>
      </w:r>
      <w:r>
        <w:rPr>
          <w:rFonts w:ascii="Times New Roman" w:hAnsi="Times New Roman"/>
          <w:sz w:val="20"/>
        </w:rPr>
        <w:t xml:space="preserve">. With a view to making available to the Investors the benefits of Rule 144 (or its successor rule) and any other rule or regulation of the SEC that may at any time permit the Investors to sell shares of Parent Common Stock to the public without registration, for so long as any Registrable Securities are outstanding, the Company covenants and agrees to use reasonable best efforts to: (i) make and keep adequate current public information available, as those terms are understood and defined in Rule 144, until the date such securities may be sold without restriction and without the requirement for the Company to be in compliance with the current public information requirement under Rule 144, by the holders thereof pursuant to Rule 144 or any other rule of similar effect, and (ii) file with the SEC in a timely manner all reports and other documents required of the Company under the Exchange Act. In addition, the Company covenants and agrees to use reasonable best efforts, for so long as any Registrable Securities are outstanding, to: (1) furnish electronically to each Investor upon request, as long as such Investor owns any Registrable Securities, (A) a written statement by the Company that it has complied with the reporting requirements of the Exchange Act, (B) a copy of or electronic access to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 and (2) provide any legal opinions.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Cooperation.</w:t>
      </w:r>
      <w:r>
        <w:rPr>
          <w:rFonts w:ascii="Times New Roman" w:hAnsi="Times New Roman"/>
          <w:sz w:val="20"/>
        </w:rPr>
        <w:t xml:space="preserve"> The Company shall cooperate with the holders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shares of Common Stock and registered in such names as the holders of the Registrable Securities may reasonably request in accordance with the provisions of the Purchase Agreement, and the Company may satisfy its obligations hereunder without issuing physical stock certificates through the use of The Depository Trust Company’s Direct Registration System.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Removal of Restrictive Legends</w:t>
      </w:r>
      <w:r>
        <w:rPr>
          <w:rFonts w:ascii="Times New Roman" w:hAnsi="Times New Roman"/>
          <w:sz w:val="20"/>
        </w:rPr>
        <w:t xml:space="preserve">. Without limiting Section 5.5 of the Purchase Agreement, the Company shall use reasonable best efforts to cause the Company’s transfer agent to remove any restrictive legend from any Registrable Securities, as promptly as practicable following effectiveness of the applicable Registration Statement, without any request for removal being required from any holder of Registrable Securities.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rPr>
        <w:t>OBLIGATIONS OF THE INVESTORS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Investor Information</w:t>
      </w:r>
      <w:r>
        <w:rPr>
          <w:rFonts w:ascii="Times New Roman" w:hAnsi="Times New Roman"/>
          <w:sz w:val="20"/>
        </w:rPr>
        <w:t xml:space="preserve">. Each Investor shall provide a completed Investor Questionnaire in the form attached hereto as </w:t>
      </w:r>
      <w:r>
        <w:rPr>
          <w:rFonts w:ascii="Times New Roman" w:hAnsi="Times New Roman"/>
          <w:sz w:val="20"/>
          <w:u w:val="single"/>
        </w:rPr>
        <w:t>Exhibit B</w:t>
      </w:r>
      <w:r>
        <w:rPr>
          <w:rFonts w:ascii="Times New Roman" w:hAnsi="Times New Roman"/>
          <w:sz w:val="20"/>
        </w:rPr>
        <w:t xml:space="preserve"> or such other form of questionnaire or information reasonably required by the Company in connection with the registration of the Registrable Securities within three (3) Business Days of request by the Company and no later than the end of the third (3rd) Business Day following the date on which such Investor receives draft materials in accordance with </w:t>
      </w:r>
      <w:r>
        <w:rPr>
          <w:rFonts w:ascii="Times New Roman" w:hAnsi="Times New Roman"/>
          <w:sz w:val="20"/>
          <w:u w:val="single"/>
        </w:rPr>
        <w:t>Section</w:t>
      </w:r>
      <w:r>
        <w:rPr>
          <w:rFonts w:ascii="Times New Roman" w:hAnsi="Times New Roman"/>
          <w:sz w:val="20"/>
        </w:rPr>
        <w:t xml:space="preserve"> 2(a). If the Company has not received such completed Investor Questionnaire or such other requested form of questionnaire or information from an Investor within five (5) Business Days of the Company’s request, the Company may file the Registration Statement without including such Investor’s Registrable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Suspension of Sales</w:t>
      </w:r>
      <w:r>
        <w:rPr>
          <w:rFonts w:ascii="Times New Roman" w:hAnsi="Times New Roman"/>
          <w:sz w:val="20"/>
        </w:rPr>
        <w:t xml:space="preserve">. Each Investor, severally and not jointly with any other Investor, agrees that, upon receipt of any notice from the Company of the existence of an Allowed Delay or Suspension Event, the Investor will promptly discontinue disposition of Registrable Securities pursuant to any Registration Statement covering such Registrable Securities until the Investor’s receipt of a notice from the Company confirming the resolution of such Allowed Delay or Suspension Event and that such dispositions may again be made; provided, for the avoidance of doubt, that the foregoing shall not limit the right of the Investor to sell or otherwise dispose of the Registrable Securities pursuant to Rule 144 or any other exemption from the registration requirements of the Securities Act or to settle a transaction pursuant to a Registration Statement as to which a contract for such sale was entered into prior to such Investor’s receipt of the notice from the Company of the existence of the Allowed Delay or Suspension Event.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Investor Cooperation</w:t>
      </w:r>
      <w:r>
        <w:rPr>
          <w:rFonts w:ascii="Times New Roman" w:hAnsi="Times New Roman"/>
          <w:sz w:val="20"/>
        </w:rPr>
        <w:t xml:space="preserve">. Each Investor, severally and not jointly with any other Investor, agrees to cooperate with the Company as reasonably requested by the Company in connection with the preparation and filing of any amendments and supplements to any Registration Statement or New Registration Statement hereunder, unless such Investor has notified the Company in writing of its election to exclude all of its Registrable Securities from such Registration Statement.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rPr>
        <w:t>EXPENSES OF REGISTRATION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Registration Expenses incurred in connection with registrations pursuant to this Agreement shall be borne by the Company. All Selling Expenses relating to securities registered on behalf of the Investors shall be borne by the Investors pro rata on the basis of the number of Registrable Securities so registered.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rPr>
        <w:t>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To the fullest extent permitted by law, the Company will, and hereby does, indemnify, hold harmless and defend each Investor, each Person, if any, who controls each Investor, the members, shareholders, directors, officers, partners, employees, members, managers, agents, representatives and advisors of each Investor and each Person, if any, who controls each Investor within the meaning of the Securities Act or the Exchange Act (each, an “</w:t>
      </w:r>
      <w:r>
        <w:rPr>
          <w:rFonts w:ascii="Times New Roman" w:hAnsi="Times New Roman"/>
          <w:b/>
          <w:sz w:val="20"/>
        </w:rPr>
        <w:t>Indemnified Person</w:t>
      </w:r>
      <w:r>
        <w:rPr>
          <w:rFonts w:ascii="Times New Roman" w:hAnsi="Times New Roman"/>
          <w:sz w:val="20"/>
        </w:rPr>
        <w:t>”), against any losses, obligation, claims, damages, liabilities, contingencies, judgments, fines, penalties, charges and costs (including, without limitation, court costs and costs of preparation, reasonable and documented attorneys’ fees, amounts paid in settlement (with the prior consent of the Company, such consent not to be unreasonably withheld, conditioned or delayed) or reasonable and documented expenses (collectively, “</w:t>
      </w:r>
      <w:r>
        <w:rPr>
          <w:rFonts w:ascii="Times New Roman" w:hAnsi="Times New Roman"/>
          <w:b/>
          <w:sz w:val="20"/>
        </w:rPr>
        <w:t>Indemnified Damages</w:t>
      </w:r>
      <w:r>
        <w:rPr>
          <w:rFonts w:ascii="Times New Roman" w:hAnsi="Times New Roman"/>
          <w:sz w:val="20"/>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w:t>
      </w:r>
      <w:r>
        <w:rPr>
          <w:rFonts w:ascii="Times New Roman" w:hAnsi="Times New Roman"/>
          <w:b/>
          <w:sz w:val="20"/>
        </w:rPr>
        <w:t>Claims</w:t>
      </w:r>
      <w:r>
        <w:rPr>
          <w:rFonts w:ascii="Times New Roman" w:hAnsi="Times New Roman"/>
          <w:sz w:val="20"/>
        </w:rPr>
        <w:t>”), to which any of them may become subject insofar as such Claims arise out of or are based upon: (i) any untrue statement or alleged untrue statement or omission or alleged omission of any material fact contained in any Registration Statement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matters in the foregoing clauses (i) and (ii) being, collectively, “</w:t>
      </w:r>
      <w:r>
        <w:rPr>
          <w:rFonts w:ascii="Times New Roman" w:hAnsi="Times New Roman"/>
          <w:b/>
          <w:sz w:val="20"/>
        </w:rPr>
        <w:t>Violations</w:t>
      </w:r>
      <w:r>
        <w:rPr>
          <w:rFonts w:ascii="Times New Roman" w:hAnsi="Times New Roman"/>
          <w:sz w:val="20"/>
        </w:rPr>
        <w:t xml:space="preserve">”). The Company shall reimburse each Indemnified Person promptly as such Indemnified Damages are incurred and are due and payable in connection with investigating or defending any such Claim. Notwithstanding anything to the contrary contained herein, the indemnification agreement contained in this </w:t>
      </w:r>
      <w:r>
        <w:rPr>
          <w:rFonts w:ascii="Times New Roman" w:hAnsi="Times New Roman"/>
          <w:sz w:val="20"/>
          <w:u w:val="single"/>
        </w:rPr>
        <w:t>Section 6(a)</w:t>
      </w:r>
      <w:r>
        <w:rPr>
          <w:rFonts w:ascii="Times New Roman" w:hAnsi="Times New Roman"/>
          <w:sz w:val="20"/>
        </w:rPr>
        <w:t xml:space="preserve">: (A) shall not apply to a Claim by an Indemnified Person arising out of or based upon a Violation which occurs in reliance upon and in conformity with information furnished in writing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by the Investor or such Indemnified Person specifically for use in such Registration Statement and was reviewed and approved in writing by such Investor or such Indemnified Person expressly for use in connection with the preparation of any Registration Statement; (B)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(C) shall not be available to the extent such Claim is based on a failure of the Indemnified Person to deliver, or cause to be delivered, if required, the prospectus to the Persons asserting an untrue statement or omission or alleged untrue statement or omission at or prior to the written confirmation of the sale of Registrable Securities; and (D)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the transfer of the Registrable Securities by the Investor pursuant to </w:t>
      </w:r>
      <w:r>
        <w:rPr>
          <w:rFonts w:ascii="Times New Roman" w:hAnsi="Times New Roman"/>
          <w:sz w:val="20"/>
          <w:u w:val="single"/>
        </w:rPr>
        <w:t>Section 8</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In connection with the Initial Registration Statement, any New Registration Statement or any prospectus, each Investor, severally and not jointly, agrees to indemnify, hold harmless and defend, the Company, each of its directors and officers who signed the Initial Registration Statement or signs any New Registration Statement, and each Person, if any, who controls the Company within the meaning of the Securities Act or the Exchange Act (each, an “</w:t>
      </w:r>
      <w:r>
        <w:rPr>
          <w:rFonts w:ascii="Times New Roman" w:hAnsi="Times New Roman"/>
          <w:b/>
          <w:sz w:val="20"/>
        </w:rPr>
        <w:t>Indemnified Party</w:t>
      </w:r>
      <w:r>
        <w:rPr>
          <w:rFonts w:ascii="Times New Roman" w:hAnsi="Times New Roman"/>
          <w:sz w:val="20"/>
        </w:rPr>
        <w:t xml:space="preserve">”), against any losses, claims, damages, liabilities and expense (including reasonable attorney fees) resulting from (i) any untrue statement or alleged untrue statement or omission or alleged omission of any material fact contained in any Registration Statement or (ii) any violation or alleged violation by the Investor of its obligations under this Agreement, in each case to the extent, and only to the extent, that such violation occurs in reliance upon and in conformity with information about an Investor furnished in writing by such Investor to the Company expressly for use in connection with the preparation of the Registration Statement, any New Registration Statement, any prospectus or any such amendment thereof or supplement thereto. In no event shall the liability of an Investor be greater in amount than the dollar amount of the proceeds (net of all expenses paid by such Investor in connection with any claim relating to this </w:t>
      </w:r>
      <w:r>
        <w:rPr>
          <w:rFonts w:ascii="Times New Roman" w:hAnsi="Times New Roman"/>
          <w:sz w:val="20"/>
          <w:u w:val="single"/>
        </w:rPr>
        <w:t>Section 6</w:t>
      </w:r>
      <w:r>
        <w:rPr>
          <w:rFonts w:ascii="Times New Roman" w:hAnsi="Times New Roman"/>
          <w:sz w:val="20"/>
        </w:rPr>
        <w:t xml:space="preserve"> and the amount of any damages such Investor has otherwise been required to pay by reason of such untrue statement or omission) received by such Investor upon the sale of the Registrable Securities included in such Registration Statement giving rise to such indemnification obligation. Notwithstanding anything to the contrary contained herein, the indemnification agreement contained in this Section 6(b) shall not apply to amounts paid in settlement of any Claim if such settlement is effected without the prior written consent of such Investor, which consent shall not be unreasonably withheld, conditioned or delayed. Such indemnity shall remain in full force and effect regardless of any investigation made by or on behalf of such Indemnified Party and shall survive the transfer of the Registrable Securities by an Investor pursuant to </w:t>
      </w:r>
      <w:r>
        <w:rPr>
          <w:rFonts w:ascii="Times New Roman" w:hAnsi="Times New Roman"/>
          <w:sz w:val="20"/>
          <w:u w:val="single"/>
        </w:rPr>
        <w:t>Section 8</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Promptly after receipt by an Indemnified Person or Indemnified Party under this </w:t>
      </w:r>
      <w:r>
        <w:rPr>
          <w:rFonts w:ascii="Times New Roman" w:hAnsi="Times New Roman"/>
          <w:sz w:val="20"/>
          <w:u w:val="single"/>
        </w:rPr>
        <w:t>Section 6</w:t>
      </w:r>
      <w:r>
        <w:rPr>
          <w:rFonts w:ascii="Times New Roman" w:hAnsi="Times New Roman"/>
          <w:sz w:val="20"/>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 w:hAnsi="Times New Roman"/>
          <w:sz w:val="20"/>
          <w:u w:val="single"/>
        </w:rPr>
        <w:t>Section 6</w:t>
      </w:r>
      <w:r>
        <w:rPr>
          <w:rFonts w:ascii="Times New Roman" w:hAnsi="Times New Roman"/>
          <w:sz w:val="20"/>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 Indemnified Person or Indemnified Party (together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all other Indemnified Persons and Indemnified Parties that may be represented without conflict by one counsel) shall have the right to retain its own counsel with the reasonable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 (i) imposes no liability or obligation on, (ii) includes as an unconditional term thereof the giving of a complete, explicit and unconditional release from the party bringing such indemnified claims of all liability of the Indemnified Party or Indemnified Person in respect to or arising out of such claim or litigation in favor of, and (iii) does not include any admission of fault, culpability,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 w:hAnsi="Times New Roman"/>
          <w:sz w:val="20"/>
          <w:u w:val="single"/>
        </w:rPr>
        <w:t>Section 6</w:t>
      </w:r>
      <w:r>
        <w:rPr>
          <w:rFonts w:ascii="Times New Roman" w:hAnsi="Times New Roman"/>
          <w:sz w:val="20"/>
        </w:rPr>
        <w:t xml:space="preserve">, except to the extent that the indemnifying party is prejudiced in its ability to defend such action. </w:t>
      </w:r>
    </w:p>
    <w:p>
      <w:pPr>
        <w:pStyle w:val="TextBody"/>
        <w:bidi w:val="0"/>
        <w:spacing w:before="120" w:after="0"/>
        <w:jc w:val="left"/>
        <w:rPr>
          <w:rFonts w:ascii="Times New Roman" w:hAnsi="Times New Roman"/>
          <w:sz w:val="20"/>
        </w:rPr>
      </w:pPr>
      <w:r>
        <w:rPr>
          <w:rFonts w:ascii="Times New Roman" w:hAnsi="Times New Roman"/>
          <w:sz w:val="20"/>
        </w:rPr>
        <w:t xml:space="preserve">(d) The indemnification required by this </w:t>
      </w:r>
      <w:r>
        <w:rPr>
          <w:rFonts w:ascii="Times New Roman" w:hAnsi="Times New Roman"/>
          <w:sz w:val="20"/>
          <w:u w:val="single"/>
        </w:rPr>
        <w:t>Section 6</w:t>
      </w:r>
      <w:r>
        <w:rPr>
          <w:rFonts w:ascii="Times New Roman" w:hAnsi="Times New Roman"/>
          <w:sz w:val="20"/>
        </w:rPr>
        <w:t xml:space="preserve"> shall be made by periodic payments of the amount thereof during the course of the investigation or defense, as and when bills are received or Indemnified Damages are incurred. Any Person receiving a payment pursuant to this </w:t>
      </w:r>
      <w:r>
        <w:rPr>
          <w:rFonts w:ascii="Times New Roman" w:hAnsi="Times New Roman"/>
          <w:sz w:val="20"/>
          <w:u w:val="single"/>
        </w:rPr>
        <w:t>Section 6</w:t>
      </w:r>
      <w:r>
        <w:rPr>
          <w:rFonts w:ascii="Times New Roman" w:hAnsi="Times New Roman"/>
          <w:sz w:val="20"/>
        </w:rPr>
        <w:t xml:space="preserve"> which person is later determined to not be entitled to such payment shall return such payment (including reimbursement of expenses) to the person making it. </w:t>
      </w:r>
    </w:p>
    <w:p>
      <w:pPr>
        <w:pStyle w:val="TextBody"/>
        <w:bidi w:val="0"/>
        <w:spacing w:before="120" w:after="0"/>
        <w:jc w:val="left"/>
        <w:rPr>
          <w:rFonts w:ascii="Times New Roman" w:hAnsi="Times New Roman"/>
          <w:sz w:val="20"/>
        </w:rPr>
      </w:pPr>
      <w:r>
        <w:rPr>
          <w:rFonts w:ascii="Times New Roman" w:hAnsi="Times New Roman"/>
          <w:sz w:val="20"/>
        </w:rPr>
        <w:t xml:space="preserve">(e) The indemnity agreements contained herein shall be in addition to (i) any cause of action or similar right of the Indemnified Party or Indemnified Person against the indemnifying party or others, and (ii) any liabilities the indemnifying party may be subject to pursuant to the law.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rPr>
        <w:t>CONTRIBUTION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 w:hAnsi="Times New Roman"/>
          <w:sz w:val="20"/>
          <w:u w:val="single"/>
        </w:rPr>
        <w:t>Section 6</w:t>
      </w:r>
      <w:r>
        <w:rPr>
          <w:rFonts w:ascii="Times New Roman" w:hAnsi="Times New Roman"/>
          <w:sz w:val="20"/>
        </w:rPr>
        <w:t xml:space="preserve"> to the fullest extent permitted by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(net of all expenses paid by such holder in connection with any claim relating to this </w:t>
      </w:r>
      <w:r>
        <w:rPr>
          <w:rFonts w:ascii="Times New Roman" w:hAnsi="Times New Roman"/>
          <w:sz w:val="20"/>
          <w:u w:val="single"/>
        </w:rPr>
        <w:t>Section 7</w:t>
      </w:r>
      <w:r>
        <w:rPr>
          <w:rFonts w:ascii="Times New Roman" w:hAnsi="Times New Roman"/>
          <w:sz w:val="20"/>
        </w:rPr>
        <w:t xml:space="preserve"> and the amount of any damages such holder has otherwise been required to pay by reason of such untrue or alleged untrue statement or omission or alleged omission) received by such seller from the sale of such Registrable Securities giving rise to such contribution obligation.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rPr>
        <w:t>ASSIGNMENT OF REGISTRATION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not assign this Agreement or any rights or obligations hereunder (whether by operation of law or otherwise) without the prior written consent of the Required Investors;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any transaction, whether by merger, reorganization, restructuring, consolidation, financing or otherwise, whereby the Company is a party and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 in connection with such transaction unless such securities are otherwise freely tradable by the Investor after giving effect to such transaction, and the prior written consent of the Required Investors shall not be required for such transaction. No Investor may assign its rights under this Agreement, other than to an affiliate of such Investor or to any other investment funds or accounts managed or advised by the investment manager who acts on behalf of the Investor, without the prior written consent of the Company. The provisions of this Agreement shall be binding upon and inure to the benefit of the Investor and its successors and permitted assigns. </w:t>
      </w:r>
    </w:p>
    <w:p>
      <w:pPr>
        <w:pStyle w:val="TextBody"/>
        <w:bidi w:val="0"/>
        <w:spacing w:before="12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rPr>
        <w:t>AMENDMENTS AND WAIVERS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this Agreement, including the provisions of this sentence, may be amended, modified or supplemented, or waived only by a written instrument executed by (i) the Company and (ii) the Required Investors, </w:t>
      </w:r>
      <w:r>
        <w:rPr>
          <w:rFonts w:ascii="Times New Roman" w:hAnsi="Times New Roman"/>
          <w:sz w:val="20"/>
          <w:u w:val="single"/>
        </w:rPr>
        <w:t>provided</w:t>
      </w:r>
      <w:r>
        <w:rPr>
          <w:rFonts w:ascii="Times New Roman" w:hAnsi="Times New Roman"/>
          <w:sz w:val="20"/>
        </w:rPr>
        <w:t xml:space="preserve"> that (i) any party may give a waiver as to itself, (ii) any amendment, modification, supplement or waiver that disproportionately and adversely affects the rights and obligations of any Investor relative to the comparable rights and obligations of the other Investors shall require the prior written consent of such adversely affected Investor or each Investor, as applicable, and (iii) any amendments to </w:t>
      </w:r>
      <w:r>
        <w:rPr>
          <w:rFonts w:ascii="Times New Roman" w:hAnsi="Times New Roman"/>
          <w:sz w:val="20"/>
          <w:u w:val="single"/>
        </w:rPr>
        <w:t>Section 6</w:t>
      </w:r>
      <w:r>
        <w:rPr>
          <w:rFonts w:ascii="Times New Roman" w:hAnsi="Times New Roman"/>
          <w:sz w:val="20"/>
        </w:rPr>
        <w:t xml:space="preserve"> or to the definitions of “Filing Deadline,” “Effectiveness Deadline,” or “Registration Period” shall require the written consent of each Investor. Notwithstanding the foregoing, a waiver or consent to depart from the provisions hereof with respect to a matter that relates exclusively to the rights of one or more Investors and that does not adversely directly or indirectly affect the rights of other Investors may be given by Investors holding all of the Registrable Securities to which such waiver or consent relates. </w:t>
      </w:r>
    </w:p>
    <w:p>
      <w:pPr>
        <w:pStyle w:val="TextBody"/>
        <w:bidi w:val="0"/>
        <w:spacing w:before="12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Notices</w:t>
      </w:r>
      <w:r>
        <w:rPr>
          <w:rFonts w:ascii="Times New Roman" w:hAnsi="Times New Roman"/>
          <w:sz w:val="20"/>
        </w:rPr>
        <w:t xml:space="preserve">.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provided no rejection or undeliverable notice is received,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 </w:t>
      </w:r>
    </w:p>
    <w:p>
      <w:pPr>
        <w:pStyle w:val="TextBody"/>
        <w:bidi w:val="0"/>
        <w:spacing w:before="120" w:after="0"/>
        <w:jc w:val="left"/>
        <w:rPr>
          <w:rFonts w:ascii="Times New Roman" w:hAnsi="Times New Roman"/>
          <w:sz w:val="20"/>
        </w:rPr>
      </w:pPr>
      <w:r>
        <w:rPr>
          <w:rFonts w:ascii="Times New Roman" w:hAnsi="Times New Roman"/>
          <w:sz w:val="20"/>
        </w:rPr>
        <w:t xml:space="preserve">(i) If to the Company, addressed as follows: </w:t>
      </w:r>
    </w:p>
    <w:p>
      <w:pPr>
        <w:pStyle w:val="TextBody"/>
        <w:bidi w:val="0"/>
        <w:spacing w:before="120" w:after="0"/>
        <w:jc w:val="left"/>
        <w:rPr>
          <w:rFonts w:ascii="Times New Roman" w:hAnsi="Times New Roman"/>
          <w:sz w:val="20"/>
        </w:rPr>
      </w:pPr>
      <w:r>
        <w:rPr>
          <w:rFonts w:ascii="Times New Roman" w:hAnsi="Times New Roman"/>
          <w:sz w:val="20"/>
        </w:rPr>
        <w:t xml:space="preserve">Slate Medicines, Inc. </w:t>
      </w:r>
    </w:p>
    <w:p>
      <w:pPr>
        <w:pStyle w:val="TextBody"/>
        <w:bidi w:val="0"/>
        <w:spacing w:before="0" w:after="0"/>
        <w:jc w:val="left"/>
        <w:rPr>
          <w:rFonts w:ascii="Times New Roman" w:hAnsi="Times New Roman"/>
          <w:sz w:val="20"/>
        </w:rPr>
      </w:pPr>
      <w:r>
        <w:rPr>
          <w:rFonts w:ascii="Times New Roman" w:hAnsi="Times New Roman"/>
          <w:sz w:val="20"/>
        </w:rPr>
        <w:t xml:space="preserve">4114 Center at North Hills, Suite 250 </w:t>
      </w:r>
    </w:p>
    <w:p>
      <w:pPr>
        <w:pStyle w:val="TextBody"/>
        <w:bidi w:val="0"/>
        <w:spacing w:before="0" w:after="0"/>
        <w:jc w:val="left"/>
        <w:rPr>
          <w:rFonts w:ascii="Times New Roman" w:hAnsi="Times New Roman"/>
          <w:sz w:val="20"/>
        </w:rPr>
      </w:pPr>
      <w:r>
        <w:rPr>
          <w:rFonts w:ascii="Times New Roman" w:hAnsi="Times New Roman"/>
          <w:sz w:val="20"/>
        </w:rPr>
        <w:t xml:space="preserve">Raleigh, NC 27609 </w:t>
      </w:r>
    </w:p>
    <w:p>
      <w:pPr>
        <w:pStyle w:val="TextBody"/>
        <w:bidi w:val="0"/>
        <w:spacing w:before="0" w:after="0"/>
        <w:jc w:val="left"/>
        <w:rPr>
          <w:rFonts w:ascii="Times New Roman" w:hAnsi="Times New Roman"/>
          <w:sz w:val="20"/>
        </w:rPr>
      </w:pPr>
      <w:r>
        <w:rPr>
          <w:rFonts w:ascii="Times New Roman" w:hAnsi="Times New Roman"/>
          <w:sz w:val="20"/>
        </w:rPr>
        <w:t xml:space="preserve">Attention: Legal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500 Boylston, 14th Floor </w:t>
      </w:r>
    </w:p>
    <w:p>
      <w:pPr>
        <w:pStyle w:val="TextBody"/>
        <w:bidi w:val="0"/>
        <w:spacing w:before="0" w:after="0"/>
        <w:jc w:val="left"/>
        <w:rPr>
          <w:rFonts w:ascii="Times New Roman" w:hAnsi="Times New Roman"/>
          <w:sz w:val="20"/>
        </w:rPr>
      </w:pPr>
      <w:r>
        <w:rPr>
          <w:rFonts w:ascii="Times New Roman" w:hAnsi="Times New Roman"/>
          <w:sz w:val="20"/>
        </w:rPr>
        <w:t xml:space="preserve">Boston, MA 02116 </w:t>
      </w:r>
    </w:p>
    <w:p>
      <w:pPr>
        <w:pStyle w:val="TextBody"/>
        <w:bidi w:val="0"/>
        <w:spacing w:before="0" w:after="0"/>
        <w:jc w:val="left"/>
        <w:rPr>
          <w:rFonts w:ascii="Times New Roman" w:hAnsi="Times New Roman"/>
          <w:sz w:val="20"/>
        </w:rPr>
      </w:pPr>
      <w:r>
        <w:rPr>
          <w:rFonts w:ascii="Times New Roman" w:hAnsi="Times New Roman"/>
          <w:sz w:val="20"/>
        </w:rPr>
        <w:t xml:space="preserve">Attention: Eric Blanchard, Miguel Vega, Lindsey O’Crump </w:t>
      </w:r>
    </w:p>
    <w:p>
      <w:pPr>
        <w:pStyle w:val="TextBody"/>
        <w:bidi w:val="0"/>
        <w:spacing w:before="0" w:after="0"/>
        <w:jc w:val="left"/>
        <w:rPr>
          <w:rFonts w:ascii="Times New Roman" w:hAnsi="Times New Roman"/>
          <w:sz w:val="20"/>
        </w:rPr>
      </w:pPr>
      <w:r>
        <w:rPr>
          <w:rFonts w:ascii="Times New Roman" w:hAnsi="Times New Roman"/>
          <w:sz w:val="20"/>
        </w:rPr>
        <w:t xml:space="preserve">Crow, Madison Jones </w:t>
      </w:r>
    </w:p>
    <w:p>
      <w:pPr>
        <w:pStyle w:val="TextBody"/>
        <w:bidi w:val="0"/>
        <w:spacing w:before="0" w:after="0"/>
        <w:jc w:val="left"/>
        <w:rPr>
          <w:rFonts w:ascii="Times New Roman" w:hAnsi="Times New Roman"/>
          <w:sz w:val="20"/>
        </w:rPr>
      </w:pPr>
      <w:r>
        <w:rPr>
          <w:rFonts w:ascii="Times New Roman" w:hAnsi="Times New Roman"/>
          <w:sz w:val="20"/>
        </w:rPr>
        <w:t xml:space="preserve">Email: [***], [***], [***], [***] </w:t>
      </w:r>
    </w:p>
    <w:p>
      <w:pPr>
        <w:pStyle w:val="TextBody"/>
        <w:bidi w:val="0"/>
        <w:spacing w:before="120" w:after="0"/>
        <w:jc w:val="left"/>
        <w:rPr>
          <w:rFonts w:ascii="Times New Roman" w:hAnsi="Times New Roman"/>
          <w:sz w:val="20"/>
        </w:rPr>
      </w:pPr>
      <w:r>
        <w:rPr>
          <w:rFonts w:ascii="Times New Roman" w:hAnsi="Times New Roman"/>
          <w:sz w:val="20"/>
        </w:rPr>
        <w:t xml:space="preserve">(ii) If to any Investor, at its e-mail address or address set forth on </w:t>
      </w:r>
      <w:r>
        <w:rPr>
          <w:rFonts w:ascii="Times New Roman" w:hAnsi="Times New Roman"/>
          <w:sz w:val="20"/>
          <w:u w:val="single"/>
        </w:rPr>
        <w:t>Exhibit B</w:t>
      </w:r>
      <w:r>
        <w:rPr>
          <w:rFonts w:ascii="Times New Roman" w:hAnsi="Times New Roman"/>
          <w:sz w:val="20"/>
        </w:rPr>
        <w:t xml:space="preserve"> to the Purchase Agreement or to such e-mail address, or address as subsequently modified by written notice given in accordance with this </w:t>
      </w:r>
      <w:r>
        <w:rPr>
          <w:rFonts w:ascii="Times New Roman" w:hAnsi="Times New Roman"/>
          <w:sz w:val="20"/>
          <w:u w:val="single"/>
        </w:rPr>
        <w:t>Section 10(a)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Person may change the address to which notices and communications to it are to be addressed by notification as provided for herein.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Consent to Electronic Notice</w:t>
      </w:r>
      <w:r>
        <w:rPr>
          <w:rFonts w:ascii="Times New Roman" w:hAnsi="Times New Roman"/>
          <w:sz w:val="20"/>
        </w:rPr>
        <w:t>. Each Investor consents to the delivery of any stockholder notice pursuant to the Delaware General Corporation Law (the “</w:t>
      </w:r>
      <w:r>
        <w:rPr>
          <w:rFonts w:ascii="Times New Roman" w:hAnsi="Times New Roman"/>
          <w:b/>
          <w:sz w:val="20"/>
        </w:rPr>
        <w:t>DGCL</w:t>
      </w:r>
      <w:r>
        <w:rPr>
          <w:rFonts w:ascii="Times New Roman" w:hAnsi="Times New Roman"/>
          <w:sz w:val="20"/>
        </w:rPr>
        <w:t xml:space="preserve">”), as amended or superseded from time to time, by electronic mail pursuant to Section 232 of the DGCL (or any successor thereto) at the e-mail address set forth below the Investor’s name on the signature page or Exhibit B,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Waiver</w:t>
      </w:r>
      <w:r>
        <w:rPr>
          <w:rFonts w:ascii="Times New Roman" w:hAnsi="Times New Roman"/>
          <w:sz w:val="20"/>
        </w:rPr>
        <w:t xml:space="preserve">. No failure or delay on the part of either party hereto in the exercise of any power, right or privilege under this Agreement shall operate as a waiver thereof, nor shall any single or partial exercise of any such power, right or privilege preclude any other or further exercise thereof or of any other right, power or privilege.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Governing Law; Submission to Jurisdiction; Venue; Waiver of Trial by Jury</w:t>
      </w:r>
      <w:r>
        <w:rPr>
          <w:rFonts w:ascii="Times New Roman" w:hAnsi="Times New Roman"/>
          <w:sz w:val="20"/>
        </w:rPr>
        <w:t xml:space="preserve">. The provisions of Section 8.5 of the Purchase Agreement are incorporated by reference herein </w:t>
      </w:r>
      <w:r>
        <w:rPr>
          <w:rFonts w:ascii="Times New Roman" w:hAnsi="Times New Roman"/>
          <w:i/>
          <w:sz w:val="20"/>
        </w:rPr>
        <w:t>mutatis mutandis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Entire Agreement</w:t>
      </w:r>
      <w:r>
        <w:rPr>
          <w:rFonts w:ascii="Times New Roman" w:hAnsi="Times New Roman"/>
          <w:sz w:val="20"/>
        </w:rPr>
        <w:t xml:space="preserve">. This Agreement and the other Transaction Agreements (including all schedules and exhibits hereto and thereto) constitute the entire agreement between the parties hereto respecting the subject matter hereof and thereof and supersedes all prior agreements, negotiations, understandings, representations and statements respecting the subject matter hereof and thereof, whether written or oral.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Headings</w:t>
      </w:r>
      <w:r>
        <w:rPr>
          <w:rFonts w:ascii="Times New Roman" w:hAnsi="Times New Roman"/>
          <w:sz w:val="20"/>
        </w:rPr>
        <w:t xml:space="preserve">. The titles, subtitles and headings in this Agreement are for convenience of reference and shall not form part of, or affect the interpretation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Counterparts</w:t>
      </w:r>
      <w:r>
        <w:rPr>
          <w:rFonts w:ascii="Times New Roman" w:hAnsi="Times New Roman"/>
          <w:sz w:val="20"/>
        </w:rPr>
        <w:t xml:space="preserve">.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Further Assurances</w:t>
      </w:r>
      <w:r>
        <w:rPr>
          <w:rFonts w:ascii="Times New Roman" w:hAnsi="Times New Roman"/>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Contract Interpretation</w:t>
      </w:r>
      <w:r>
        <w:rPr>
          <w:rFonts w:ascii="Times New Roman" w:hAnsi="Times New Roman"/>
          <w:sz w:val="20"/>
        </w:rPr>
        <w:t xml:space="preserve">. This Agreement is the joint product of each Investor and the Company and each provision hereof has been subject to the mutual consultation, negotiation and agreement of such parties and shall not be construed for or against any party hereto.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No Third-Party Beneficiaries</w:t>
      </w:r>
      <w:r>
        <w:rPr>
          <w:rFonts w:ascii="Times New Roman" w:hAnsi="Times New Roman"/>
          <w:sz w:val="20"/>
        </w:rPr>
        <w:t xml:space="preserve">. Except as set forth in Sections 6 and 7 of this Agreement, nothing in this Agreement is intended for the benefit of the parties hereto and their respective permitted successors and assigns, and is not for the benefit of, nor may any provision hereof be enforced by, any other Person except as expressly provided in this Agreement.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Severability</w:t>
      </w:r>
      <w:r>
        <w:rPr>
          <w:rFonts w:ascii="Times New Roman" w:hAnsi="Times New Roman"/>
          <w:sz w:val="20"/>
        </w:rPr>
        <w:t xml:space="preserve">.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Non-Recourse</w:t>
      </w:r>
      <w:r>
        <w:rPr>
          <w:rFonts w:ascii="Times New Roman" w:hAnsi="Times New Roman"/>
          <w:sz w:val="20"/>
        </w:rPr>
        <w:t xml:space="preserve">.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any Investor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any Investor or of any affiliates or assignees thereof, as such for any obligation of any Investor under this Agreement or any documents or instruments delivered in connection with this Agreement for any claim based on, in respect of or by reason of such obligations or their creation.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Specific Performance</w:t>
      </w:r>
      <w:r>
        <w:rPr>
          <w:rFonts w:ascii="Times New Roman" w:hAnsi="Times New Roman"/>
          <w:sz w:val="20"/>
        </w:rPr>
        <w:t xml:space="preserve">. In addition to any and all other remedies that may be available at law in the event of any breach of this Agreement, each Investor shall be entitled to specific performance of the agreements and obligations of the Company hereunder and to such other injunction or equitable relief as may be granted by a court of competent jurisdiction.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Cumulative Remedies</w:t>
      </w:r>
      <w:r>
        <w:rPr>
          <w:rFonts w:ascii="Times New Roman" w:hAnsi="Times New Roman"/>
          <w:sz w:val="20"/>
        </w:rPr>
        <w:t xml:space="preserve">. The remedies provided herein are cumulative and not exclusive of any remedies provided by law.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Registration Rights Agreement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320"/>
        <w:gridCol w:w="127"/>
        <w:gridCol w:w="2635"/>
      </w:tblGrid>
      <w:tr>
        <w:trPr/>
        <w:tc>
          <w:tcPr>
            <w:tcW w:w="132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SLATE MEDICINES, INC.</w:t>
            </w:r>
          </w:p>
        </w:tc>
      </w:tr>
      <w:tr>
        <w:trPr>
          <w:trHeight w:val="240" w:hRule="atLeast"/>
        </w:trPr>
        <w:tc>
          <w:tcPr>
            <w:tcW w:w="1320" w:type="dxa"/>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r>
      <w:tr>
        <w:trPr/>
        <w:tc>
          <w:tcPr>
            <w:tcW w:w="1320" w:type="dxa"/>
            <w:tcBorders/>
          </w:tcPr>
          <w:p>
            <w:pPr>
              <w:pStyle w:val="TableContents"/>
              <w:bidi w:val="0"/>
              <w:spacing w:before="0" w:after="283"/>
              <w:jc w:val="left"/>
              <w:rPr/>
            </w:pPr>
            <w:r>
              <w:rPr/>
              <w:t>By:</w:t>
            </w:r>
          </w:p>
        </w:tc>
        <w:tc>
          <w:tcPr>
            <w:tcW w:w="127" w:type="dxa"/>
            <w:tcBorders/>
            <w:vAlign w:val="bottom"/>
          </w:tcPr>
          <w:p>
            <w:pPr>
              <w:pStyle w:val="TableContents"/>
              <w:bidi w:val="0"/>
              <w:spacing w:before="0" w:after="283"/>
              <w:jc w:val="left"/>
              <w:rPr/>
            </w:pPr>
            <w:r>
              <w:rPr/>
              <w:t> </w:t>
            </w:r>
          </w:p>
        </w:tc>
        <w:tc>
          <w:tcPr>
            <w:tcW w:w="2635" w:type="dxa"/>
            <w:tcBorders/>
          </w:tcPr>
          <w:p>
            <w:pPr>
              <w:pStyle w:val="TableContents"/>
              <w:pBdr>
                <w:bottom w:val="single" w:sz="2" w:space="1" w:color="000000"/>
              </w:pBdr>
              <w:bidi w:val="0"/>
              <w:spacing w:before="0" w:after="20"/>
              <w:jc w:val="left"/>
              <w:rPr/>
            </w:pPr>
            <w:r>
              <w:rPr/>
              <w:t> </w:t>
            </w:r>
          </w:p>
        </w:tc>
      </w:tr>
      <w:tr>
        <w:trPr/>
        <w:tc>
          <w:tcPr>
            <w:tcW w:w="1320" w:type="dxa"/>
            <w:tcBorders/>
          </w:tcPr>
          <w:p>
            <w:pPr>
              <w:pStyle w:val="TableContents"/>
              <w:bidi w:val="0"/>
              <w:spacing w:before="0" w:after="283"/>
              <w:jc w:val="left"/>
              <w:rPr/>
            </w:pPr>
            <w:r>
              <w:rPr/>
              <w:t>Name:</w:t>
            </w:r>
          </w:p>
        </w:tc>
        <w:tc>
          <w:tcPr>
            <w:tcW w:w="127" w:type="dxa"/>
            <w:tcBorders/>
            <w:vAlign w:val="bottom"/>
          </w:tcPr>
          <w:p>
            <w:pPr>
              <w:pStyle w:val="TableContents"/>
              <w:bidi w:val="0"/>
              <w:spacing w:before="0" w:after="283"/>
              <w:jc w:val="left"/>
              <w:rPr/>
            </w:pPr>
            <w:r>
              <w:rPr/>
              <w:t> </w:t>
            </w:r>
          </w:p>
        </w:tc>
        <w:tc>
          <w:tcPr>
            <w:tcW w:w="2635" w:type="dxa"/>
            <w:tcBorders/>
          </w:tcPr>
          <w:p>
            <w:pPr>
              <w:pStyle w:val="TableContents"/>
              <w:bidi w:val="0"/>
              <w:spacing w:before="0" w:after="283"/>
              <w:jc w:val="left"/>
              <w:rPr>
                <w:sz w:val="4"/>
                <w:szCs w:val="4"/>
              </w:rPr>
            </w:pPr>
            <w:r>
              <w:rPr>
                <w:sz w:val="4"/>
                <w:szCs w:val="4"/>
              </w:rPr>
            </w:r>
          </w:p>
        </w:tc>
      </w:tr>
      <w:tr>
        <w:trPr/>
        <w:tc>
          <w:tcPr>
            <w:tcW w:w="1320" w:type="dxa"/>
            <w:tcBorders/>
          </w:tcPr>
          <w:p>
            <w:pPr>
              <w:pStyle w:val="TableContents"/>
              <w:bidi w:val="0"/>
              <w:spacing w:before="0" w:after="283"/>
              <w:jc w:val="left"/>
              <w:rPr/>
            </w:pPr>
            <w:r>
              <w:rPr/>
              <w:t>Title:</w:t>
            </w:r>
          </w:p>
        </w:tc>
        <w:tc>
          <w:tcPr>
            <w:tcW w:w="127" w:type="dxa"/>
            <w:tcBorders/>
            <w:vAlign w:val="bottom"/>
          </w:tcPr>
          <w:p>
            <w:pPr>
              <w:pStyle w:val="TableContents"/>
              <w:bidi w:val="0"/>
              <w:spacing w:before="0" w:after="283"/>
              <w:jc w:val="left"/>
              <w:rPr/>
            </w:pPr>
            <w:r>
              <w:rPr/>
              <w:t> </w:t>
            </w:r>
          </w:p>
        </w:tc>
        <w:tc>
          <w:tcPr>
            <w:tcW w:w="2635"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Registration Rights Agreement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164"/>
        <w:gridCol w:w="111"/>
        <w:gridCol w:w="2807"/>
      </w:tblGrid>
      <w:tr>
        <w:trPr/>
        <w:tc>
          <w:tcPr>
            <w:tcW w:w="1164"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[NAME]</w:t>
            </w:r>
          </w:p>
        </w:tc>
      </w:tr>
      <w:tr>
        <w:trPr>
          <w:trHeight w:val="240" w:hRule="atLeast"/>
        </w:trPr>
        <w:tc>
          <w:tcPr>
            <w:tcW w:w="1164" w:type="dxa"/>
            <w:tcBorders/>
            <w:vAlign w:val="center"/>
          </w:tcPr>
          <w:p>
            <w:pPr>
              <w:pStyle w:val="TableContents"/>
              <w:bidi w:val="0"/>
              <w:spacing w:before="0" w:after="283"/>
              <w:jc w:val="left"/>
              <w:rPr>
                <w:sz w:val="4"/>
                <w:szCs w:val="4"/>
              </w:rPr>
            </w:pPr>
            <w:r>
              <w:rPr>
                <w:sz w:val="4"/>
                <w:szCs w:val="4"/>
              </w:rPr>
            </w:r>
          </w:p>
        </w:tc>
        <w:tc>
          <w:tcPr>
            <w:tcW w:w="2918"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tcPr>
          <w:p>
            <w:pPr>
              <w:pStyle w:val="TableContents"/>
              <w:bidi w:val="0"/>
              <w:spacing w:before="0" w:after="283"/>
              <w:jc w:val="left"/>
              <w:rPr/>
            </w:pPr>
            <w:r>
              <w:rPr/>
              <w:t>By:</w:t>
            </w:r>
          </w:p>
        </w:tc>
        <w:tc>
          <w:tcPr>
            <w:tcW w:w="111" w:type="dxa"/>
            <w:tcBorders/>
            <w:vAlign w:val="bottom"/>
          </w:tcPr>
          <w:p>
            <w:pPr>
              <w:pStyle w:val="TableContents"/>
              <w:bidi w:val="0"/>
              <w:spacing w:before="0" w:after="283"/>
              <w:jc w:val="left"/>
              <w:rPr/>
            </w:pPr>
            <w:r>
              <w:rPr/>
              <w:t> </w:t>
            </w:r>
          </w:p>
        </w:tc>
        <w:tc>
          <w:tcPr>
            <w:tcW w:w="2807" w:type="dxa"/>
            <w:tcBorders/>
          </w:tcPr>
          <w:p>
            <w:pPr>
              <w:pStyle w:val="TableContents"/>
              <w:pBdr>
                <w:bottom w:val="single" w:sz="2" w:space="1" w:color="000000"/>
              </w:pBdr>
              <w:bidi w:val="0"/>
              <w:spacing w:before="0" w:after="20"/>
              <w:jc w:val="left"/>
              <w:rPr/>
            </w:pPr>
            <w:r>
              <w:rPr/>
              <w:t> </w:t>
            </w:r>
          </w:p>
        </w:tc>
      </w:tr>
      <w:tr>
        <w:trPr>
          <w:trHeight w:val="240" w:hRule="atLeast"/>
        </w:trPr>
        <w:tc>
          <w:tcPr>
            <w:tcW w:w="1164" w:type="dxa"/>
            <w:tcBorders/>
            <w:vAlign w:val="center"/>
          </w:tcPr>
          <w:p>
            <w:pPr>
              <w:pStyle w:val="TableContents"/>
              <w:bidi w:val="0"/>
              <w:spacing w:before="0" w:after="283"/>
              <w:jc w:val="left"/>
              <w:rPr>
                <w:sz w:val="4"/>
                <w:szCs w:val="4"/>
              </w:rPr>
            </w:pPr>
            <w:r>
              <w:rPr>
                <w:sz w:val="4"/>
                <w:szCs w:val="4"/>
              </w:rPr>
            </w:r>
          </w:p>
        </w:tc>
        <w:tc>
          <w:tcPr>
            <w:tcW w:w="2918"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tcPr>
          <w:p>
            <w:pPr>
              <w:pStyle w:val="TableContents"/>
              <w:bidi w:val="0"/>
              <w:spacing w:before="0" w:after="283"/>
              <w:jc w:val="left"/>
              <w:rPr/>
            </w:pPr>
            <w:r>
              <w:rPr/>
              <w:t>Name:</w:t>
            </w:r>
          </w:p>
        </w:tc>
        <w:tc>
          <w:tcPr>
            <w:tcW w:w="111" w:type="dxa"/>
            <w:tcBorders/>
            <w:vAlign w:val="bottom"/>
          </w:tcPr>
          <w:p>
            <w:pPr>
              <w:pStyle w:val="TableContents"/>
              <w:bidi w:val="0"/>
              <w:spacing w:before="0" w:after="283"/>
              <w:jc w:val="left"/>
              <w:rPr/>
            </w:pPr>
            <w:r>
              <w:rPr/>
              <w:t> </w:t>
            </w:r>
          </w:p>
        </w:tc>
        <w:tc>
          <w:tcPr>
            <w:tcW w:w="2807" w:type="dxa"/>
            <w:tcBorders/>
          </w:tcPr>
          <w:p>
            <w:pPr>
              <w:pStyle w:val="TableContents"/>
              <w:pBdr>
                <w:bottom w:val="single" w:sz="2" w:space="1" w:color="000000"/>
              </w:pBdr>
              <w:bidi w:val="0"/>
              <w:spacing w:before="0" w:after="20"/>
              <w:jc w:val="left"/>
              <w:rPr/>
            </w:pPr>
            <w:r>
              <w:rPr/>
              <w:t> </w:t>
            </w:r>
          </w:p>
        </w:tc>
      </w:tr>
      <w:tr>
        <w:trPr>
          <w:trHeight w:val="240" w:hRule="atLeast"/>
        </w:trPr>
        <w:tc>
          <w:tcPr>
            <w:tcW w:w="1164" w:type="dxa"/>
            <w:tcBorders/>
            <w:vAlign w:val="center"/>
          </w:tcPr>
          <w:p>
            <w:pPr>
              <w:pStyle w:val="TableContents"/>
              <w:bidi w:val="0"/>
              <w:spacing w:before="0" w:after="283"/>
              <w:jc w:val="left"/>
              <w:rPr>
                <w:sz w:val="4"/>
                <w:szCs w:val="4"/>
              </w:rPr>
            </w:pPr>
            <w:r>
              <w:rPr>
                <w:sz w:val="4"/>
                <w:szCs w:val="4"/>
              </w:rPr>
            </w:r>
          </w:p>
        </w:tc>
        <w:tc>
          <w:tcPr>
            <w:tcW w:w="2918"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tcPr>
          <w:p>
            <w:pPr>
              <w:pStyle w:val="TableContents"/>
              <w:bidi w:val="0"/>
              <w:spacing w:before="0" w:after="283"/>
              <w:jc w:val="left"/>
              <w:rPr/>
            </w:pPr>
            <w:r>
              <w:rPr/>
              <w:t>Title:</w:t>
            </w:r>
          </w:p>
        </w:tc>
        <w:tc>
          <w:tcPr>
            <w:tcW w:w="111" w:type="dxa"/>
            <w:tcBorders/>
            <w:vAlign w:val="bottom"/>
          </w:tcPr>
          <w:p>
            <w:pPr>
              <w:pStyle w:val="TableContents"/>
              <w:bidi w:val="0"/>
              <w:spacing w:before="0" w:after="283"/>
              <w:jc w:val="left"/>
              <w:rPr/>
            </w:pPr>
            <w:r>
              <w:rPr/>
              <w:t> </w:t>
            </w:r>
          </w:p>
        </w:tc>
        <w:tc>
          <w:tcPr>
            <w:tcW w:w="2807" w:type="dxa"/>
            <w:tcBorders/>
          </w:tcPr>
          <w:p>
            <w:pPr>
              <w:pStyle w:val="TableContents"/>
              <w:pBdr>
                <w:bottom w:val="single" w:sz="2" w:space="1" w:color="000000"/>
              </w:pBdr>
              <w:bidi w:val="0"/>
              <w:spacing w:before="0" w:after="20"/>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use any one or more of the following methods when disposing of shares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to members, partners, stockholders or other equityholders of the selling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and settlement of short sales entered into after the effective date of the registration statement of which this prospectus is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stockholders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pre-funded warrants by payment of cash, however, we will receive the exercise price of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selling stockholders against liabilities, including liabilities under the Securities Act and state securities laws, relating to the registration of the shares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with the selling stockholders to use reasonable best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and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Investor Questionnaire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provides the following information to the Company and represents and warrants that such information is accurate: </w:t>
      </w:r>
    </w:p>
    <w:p>
      <w:pPr>
        <w:pStyle w:val="TextBody"/>
        <w:bidi w:val="0"/>
        <w:spacing w:before="240" w:after="0"/>
        <w:jc w:val="center"/>
        <w:rPr>
          <w:rFonts w:ascii="Times New Roman" w:hAnsi="Times New Roman"/>
          <w:b/>
          <w:sz w:val="20"/>
        </w:rPr>
      </w:pPr>
      <w:r>
        <w:rPr>
          <w:rFonts w:ascii="Times New Roman" w:hAnsi="Times New Roman"/>
          <w:b/>
          <w:sz w:val="20"/>
        </w:rPr>
        <w:t xml:space="preserve">QUESTIONNAIRE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1"/>
        <w:gridCol w:w="133"/>
        <w:gridCol w:w="696"/>
        <w:gridCol w:w="133"/>
        <w:gridCol w:w="8822"/>
      </w:tblGrid>
      <w:tr>
        <w:trPr/>
        <w:tc>
          <w:tcPr>
            <w:tcW w:w="421"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8822" w:type="dxa"/>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283"/>
              <w:jc w:val="left"/>
              <w:rPr>
                <w:b/>
              </w:rPr>
            </w:pPr>
            <w:r>
              <w:rPr>
                <w:b/>
              </w:rPr>
              <w:t>1.</w:t>
            </w:r>
          </w:p>
        </w:tc>
        <w:tc>
          <w:tcPr>
            <w:tcW w:w="133" w:type="dxa"/>
            <w:tcBorders/>
            <w:vAlign w:val="bottom"/>
          </w:tcPr>
          <w:p>
            <w:pPr>
              <w:pStyle w:val="TableContents"/>
              <w:bidi w:val="0"/>
              <w:spacing w:before="0" w:after="283"/>
              <w:jc w:val="left"/>
              <w:rPr/>
            </w:pPr>
            <w:r>
              <w:rPr/>
              <w:t>  </w:t>
            </w:r>
          </w:p>
        </w:tc>
        <w:tc>
          <w:tcPr>
            <w:tcW w:w="696" w:type="dxa"/>
            <w:tcBorders/>
          </w:tcPr>
          <w:p>
            <w:pPr>
              <w:pStyle w:val="TableContents"/>
              <w:bidi w:val="0"/>
              <w:spacing w:before="0" w:after="283"/>
              <w:jc w:val="left"/>
              <w:rPr>
                <w:b/>
              </w:rPr>
            </w:pPr>
            <w:r>
              <w:rPr>
                <w:b/>
              </w:rPr>
              <w:t>Name.</w:t>
            </w:r>
          </w:p>
        </w:tc>
        <w:tc>
          <w:tcPr>
            <w:tcW w:w="133" w:type="dxa"/>
            <w:tcBorders/>
            <w:vAlign w:val="bottom"/>
          </w:tcPr>
          <w:p>
            <w:pPr>
              <w:pStyle w:val="TableContents"/>
              <w:bidi w:val="0"/>
              <w:spacing w:before="0" w:after="283"/>
              <w:jc w:val="left"/>
              <w:rPr/>
            </w:pPr>
            <w:r>
              <w:rPr/>
              <w:t>  </w:t>
            </w:r>
          </w:p>
        </w:tc>
        <w:tc>
          <w:tcPr>
            <w:tcW w:w="8822" w:type="dxa"/>
            <w:tcBorders/>
          </w:tcPr>
          <w:p>
            <w:pPr>
              <w:pStyle w:val="TableContents"/>
              <w:bidi w:val="0"/>
              <w:spacing w:before="0" w:after="283"/>
              <w:jc w:val="left"/>
              <w:rPr>
                <w:sz w:val="4"/>
                <w:szCs w:val="4"/>
              </w:rPr>
            </w:pPr>
            <w:r>
              <w:rPr>
                <w:sz w:val="4"/>
                <w:szCs w:val="4"/>
              </w:rPr>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829" w:type="dxa"/>
            <w:gridSpan w:val="2"/>
            <w:tcBorders/>
            <w:vAlign w:val="center"/>
          </w:tcPr>
          <w:p>
            <w:pPr>
              <w:pStyle w:val="TableContents"/>
              <w:bidi w:val="0"/>
              <w:spacing w:before="0" w:after="283"/>
              <w:jc w:val="left"/>
              <w:rPr>
                <w:sz w:val="4"/>
                <w:szCs w:val="4"/>
              </w:rPr>
            </w:pPr>
            <w:r>
              <w:rPr>
                <w:sz w:val="4"/>
                <w:szCs w:val="4"/>
              </w:rPr>
            </w:r>
          </w:p>
        </w:tc>
        <w:tc>
          <w:tcPr>
            <w:tcW w:w="8955" w:type="dxa"/>
            <w:gridSpan w:val="2"/>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96" w:type="dxa"/>
            <w:tcBorders/>
          </w:tcPr>
          <w:p>
            <w:pPr>
              <w:pStyle w:val="TableContents"/>
              <w:bidi w:val="0"/>
              <w:spacing w:before="0" w:after="283"/>
              <w:jc w:val="left"/>
              <w:rPr/>
            </w:pPr>
            <w:r>
              <w:rPr/>
              <w:t>(a)</w:t>
            </w:r>
          </w:p>
        </w:tc>
        <w:tc>
          <w:tcPr>
            <w:tcW w:w="133" w:type="dxa"/>
            <w:tcBorders/>
            <w:vAlign w:val="bottom"/>
          </w:tcPr>
          <w:p>
            <w:pPr>
              <w:pStyle w:val="TableContents"/>
              <w:bidi w:val="0"/>
              <w:spacing w:before="0" w:after="283"/>
              <w:jc w:val="left"/>
              <w:rPr/>
            </w:pPr>
            <w:r>
              <w:rPr/>
              <w:t>  </w:t>
            </w:r>
          </w:p>
        </w:tc>
        <w:tc>
          <w:tcPr>
            <w:tcW w:w="8822" w:type="dxa"/>
            <w:tcBorders/>
          </w:tcPr>
          <w:p>
            <w:pPr>
              <w:pStyle w:val="TableContents"/>
              <w:bidi w:val="0"/>
              <w:spacing w:before="0" w:after="283"/>
              <w:jc w:val="left"/>
              <w:rPr/>
            </w:pPr>
            <w:r>
              <w:rPr/>
              <w:t>Full Legal Name of Investor</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829" w:type="dxa"/>
            <w:gridSpan w:val="2"/>
            <w:tcBorders/>
            <w:vAlign w:val="center"/>
          </w:tcPr>
          <w:p>
            <w:pPr>
              <w:pStyle w:val="TableContents"/>
              <w:bidi w:val="0"/>
              <w:spacing w:before="0" w:after="283"/>
              <w:jc w:val="left"/>
              <w:rPr>
                <w:sz w:val="4"/>
                <w:szCs w:val="4"/>
              </w:rPr>
            </w:pPr>
            <w:r>
              <w:rPr>
                <w:sz w:val="4"/>
                <w:szCs w:val="4"/>
              </w:rPr>
            </w:r>
          </w:p>
        </w:tc>
        <w:tc>
          <w:tcPr>
            <w:tcW w:w="8955" w:type="dxa"/>
            <w:gridSpan w:val="2"/>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96"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8822" w:type="dxa"/>
            <w:tcBorders/>
          </w:tcPr>
          <w:p>
            <w:pPr>
              <w:pStyle w:val="TableContents"/>
              <w:pBdr>
                <w:bottom w:val="single" w:sz="2" w:space="1" w:color="000000"/>
              </w:pBdr>
              <w:bidi w:val="0"/>
              <w:spacing w:before="0" w:after="20"/>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829" w:type="dxa"/>
            <w:gridSpan w:val="2"/>
            <w:tcBorders/>
            <w:vAlign w:val="center"/>
          </w:tcPr>
          <w:p>
            <w:pPr>
              <w:pStyle w:val="TableContents"/>
              <w:bidi w:val="0"/>
              <w:spacing w:before="0" w:after="283"/>
              <w:jc w:val="left"/>
              <w:rPr>
                <w:sz w:val="4"/>
                <w:szCs w:val="4"/>
              </w:rPr>
            </w:pPr>
            <w:r>
              <w:rPr>
                <w:sz w:val="4"/>
                <w:szCs w:val="4"/>
              </w:rPr>
            </w:r>
          </w:p>
        </w:tc>
        <w:tc>
          <w:tcPr>
            <w:tcW w:w="8955" w:type="dxa"/>
            <w:gridSpan w:val="2"/>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96" w:type="dxa"/>
            <w:tcBorders/>
          </w:tcPr>
          <w:p>
            <w:pPr>
              <w:pStyle w:val="TableContents"/>
              <w:bidi w:val="0"/>
              <w:spacing w:before="0" w:after="283"/>
              <w:jc w:val="left"/>
              <w:rPr/>
            </w:pPr>
            <w:r>
              <w:rPr/>
              <w:t>(b)</w:t>
            </w:r>
          </w:p>
        </w:tc>
        <w:tc>
          <w:tcPr>
            <w:tcW w:w="133" w:type="dxa"/>
            <w:tcBorders/>
            <w:vAlign w:val="bottom"/>
          </w:tcPr>
          <w:p>
            <w:pPr>
              <w:pStyle w:val="TableContents"/>
              <w:bidi w:val="0"/>
              <w:spacing w:before="0" w:after="283"/>
              <w:jc w:val="left"/>
              <w:rPr/>
            </w:pPr>
            <w:r>
              <w:rPr/>
              <w:t>  </w:t>
            </w:r>
          </w:p>
        </w:tc>
        <w:tc>
          <w:tcPr>
            <w:tcW w:w="8822" w:type="dxa"/>
            <w:tcBorders/>
          </w:tcPr>
          <w:p>
            <w:pPr>
              <w:pStyle w:val="TableContents"/>
              <w:bidi w:val="0"/>
              <w:spacing w:before="0" w:after="283"/>
              <w:jc w:val="left"/>
              <w:rPr/>
            </w:pPr>
            <w:r>
              <w:rPr/>
              <w:t>Full Legal Name of Registered Holder (if not the same as (a) above) through which Registrable Securities are held:</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829" w:type="dxa"/>
            <w:gridSpan w:val="2"/>
            <w:tcBorders/>
            <w:vAlign w:val="center"/>
          </w:tcPr>
          <w:p>
            <w:pPr>
              <w:pStyle w:val="TableContents"/>
              <w:bidi w:val="0"/>
              <w:spacing w:before="0" w:after="283"/>
              <w:jc w:val="left"/>
              <w:rPr>
                <w:sz w:val="4"/>
                <w:szCs w:val="4"/>
              </w:rPr>
            </w:pPr>
            <w:r>
              <w:rPr>
                <w:sz w:val="4"/>
                <w:szCs w:val="4"/>
              </w:rPr>
            </w:r>
          </w:p>
        </w:tc>
        <w:tc>
          <w:tcPr>
            <w:tcW w:w="8955" w:type="dxa"/>
            <w:gridSpan w:val="2"/>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96"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8822" w:type="dxa"/>
            <w:tcBorders/>
          </w:tcPr>
          <w:p>
            <w:pPr>
              <w:pStyle w:val="TableContents"/>
              <w:pBdr>
                <w:bottom w:val="single" w:sz="2" w:space="1" w:color="000000"/>
              </w:pBdr>
              <w:bidi w:val="0"/>
              <w:spacing w:before="0" w:after="20"/>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829" w:type="dxa"/>
            <w:gridSpan w:val="2"/>
            <w:tcBorders/>
            <w:vAlign w:val="center"/>
          </w:tcPr>
          <w:p>
            <w:pPr>
              <w:pStyle w:val="TableContents"/>
              <w:bidi w:val="0"/>
              <w:spacing w:before="0" w:after="283"/>
              <w:jc w:val="left"/>
              <w:rPr>
                <w:sz w:val="4"/>
                <w:szCs w:val="4"/>
              </w:rPr>
            </w:pPr>
            <w:r>
              <w:rPr>
                <w:sz w:val="4"/>
                <w:szCs w:val="4"/>
              </w:rPr>
            </w:r>
          </w:p>
        </w:tc>
        <w:tc>
          <w:tcPr>
            <w:tcW w:w="8955" w:type="dxa"/>
            <w:gridSpan w:val="2"/>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96" w:type="dxa"/>
            <w:tcBorders/>
          </w:tcPr>
          <w:p>
            <w:pPr>
              <w:pStyle w:val="TableContents"/>
              <w:bidi w:val="0"/>
              <w:spacing w:before="0" w:after="283"/>
              <w:jc w:val="left"/>
              <w:rPr/>
            </w:pPr>
            <w:r>
              <w:rPr/>
              <w:t>(c)</w:t>
            </w:r>
          </w:p>
        </w:tc>
        <w:tc>
          <w:tcPr>
            <w:tcW w:w="133" w:type="dxa"/>
            <w:tcBorders/>
            <w:vAlign w:val="bottom"/>
          </w:tcPr>
          <w:p>
            <w:pPr>
              <w:pStyle w:val="TableContents"/>
              <w:bidi w:val="0"/>
              <w:spacing w:before="0" w:after="283"/>
              <w:jc w:val="left"/>
              <w:rPr/>
            </w:pPr>
            <w:r>
              <w:rPr/>
              <w:t>  </w:t>
            </w:r>
          </w:p>
        </w:tc>
        <w:tc>
          <w:tcPr>
            <w:tcW w:w="8822" w:type="dxa"/>
            <w:tcBorders/>
          </w:tcPr>
          <w:p>
            <w:pPr>
              <w:pStyle w:val="TableContents"/>
              <w:bidi w:val="0"/>
              <w:spacing w:before="0" w:after="283"/>
              <w:jc w:val="left"/>
              <w:rPr/>
            </w:pPr>
            <w:r>
              <w:rPr/>
              <w:t>Full Legal Name of Natural Control Person (which means a natural person who directly or indirectly alone or with others has power to vote or dispose of the securities covered by this Questionnaire):</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829" w:type="dxa"/>
            <w:gridSpan w:val="2"/>
            <w:tcBorders/>
            <w:vAlign w:val="center"/>
          </w:tcPr>
          <w:p>
            <w:pPr>
              <w:pStyle w:val="TableContents"/>
              <w:bidi w:val="0"/>
              <w:spacing w:before="0" w:after="283"/>
              <w:jc w:val="left"/>
              <w:rPr>
                <w:sz w:val="4"/>
                <w:szCs w:val="4"/>
              </w:rPr>
            </w:pPr>
            <w:r>
              <w:rPr>
                <w:sz w:val="4"/>
                <w:szCs w:val="4"/>
              </w:rPr>
            </w:r>
          </w:p>
        </w:tc>
        <w:tc>
          <w:tcPr>
            <w:tcW w:w="8955" w:type="dxa"/>
            <w:gridSpan w:val="2"/>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96"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8822" w:type="dxa"/>
            <w:tcBorders/>
          </w:tcPr>
          <w:p>
            <w:pPr>
              <w:pStyle w:val="TableContents"/>
              <w:pBdr>
                <w:bottom w:val="single" w:sz="2" w:space="1" w:color="000000"/>
              </w:pBdr>
              <w:bidi w:val="0"/>
              <w:spacing w:before="0" w:after="20"/>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9784"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283"/>
              <w:jc w:val="left"/>
              <w:rPr>
                <w:b/>
              </w:rPr>
            </w:pPr>
            <w:r>
              <w:rPr>
                <w:b/>
              </w:rPr>
              <w:t>2.</w:t>
            </w:r>
          </w:p>
        </w:tc>
        <w:tc>
          <w:tcPr>
            <w:tcW w:w="133" w:type="dxa"/>
            <w:tcBorders/>
            <w:vAlign w:val="bottom"/>
          </w:tcPr>
          <w:p>
            <w:pPr>
              <w:pStyle w:val="TableContents"/>
              <w:bidi w:val="0"/>
              <w:spacing w:before="0" w:after="283"/>
              <w:jc w:val="left"/>
              <w:rPr/>
            </w:pPr>
            <w:r>
              <w:rPr/>
              <w:t>  </w:t>
            </w:r>
          </w:p>
        </w:tc>
        <w:tc>
          <w:tcPr>
            <w:tcW w:w="9651" w:type="dxa"/>
            <w:gridSpan w:val="3"/>
            <w:tcBorders/>
          </w:tcPr>
          <w:p>
            <w:pPr>
              <w:pStyle w:val="TableContents"/>
              <w:bidi w:val="0"/>
              <w:spacing w:before="0" w:after="283"/>
              <w:jc w:val="left"/>
              <w:rPr>
                <w:b/>
              </w:rPr>
            </w:pPr>
            <w:r>
              <w:rPr>
                <w:b/>
              </w:rPr>
              <w:t>Address for Notices to Investor:</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pBdr>
                <w:bottom w:val="single" w:sz="2" w:space="1" w:color="000000"/>
              </w:pBdr>
              <w:bidi w:val="0"/>
              <w:spacing w:before="0" w:after="20"/>
              <w:jc w:val="left"/>
              <w:rPr/>
            </w:pPr>
            <w:r>
              <w:rPr/>
              <w:t> </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pBdr>
                <w:bottom w:val="single" w:sz="2" w:space="1" w:color="000000"/>
              </w:pBdr>
              <w:bidi w:val="0"/>
              <w:spacing w:before="0" w:after="20"/>
              <w:jc w:val="left"/>
              <w:rPr/>
            </w:pPr>
            <w:r>
              <w:rPr/>
              <w:t> </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t xml:space="preserve">Telephone: </w:t>
      </w:r>
    </w:p>
    <w:tbl>
      <w:tblPr>
        <w:tblW w:w="5000" w:type="pct"/>
        <w:jc w:val="center"/>
        <w:tblInd w:w="0" w:type="dxa"/>
        <w:tblLayout w:type="fixed"/>
        <w:tblCellMar>
          <w:top w:w="0" w:type="dxa"/>
          <w:left w:w="0" w:type="dxa"/>
          <w:bottom w:w="0" w:type="dxa"/>
          <w:right w:w="0" w:type="dxa"/>
        </w:tblCellMar>
      </w:tblPr>
      <w:tblGrid>
        <w:gridCol w:w="407"/>
        <w:gridCol w:w="101"/>
        <w:gridCol w:w="23"/>
        <w:gridCol w:w="102"/>
        <w:gridCol w:w="9572"/>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957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Contact Person: </w:t>
      </w:r>
    </w:p>
    <w:tbl>
      <w:tblPr>
        <w:tblW w:w="5000" w:type="pct"/>
        <w:jc w:val="center"/>
        <w:tblInd w:w="0" w:type="dxa"/>
        <w:tblLayout w:type="fixed"/>
        <w:tblCellMar>
          <w:top w:w="0" w:type="dxa"/>
          <w:left w:w="0" w:type="dxa"/>
          <w:bottom w:w="0" w:type="dxa"/>
          <w:right w:w="0" w:type="dxa"/>
        </w:tblCellMar>
      </w:tblPr>
      <w:tblGrid>
        <w:gridCol w:w="407"/>
        <w:gridCol w:w="101"/>
        <w:gridCol w:w="23"/>
        <w:gridCol w:w="102"/>
        <w:gridCol w:w="9572"/>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957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pBdr>
                <w:bottom w:val="single" w:sz="2" w:space="1" w:color="000000"/>
              </w:pBdr>
              <w:bidi w:val="0"/>
              <w:spacing w:before="0" w:after="20"/>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416"/>
        <w:gridCol w:w="108"/>
        <w:gridCol w:w="778"/>
        <w:gridCol w:w="120"/>
        <w:gridCol w:w="8783"/>
      </w:tblGrid>
      <w:tr>
        <w:trPr/>
        <w:tc>
          <w:tcPr>
            <w:tcW w:w="416"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78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416" w:type="dxa"/>
            <w:tcBorders/>
            <w:vAlign w:val="center"/>
          </w:tcPr>
          <w:p>
            <w:pPr>
              <w:pStyle w:val="TableContents"/>
              <w:bidi w:val="0"/>
              <w:spacing w:before="0" w:after="283"/>
              <w:jc w:val="left"/>
              <w:rPr>
                <w:sz w:val="4"/>
                <w:szCs w:val="4"/>
              </w:rPr>
            </w:pPr>
            <w:r>
              <w:rPr>
                <w:sz w:val="4"/>
                <w:szCs w:val="4"/>
              </w:rPr>
            </w:r>
          </w:p>
        </w:tc>
        <w:tc>
          <w:tcPr>
            <w:tcW w:w="9789" w:type="dxa"/>
            <w:gridSpan w:val="4"/>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b/>
              </w:rPr>
            </w:pPr>
            <w:r>
              <w:rPr>
                <w:b/>
              </w:rPr>
              <w:t>3.</w:t>
            </w:r>
          </w:p>
        </w:tc>
        <w:tc>
          <w:tcPr>
            <w:tcW w:w="108" w:type="dxa"/>
            <w:tcBorders/>
            <w:vAlign w:val="bottom"/>
          </w:tcPr>
          <w:p>
            <w:pPr>
              <w:pStyle w:val="TableContents"/>
              <w:bidi w:val="0"/>
              <w:spacing w:before="0" w:after="283"/>
              <w:jc w:val="left"/>
              <w:rPr/>
            </w:pPr>
            <w:r>
              <w:rPr/>
              <w:t> </w:t>
            </w:r>
          </w:p>
        </w:tc>
        <w:tc>
          <w:tcPr>
            <w:tcW w:w="9681" w:type="dxa"/>
            <w:gridSpan w:val="3"/>
            <w:tcBorders/>
          </w:tcPr>
          <w:p>
            <w:pPr>
              <w:pStyle w:val="TableContents"/>
              <w:bidi w:val="0"/>
              <w:spacing w:before="0" w:after="283"/>
              <w:jc w:val="left"/>
              <w:rPr>
                <w:b/>
              </w:rPr>
            </w:pPr>
            <w:r>
              <w:rPr>
                <w:b/>
              </w:rPr>
              <w:t>Broker-Dealer Status:</w:t>
            </w:r>
          </w:p>
        </w:tc>
      </w:tr>
      <w:tr>
        <w:trPr>
          <w:trHeight w:val="120" w:hRule="atLeast"/>
        </w:trPr>
        <w:tc>
          <w:tcPr>
            <w:tcW w:w="416" w:type="dxa"/>
            <w:tcBorders/>
            <w:vAlign w:val="center"/>
          </w:tcPr>
          <w:p>
            <w:pPr>
              <w:pStyle w:val="TableContents"/>
              <w:bidi w:val="0"/>
              <w:spacing w:before="0" w:after="283"/>
              <w:jc w:val="left"/>
              <w:rPr>
                <w:sz w:val="4"/>
                <w:szCs w:val="4"/>
              </w:rPr>
            </w:pPr>
            <w:r>
              <w:rPr>
                <w:sz w:val="4"/>
                <w:szCs w:val="4"/>
              </w:rPr>
            </w:r>
          </w:p>
        </w:tc>
        <w:tc>
          <w:tcPr>
            <w:tcW w:w="886" w:type="dxa"/>
            <w:gridSpan w:val="2"/>
            <w:tcBorders/>
            <w:vAlign w:val="center"/>
          </w:tcPr>
          <w:p>
            <w:pPr>
              <w:pStyle w:val="TableContents"/>
              <w:bidi w:val="0"/>
              <w:spacing w:before="0" w:after="283"/>
              <w:jc w:val="left"/>
              <w:rPr>
                <w:sz w:val="4"/>
                <w:szCs w:val="4"/>
              </w:rPr>
            </w:pPr>
            <w:r>
              <w:rPr>
                <w:sz w:val="4"/>
                <w:szCs w:val="4"/>
              </w:rPr>
            </w:r>
          </w:p>
        </w:tc>
        <w:tc>
          <w:tcPr>
            <w:tcW w:w="8903" w:type="dxa"/>
            <w:gridSpan w:val="2"/>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778" w:type="dxa"/>
            <w:tcBorders/>
          </w:tcPr>
          <w:p>
            <w:pPr>
              <w:pStyle w:val="TableContents"/>
              <w:bidi w:val="0"/>
              <w:spacing w:before="0" w:after="283"/>
              <w:jc w:val="left"/>
              <w:rPr/>
            </w:pPr>
            <w:r>
              <w:rPr/>
              <w:t>(a)</w:t>
            </w:r>
          </w:p>
        </w:tc>
        <w:tc>
          <w:tcPr>
            <w:tcW w:w="120" w:type="dxa"/>
            <w:tcBorders/>
            <w:vAlign w:val="bottom"/>
          </w:tcPr>
          <w:p>
            <w:pPr>
              <w:pStyle w:val="TableContents"/>
              <w:bidi w:val="0"/>
              <w:spacing w:before="0" w:after="283"/>
              <w:jc w:val="left"/>
              <w:rPr/>
            </w:pPr>
            <w:r>
              <w:rPr/>
              <w:t>  </w:t>
            </w:r>
          </w:p>
        </w:tc>
        <w:tc>
          <w:tcPr>
            <w:tcW w:w="8783" w:type="dxa"/>
            <w:tcBorders/>
          </w:tcPr>
          <w:p>
            <w:pPr>
              <w:pStyle w:val="TableContents"/>
              <w:bidi w:val="0"/>
              <w:spacing w:before="0" w:after="283"/>
              <w:jc w:val="left"/>
              <w:rPr/>
            </w:pPr>
            <w:r>
              <w:rPr/>
              <w:t>Are you a broker-dealer?</w:t>
            </w:r>
          </w:p>
        </w:tc>
      </w:tr>
      <w:tr>
        <w:trPr>
          <w:trHeight w:val="120" w:hRule="atLeast"/>
        </w:trPr>
        <w:tc>
          <w:tcPr>
            <w:tcW w:w="416" w:type="dxa"/>
            <w:tcBorders/>
            <w:vAlign w:val="center"/>
          </w:tcPr>
          <w:p>
            <w:pPr>
              <w:pStyle w:val="TableContents"/>
              <w:bidi w:val="0"/>
              <w:spacing w:before="0" w:after="283"/>
              <w:jc w:val="left"/>
              <w:rPr>
                <w:sz w:val="4"/>
                <w:szCs w:val="4"/>
              </w:rPr>
            </w:pPr>
            <w:r>
              <w:rPr>
                <w:sz w:val="4"/>
                <w:szCs w:val="4"/>
              </w:rPr>
            </w:r>
          </w:p>
        </w:tc>
        <w:tc>
          <w:tcPr>
            <w:tcW w:w="886" w:type="dxa"/>
            <w:gridSpan w:val="2"/>
            <w:tcBorders/>
            <w:vAlign w:val="center"/>
          </w:tcPr>
          <w:p>
            <w:pPr>
              <w:pStyle w:val="TableContents"/>
              <w:bidi w:val="0"/>
              <w:spacing w:before="0" w:after="283"/>
              <w:jc w:val="left"/>
              <w:rPr>
                <w:sz w:val="4"/>
                <w:szCs w:val="4"/>
              </w:rPr>
            </w:pPr>
            <w:r>
              <w:rPr>
                <w:sz w:val="4"/>
                <w:szCs w:val="4"/>
              </w:rPr>
            </w:r>
          </w:p>
        </w:tc>
        <w:tc>
          <w:tcPr>
            <w:tcW w:w="8903" w:type="dxa"/>
            <w:gridSpan w:val="2"/>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77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783" w:type="dxa"/>
            <w:tcBorders/>
          </w:tcPr>
          <w:p>
            <w:pPr>
              <w:pStyle w:val="TableContents"/>
              <w:bidi w:val="0"/>
              <w:spacing w:before="0" w:after="0"/>
              <w:jc w:val="left"/>
              <w:rPr>
                <w:rFonts w:ascii="Times New Roman" w:hAnsi="Times New Roman"/>
                <w:sz w:val="20"/>
              </w:rPr>
            </w:pPr>
            <w:r>
              <w:rPr>
                <w:rFonts w:ascii="Times New Roman" w:hAnsi="Times New Roman"/>
                <w:sz w:val="20"/>
              </w:rPr>
              <w:t>Yes ☐  No ☐</w:t>
            </w:r>
          </w:p>
        </w:tc>
      </w:tr>
      <w:tr>
        <w:trPr>
          <w:trHeight w:val="120" w:hRule="atLeast"/>
        </w:trPr>
        <w:tc>
          <w:tcPr>
            <w:tcW w:w="416" w:type="dxa"/>
            <w:tcBorders/>
            <w:vAlign w:val="center"/>
          </w:tcPr>
          <w:p>
            <w:pPr>
              <w:pStyle w:val="TableContents"/>
              <w:bidi w:val="0"/>
              <w:spacing w:before="0" w:after="283"/>
              <w:jc w:val="left"/>
              <w:rPr>
                <w:sz w:val="4"/>
                <w:szCs w:val="4"/>
              </w:rPr>
            </w:pPr>
            <w:r>
              <w:rPr>
                <w:sz w:val="4"/>
                <w:szCs w:val="4"/>
              </w:rPr>
            </w:r>
          </w:p>
        </w:tc>
        <w:tc>
          <w:tcPr>
            <w:tcW w:w="886" w:type="dxa"/>
            <w:gridSpan w:val="2"/>
            <w:tcBorders/>
            <w:vAlign w:val="center"/>
          </w:tcPr>
          <w:p>
            <w:pPr>
              <w:pStyle w:val="TableContents"/>
              <w:bidi w:val="0"/>
              <w:spacing w:before="0" w:after="283"/>
              <w:jc w:val="left"/>
              <w:rPr>
                <w:sz w:val="4"/>
                <w:szCs w:val="4"/>
              </w:rPr>
            </w:pPr>
            <w:r>
              <w:rPr>
                <w:sz w:val="4"/>
                <w:szCs w:val="4"/>
              </w:rPr>
            </w:r>
          </w:p>
        </w:tc>
        <w:tc>
          <w:tcPr>
            <w:tcW w:w="8903" w:type="dxa"/>
            <w:gridSpan w:val="2"/>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778" w:type="dxa"/>
            <w:tcBorders/>
          </w:tcPr>
          <w:p>
            <w:pPr>
              <w:pStyle w:val="TableContents"/>
              <w:bidi w:val="0"/>
              <w:spacing w:before="0" w:after="283"/>
              <w:jc w:val="left"/>
              <w:rPr/>
            </w:pPr>
            <w:r>
              <w:rPr/>
              <w:t>(b)</w:t>
            </w:r>
          </w:p>
        </w:tc>
        <w:tc>
          <w:tcPr>
            <w:tcW w:w="120" w:type="dxa"/>
            <w:tcBorders/>
            <w:vAlign w:val="bottom"/>
          </w:tcPr>
          <w:p>
            <w:pPr>
              <w:pStyle w:val="TableContents"/>
              <w:bidi w:val="0"/>
              <w:spacing w:before="0" w:after="283"/>
              <w:jc w:val="left"/>
              <w:rPr/>
            </w:pPr>
            <w:r>
              <w:rPr/>
              <w:t>  </w:t>
            </w:r>
          </w:p>
        </w:tc>
        <w:tc>
          <w:tcPr>
            <w:tcW w:w="8783" w:type="dxa"/>
            <w:tcBorders/>
          </w:tcPr>
          <w:p>
            <w:pPr>
              <w:pStyle w:val="TableContents"/>
              <w:bidi w:val="0"/>
              <w:spacing w:before="0" w:after="283"/>
              <w:jc w:val="left"/>
              <w:rPr/>
            </w:pPr>
            <w:r>
              <w:rPr/>
              <w:t>If “yes” to Section 3(a), did you receive your Registrable Securities as compensation for investment banking services to the Company?</w:t>
            </w:r>
          </w:p>
        </w:tc>
      </w:tr>
      <w:tr>
        <w:trPr>
          <w:trHeight w:val="120" w:hRule="atLeast"/>
        </w:trPr>
        <w:tc>
          <w:tcPr>
            <w:tcW w:w="416" w:type="dxa"/>
            <w:tcBorders/>
            <w:vAlign w:val="center"/>
          </w:tcPr>
          <w:p>
            <w:pPr>
              <w:pStyle w:val="TableContents"/>
              <w:bidi w:val="0"/>
              <w:spacing w:before="0" w:after="283"/>
              <w:jc w:val="left"/>
              <w:rPr>
                <w:sz w:val="4"/>
                <w:szCs w:val="4"/>
              </w:rPr>
            </w:pPr>
            <w:r>
              <w:rPr>
                <w:sz w:val="4"/>
                <w:szCs w:val="4"/>
              </w:rPr>
            </w:r>
          </w:p>
        </w:tc>
        <w:tc>
          <w:tcPr>
            <w:tcW w:w="886" w:type="dxa"/>
            <w:gridSpan w:val="2"/>
            <w:tcBorders/>
            <w:vAlign w:val="center"/>
          </w:tcPr>
          <w:p>
            <w:pPr>
              <w:pStyle w:val="TableContents"/>
              <w:bidi w:val="0"/>
              <w:spacing w:before="0" w:after="283"/>
              <w:jc w:val="left"/>
              <w:rPr>
                <w:sz w:val="4"/>
                <w:szCs w:val="4"/>
              </w:rPr>
            </w:pPr>
            <w:r>
              <w:rPr>
                <w:sz w:val="4"/>
                <w:szCs w:val="4"/>
              </w:rPr>
            </w:r>
          </w:p>
        </w:tc>
        <w:tc>
          <w:tcPr>
            <w:tcW w:w="8903" w:type="dxa"/>
            <w:gridSpan w:val="2"/>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77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783" w:type="dxa"/>
            <w:tcBorders/>
          </w:tcPr>
          <w:p>
            <w:pPr>
              <w:pStyle w:val="TableContents"/>
              <w:bidi w:val="0"/>
              <w:spacing w:before="0" w:after="0"/>
              <w:jc w:val="left"/>
              <w:rPr>
                <w:rFonts w:ascii="Times New Roman" w:hAnsi="Times New Roman"/>
                <w:sz w:val="20"/>
              </w:rPr>
            </w:pPr>
            <w:r>
              <w:rPr>
                <w:rFonts w:ascii="Times New Roman" w:hAnsi="Times New Roman"/>
                <w:sz w:val="20"/>
              </w:rPr>
              <w:t>Yes ☐  No ☐</w:t>
            </w:r>
          </w:p>
        </w:tc>
      </w:tr>
      <w:tr>
        <w:trPr>
          <w:trHeight w:val="120" w:hRule="atLeast"/>
        </w:trPr>
        <w:tc>
          <w:tcPr>
            <w:tcW w:w="416" w:type="dxa"/>
            <w:tcBorders/>
            <w:vAlign w:val="center"/>
          </w:tcPr>
          <w:p>
            <w:pPr>
              <w:pStyle w:val="TableContents"/>
              <w:bidi w:val="0"/>
              <w:spacing w:before="0" w:after="283"/>
              <w:jc w:val="left"/>
              <w:rPr>
                <w:sz w:val="4"/>
                <w:szCs w:val="4"/>
              </w:rPr>
            </w:pPr>
            <w:r>
              <w:rPr>
                <w:sz w:val="4"/>
                <w:szCs w:val="4"/>
              </w:rPr>
            </w:r>
          </w:p>
        </w:tc>
        <w:tc>
          <w:tcPr>
            <w:tcW w:w="886" w:type="dxa"/>
            <w:gridSpan w:val="2"/>
            <w:tcBorders/>
            <w:vAlign w:val="center"/>
          </w:tcPr>
          <w:p>
            <w:pPr>
              <w:pStyle w:val="TableContents"/>
              <w:bidi w:val="0"/>
              <w:spacing w:before="0" w:after="283"/>
              <w:jc w:val="left"/>
              <w:rPr>
                <w:sz w:val="4"/>
                <w:szCs w:val="4"/>
              </w:rPr>
            </w:pPr>
            <w:r>
              <w:rPr>
                <w:sz w:val="4"/>
                <w:szCs w:val="4"/>
              </w:rPr>
            </w:r>
          </w:p>
        </w:tc>
        <w:tc>
          <w:tcPr>
            <w:tcW w:w="8903" w:type="dxa"/>
            <w:gridSpan w:val="2"/>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778" w:type="dxa"/>
            <w:tcBorders/>
          </w:tcPr>
          <w:p>
            <w:pPr>
              <w:pStyle w:val="TableContents"/>
              <w:bidi w:val="0"/>
              <w:spacing w:before="0" w:after="283"/>
              <w:jc w:val="left"/>
              <w:rPr/>
            </w:pPr>
            <w:r>
              <w:rPr/>
              <w:t>Note:</w:t>
            </w:r>
          </w:p>
        </w:tc>
        <w:tc>
          <w:tcPr>
            <w:tcW w:w="120" w:type="dxa"/>
            <w:tcBorders/>
            <w:vAlign w:val="bottom"/>
          </w:tcPr>
          <w:p>
            <w:pPr>
              <w:pStyle w:val="TableContents"/>
              <w:bidi w:val="0"/>
              <w:spacing w:before="0" w:after="283"/>
              <w:jc w:val="left"/>
              <w:rPr/>
            </w:pPr>
            <w:r>
              <w:rPr/>
              <w:t>  </w:t>
            </w:r>
          </w:p>
        </w:tc>
        <w:tc>
          <w:tcPr>
            <w:tcW w:w="8783" w:type="dxa"/>
            <w:tcBorders/>
          </w:tcPr>
          <w:p>
            <w:pPr>
              <w:pStyle w:val="TableContents"/>
              <w:bidi w:val="0"/>
              <w:spacing w:before="0" w:after="283"/>
              <w:jc w:val="left"/>
              <w:rPr/>
            </w:pPr>
            <w:r>
              <w:rPr/>
              <w:t>If “no” to Section 3(b), the SEC’s staff has indicated that you should be identified as an underwriter in the Registration Statement.</w:t>
            </w:r>
          </w:p>
        </w:tc>
      </w:tr>
      <w:tr>
        <w:trPr>
          <w:trHeight w:val="120" w:hRule="atLeast"/>
        </w:trPr>
        <w:tc>
          <w:tcPr>
            <w:tcW w:w="416" w:type="dxa"/>
            <w:tcBorders/>
            <w:vAlign w:val="center"/>
          </w:tcPr>
          <w:p>
            <w:pPr>
              <w:pStyle w:val="TableContents"/>
              <w:bidi w:val="0"/>
              <w:spacing w:before="0" w:after="283"/>
              <w:jc w:val="left"/>
              <w:rPr>
                <w:sz w:val="4"/>
                <w:szCs w:val="4"/>
              </w:rPr>
            </w:pPr>
            <w:r>
              <w:rPr>
                <w:sz w:val="4"/>
                <w:szCs w:val="4"/>
              </w:rPr>
            </w:r>
          </w:p>
        </w:tc>
        <w:tc>
          <w:tcPr>
            <w:tcW w:w="886" w:type="dxa"/>
            <w:gridSpan w:val="2"/>
            <w:tcBorders/>
            <w:vAlign w:val="center"/>
          </w:tcPr>
          <w:p>
            <w:pPr>
              <w:pStyle w:val="TableContents"/>
              <w:bidi w:val="0"/>
              <w:spacing w:before="0" w:after="283"/>
              <w:jc w:val="left"/>
              <w:rPr>
                <w:sz w:val="4"/>
                <w:szCs w:val="4"/>
              </w:rPr>
            </w:pPr>
            <w:r>
              <w:rPr>
                <w:sz w:val="4"/>
                <w:szCs w:val="4"/>
              </w:rPr>
            </w:r>
          </w:p>
        </w:tc>
        <w:tc>
          <w:tcPr>
            <w:tcW w:w="8903" w:type="dxa"/>
            <w:gridSpan w:val="2"/>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778" w:type="dxa"/>
            <w:tcBorders/>
          </w:tcPr>
          <w:p>
            <w:pPr>
              <w:pStyle w:val="TableContents"/>
              <w:bidi w:val="0"/>
              <w:spacing w:before="0" w:after="283"/>
              <w:jc w:val="left"/>
              <w:rPr/>
            </w:pPr>
            <w:r>
              <w:rPr/>
              <w:t>(c)</w:t>
            </w:r>
          </w:p>
        </w:tc>
        <w:tc>
          <w:tcPr>
            <w:tcW w:w="120" w:type="dxa"/>
            <w:tcBorders/>
            <w:vAlign w:val="bottom"/>
          </w:tcPr>
          <w:p>
            <w:pPr>
              <w:pStyle w:val="TableContents"/>
              <w:bidi w:val="0"/>
              <w:spacing w:before="0" w:after="283"/>
              <w:jc w:val="left"/>
              <w:rPr/>
            </w:pPr>
            <w:r>
              <w:rPr/>
              <w:t>  </w:t>
            </w:r>
          </w:p>
        </w:tc>
        <w:tc>
          <w:tcPr>
            <w:tcW w:w="8783" w:type="dxa"/>
            <w:tcBorders/>
          </w:tcPr>
          <w:p>
            <w:pPr>
              <w:pStyle w:val="TableContents"/>
              <w:bidi w:val="0"/>
              <w:spacing w:before="0" w:after="283"/>
              <w:jc w:val="left"/>
              <w:rPr/>
            </w:pPr>
            <w:r>
              <w:rPr/>
              <w:t>Are you an affiliate of a broker-dealer?</w:t>
            </w:r>
          </w:p>
        </w:tc>
      </w:tr>
      <w:tr>
        <w:trPr>
          <w:trHeight w:val="120" w:hRule="atLeast"/>
        </w:trPr>
        <w:tc>
          <w:tcPr>
            <w:tcW w:w="416" w:type="dxa"/>
            <w:tcBorders/>
            <w:vAlign w:val="center"/>
          </w:tcPr>
          <w:p>
            <w:pPr>
              <w:pStyle w:val="TableContents"/>
              <w:bidi w:val="0"/>
              <w:spacing w:before="0" w:after="283"/>
              <w:jc w:val="left"/>
              <w:rPr>
                <w:sz w:val="4"/>
                <w:szCs w:val="4"/>
              </w:rPr>
            </w:pPr>
            <w:r>
              <w:rPr>
                <w:sz w:val="4"/>
                <w:szCs w:val="4"/>
              </w:rPr>
            </w:r>
          </w:p>
        </w:tc>
        <w:tc>
          <w:tcPr>
            <w:tcW w:w="886" w:type="dxa"/>
            <w:gridSpan w:val="2"/>
            <w:tcBorders/>
            <w:vAlign w:val="center"/>
          </w:tcPr>
          <w:p>
            <w:pPr>
              <w:pStyle w:val="TableContents"/>
              <w:bidi w:val="0"/>
              <w:spacing w:before="0" w:after="283"/>
              <w:jc w:val="left"/>
              <w:rPr>
                <w:sz w:val="4"/>
                <w:szCs w:val="4"/>
              </w:rPr>
            </w:pPr>
            <w:r>
              <w:rPr>
                <w:sz w:val="4"/>
                <w:szCs w:val="4"/>
              </w:rPr>
            </w:r>
          </w:p>
        </w:tc>
        <w:tc>
          <w:tcPr>
            <w:tcW w:w="8903" w:type="dxa"/>
            <w:gridSpan w:val="2"/>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77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783" w:type="dxa"/>
            <w:tcBorders/>
          </w:tcPr>
          <w:p>
            <w:pPr>
              <w:pStyle w:val="TableContents"/>
              <w:bidi w:val="0"/>
              <w:spacing w:before="0" w:after="0"/>
              <w:jc w:val="left"/>
              <w:rPr>
                <w:rFonts w:ascii="Times New Roman" w:hAnsi="Times New Roman"/>
                <w:sz w:val="20"/>
              </w:rPr>
            </w:pPr>
            <w:r>
              <w:rPr>
                <w:rFonts w:ascii="Times New Roman" w:hAnsi="Times New Roman"/>
                <w:sz w:val="20"/>
              </w:rPr>
              <w:t>Yes ☐  No ☐</w:t>
            </w:r>
          </w:p>
        </w:tc>
      </w:tr>
      <w:tr>
        <w:trPr>
          <w:trHeight w:val="120" w:hRule="atLeast"/>
        </w:trPr>
        <w:tc>
          <w:tcPr>
            <w:tcW w:w="416" w:type="dxa"/>
            <w:tcBorders/>
            <w:vAlign w:val="center"/>
          </w:tcPr>
          <w:p>
            <w:pPr>
              <w:pStyle w:val="TableContents"/>
              <w:bidi w:val="0"/>
              <w:spacing w:before="0" w:after="283"/>
              <w:jc w:val="left"/>
              <w:rPr>
                <w:sz w:val="4"/>
                <w:szCs w:val="4"/>
              </w:rPr>
            </w:pPr>
            <w:r>
              <w:rPr>
                <w:sz w:val="4"/>
                <w:szCs w:val="4"/>
              </w:rPr>
            </w:r>
          </w:p>
        </w:tc>
        <w:tc>
          <w:tcPr>
            <w:tcW w:w="886" w:type="dxa"/>
            <w:gridSpan w:val="2"/>
            <w:tcBorders/>
            <w:vAlign w:val="center"/>
          </w:tcPr>
          <w:p>
            <w:pPr>
              <w:pStyle w:val="TableContents"/>
              <w:bidi w:val="0"/>
              <w:spacing w:before="0" w:after="283"/>
              <w:jc w:val="left"/>
              <w:rPr>
                <w:sz w:val="4"/>
                <w:szCs w:val="4"/>
              </w:rPr>
            </w:pPr>
            <w:r>
              <w:rPr>
                <w:sz w:val="4"/>
                <w:szCs w:val="4"/>
              </w:rPr>
            </w:r>
          </w:p>
        </w:tc>
        <w:tc>
          <w:tcPr>
            <w:tcW w:w="8903" w:type="dxa"/>
            <w:gridSpan w:val="2"/>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778" w:type="dxa"/>
            <w:tcBorders/>
          </w:tcPr>
          <w:p>
            <w:pPr>
              <w:pStyle w:val="TableContents"/>
              <w:bidi w:val="0"/>
              <w:spacing w:before="0" w:after="283"/>
              <w:jc w:val="left"/>
              <w:rPr/>
            </w:pPr>
            <w:r>
              <w:rPr/>
              <w:t>(d)</w:t>
            </w:r>
          </w:p>
        </w:tc>
        <w:tc>
          <w:tcPr>
            <w:tcW w:w="120" w:type="dxa"/>
            <w:tcBorders/>
            <w:vAlign w:val="bottom"/>
          </w:tcPr>
          <w:p>
            <w:pPr>
              <w:pStyle w:val="TableContents"/>
              <w:bidi w:val="0"/>
              <w:spacing w:before="0" w:after="283"/>
              <w:jc w:val="left"/>
              <w:rPr/>
            </w:pPr>
            <w:r>
              <w:rPr/>
              <w:t>  </w:t>
            </w:r>
          </w:p>
        </w:tc>
        <w:tc>
          <w:tcPr>
            <w:tcW w:w="8783" w:type="dxa"/>
            <w:tcBorders/>
          </w:tcPr>
          <w:p>
            <w:pPr>
              <w:pStyle w:val="TableContents"/>
              <w:bidi w:val="0"/>
              <w:spacing w:before="0" w:after="283"/>
              <w:jc w:val="left"/>
              <w:rPr/>
            </w:pPr>
            <w:r>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tc>
      </w:tr>
      <w:tr>
        <w:trPr>
          <w:trHeight w:val="120" w:hRule="atLeast"/>
        </w:trPr>
        <w:tc>
          <w:tcPr>
            <w:tcW w:w="416" w:type="dxa"/>
            <w:tcBorders/>
            <w:vAlign w:val="center"/>
          </w:tcPr>
          <w:p>
            <w:pPr>
              <w:pStyle w:val="TableContents"/>
              <w:bidi w:val="0"/>
              <w:spacing w:before="0" w:after="283"/>
              <w:jc w:val="left"/>
              <w:rPr>
                <w:sz w:val="4"/>
                <w:szCs w:val="4"/>
              </w:rPr>
            </w:pPr>
            <w:r>
              <w:rPr>
                <w:sz w:val="4"/>
                <w:szCs w:val="4"/>
              </w:rPr>
            </w:r>
          </w:p>
        </w:tc>
        <w:tc>
          <w:tcPr>
            <w:tcW w:w="886" w:type="dxa"/>
            <w:gridSpan w:val="2"/>
            <w:tcBorders/>
            <w:vAlign w:val="center"/>
          </w:tcPr>
          <w:p>
            <w:pPr>
              <w:pStyle w:val="TableContents"/>
              <w:bidi w:val="0"/>
              <w:spacing w:before="0" w:after="283"/>
              <w:jc w:val="left"/>
              <w:rPr>
                <w:sz w:val="4"/>
                <w:szCs w:val="4"/>
              </w:rPr>
            </w:pPr>
            <w:r>
              <w:rPr>
                <w:sz w:val="4"/>
                <w:szCs w:val="4"/>
              </w:rPr>
            </w:r>
          </w:p>
        </w:tc>
        <w:tc>
          <w:tcPr>
            <w:tcW w:w="8903" w:type="dxa"/>
            <w:gridSpan w:val="2"/>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77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783" w:type="dxa"/>
            <w:tcBorders/>
          </w:tcPr>
          <w:p>
            <w:pPr>
              <w:pStyle w:val="TableContents"/>
              <w:bidi w:val="0"/>
              <w:spacing w:before="0" w:after="0"/>
              <w:jc w:val="left"/>
              <w:rPr>
                <w:rFonts w:ascii="Times New Roman" w:hAnsi="Times New Roman"/>
                <w:sz w:val="20"/>
              </w:rPr>
            </w:pPr>
            <w:r>
              <w:rPr>
                <w:rFonts w:ascii="Times New Roman" w:hAnsi="Times New Roman"/>
                <w:sz w:val="20"/>
              </w:rPr>
              <w:t>Yes ☐  No ☐</w:t>
            </w:r>
          </w:p>
        </w:tc>
      </w:tr>
      <w:tr>
        <w:trPr>
          <w:trHeight w:val="120" w:hRule="atLeast"/>
        </w:trPr>
        <w:tc>
          <w:tcPr>
            <w:tcW w:w="416" w:type="dxa"/>
            <w:tcBorders/>
            <w:vAlign w:val="center"/>
          </w:tcPr>
          <w:p>
            <w:pPr>
              <w:pStyle w:val="TableContents"/>
              <w:bidi w:val="0"/>
              <w:spacing w:before="0" w:after="283"/>
              <w:jc w:val="left"/>
              <w:rPr>
                <w:sz w:val="4"/>
                <w:szCs w:val="4"/>
              </w:rPr>
            </w:pPr>
            <w:r>
              <w:rPr>
                <w:sz w:val="4"/>
                <w:szCs w:val="4"/>
              </w:rPr>
            </w:r>
          </w:p>
        </w:tc>
        <w:tc>
          <w:tcPr>
            <w:tcW w:w="886" w:type="dxa"/>
            <w:gridSpan w:val="2"/>
            <w:tcBorders/>
            <w:vAlign w:val="center"/>
          </w:tcPr>
          <w:p>
            <w:pPr>
              <w:pStyle w:val="TableContents"/>
              <w:bidi w:val="0"/>
              <w:spacing w:before="0" w:after="283"/>
              <w:jc w:val="left"/>
              <w:rPr>
                <w:sz w:val="4"/>
                <w:szCs w:val="4"/>
              </w:rPr>
            </w:pPr>
            <w:r>
              <w:rPr>
                <w:sz w:val="4"/>
                <w:szCs w:val="4"/>
              </w:rPr>
            </w:r>
          </w:p>
        </w:tc>
        <w:tc>
          <w:tcPr>
            <w:tcW w:w="8903" w:type="dxa"/>
            <w:gridSpan w:val="2"/>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778" w:type="dxa"/>
            <w:tcBorders/>
          </w:tcPr>
          <w:p>
            <w:pPr>
              <w:pStyle w:val="TableContents"/>
              <w:bidi w:val="0"/>
              <w:spacing w:before="0" w:after="283"/>
              <w:jc w:val="left"/>
              <w:rPr/>
            </w:pPr>
            <w:r>
              <w:rPr/>
              <w:t>Note:</w:t>
            </w:r>
          </w:p>
        </w:tc>
        <w:tc>
          <w:tcPr>
            <w:tcW w:w="120" w:type="dxa"/>
            <w:tcBorders/>
            <w:vAlign w:val="bottom"/>
          </w:tcPr>
          <w:p>
            <w:pPr>
              <w:pStyle w:val="TableContents"/>
              <w:bidi w:val="0"/>
              <w:spacing w:before="0" w:after="283"/>
              <w:jc w:val="left"/>
              <w:rPr/>
            </w:pPr>
            <w:r>
              <w:rPr/>
              <w:t>  </w:t>
            </w:r>
          </w:p>
        </w:tc>
        <w:tc>
          <w:tcPr>
            <w:tcW w:w="8783" w:type="dxa"/>
            <w:tcBorders/>
          </w:tcPr>
          <w:p>
            <w:pPr>
              <w:pStyle w:val="TableContents"/>
              <w:bidi w:val="0"/>
              <w:spacing w:before="0" w:after="283"/>
              <w:jc w:val="left"/>
              <w:rPr/>
            </w:pPr>
            <w:r>
              <w:rPr/>
              <w:t>If “no” to Section 3(d), the SEC’s staff has indicated that you should be identified as an underwriter in the Registration Statement.</w:t>
            </w:r>
          </w:p>
        </w:tc>
      </w:tr>
      <w:tr>
        <w:trPr>
          <w:trHeight w:val="120" w:hRule="atLeast"/>
        </w:trPr>
        <w:tc>
          <w:tcPr>
            <w:tcW w:w="416" w:type="dxa"/>
            <w:tcBorders/>
            <w:vAlign w:val="center"/>
          </w:tcPr>
          <w:p>
            <w:pPr>
              <w:pStyle w:val="TableContents"/>
              <w:bidi w:val="0"/>
              <w:spacing w:before="0" w:after="283"/>
              <w:jc w:val="left"/>
              <w:rPr>
                <w:sz w:val="4"/>
                <w:szCs w:val="4"/>
              </w:rPr>
            </w:pPr>
            <w:r>
              <w:rPr>
                <w:sz w:val="4"/>
                <w:szCs w:val="4"/>
              </w:rPr>
            </w:r>
          </w:p>
        </w:tc>
        <w:tc>
          <w:tcPr>
            <w:tcW w:w="9789" w:type="dxa"/>
            <w:gridSpan w:val="4"/>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b/>
              </w:rPr>
            </w:pPr>
            <w:r>
              <w:rPr>
                <w:b/>
              </w:rPr>
              <w:t>4.</w:t>
            </w:r>
          </w:p>
        </w:tc>
        <w:tc>
          <w:tcPr>
            <w:tcW w:w="108" w:type="dxa"/>
            <w:tcBorders/>
            <w:vAlign w:val="bottom"/>
          </w:tcPr>
          <w:p>
            <w:pPr>
              <w:pStyle w:val="TableContents"/>
              <w:bidi w:val="0"/>
              <w:spacing w:before="0" w:after="283"/>
              <w:jc w:val="left"/>
              <w:rPr/>
            </w:pPr>
            <w:r>
              <w:rPr/>
              <w:t> </w:t>
            </w:r>
          </w:p>
        </w:tc>
        <w:tc>
          <w:tcPr>
            <w:tcW w:w="9681" w:type="dxa"/>
            <w:gridSpan w:val="3"/>
            <w:tcBorders/>
          </w:tcPr>
          <w:p>
            <w:pPr>
              <w:pStyle w:val="TableContents"/>
              <w:bidi w:val="0"/>
              <w:spacing w:before="0" w:after="283"/>
              <w:jc w:val="left"/>
              <w:rPr>
                <w:b/>
              </w:rPr>
            </w:pPr>
            <w:r>
              <w:rPr>
                <w:b/>
              </w:rPr>
              <w:t>Beneficial Ownership of Securities of the Company Owned by the Investor.</w:t>
            </w:r>
          </w:p>
        </w:tc>
      </w:tr>
      <w:tr>
        <w:trPr>
          <w:trHeight w:val="120" w:hRule="atLeast"/>
        </w:trPr>
        <w:tc>
          <w:tcPr>
            <w:tcW w:w="416" w:type="dxa"/>
            <w:tcBorders/>
            <w:vAlign w:val="center"/>
          </w:tcPr>
          <w:p>
            <w:pPr>
              <w:pStyle w:val="TableContents"/>
              <w:bidi w:val="0"/>
              <w:spacing w:before="0" w:after="283"/>
              <w:jc w:val="left"/>
              <w:rPr>
                <w:sz w:val="4"/>
                <w:szCs w:val="4"/>
              </w:rPr>
            </w:pPr>
            <w:r>
              <w:rPr>
                <w:sz w:val="4"/>
                <w:szCs w:val="4"/>
              </w:rPr>
            </w:r>
          </w:p>
        </w:tc>
        <w:tc>
          <w:tcPr>
            <w:tcW w:w="9789" w:type="dxa"/>
            <w:gridSpan w:val="4"/>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9681" w:type="dxa"/>
            <w:gridSpan w:val="3"/>
            <w:tcBorders/>
          </w:tcPr>
          <w:p>
            <w:pPr>
              <w:pStyle w:val="TableContents"/>
              <w:bidi w:val="0"/>
              <w:spacing w:before="0" w:after="283"/>
              <w:jc w:val="left"/>
              <w:rPr>
                <w:i/>
              </w:rPr>
            </w:pPr>
            <w:r>
              <w:rPr>
                <w:i/>
              </w:rPr>
              <w:t>Except as set forth below in this Item 4, the undersigned is not the beneficial or registered owner of any securities of the Company other than the securities issuable pursuant to the Purchase Agreement.</w:t>
            </w:r>
          </w:p>
        </w:tc>
      </w:tr>
      <w:tr>
        <w:trPr>
          <w:trHeight w:val="120" w:hRule="atLeast"/>
        </w:trPr>
        <w:tc>
          <w:tcPr>
            <w:tcW w:w="416" w:type="dxa"/>
            <w:tcBorders/>
            <w:vAlign w:val="center"/>
          </w:tcPr>
          <w:p>
            <w:pPr>
              <w:pStyle w:val="TableContents"/>
              <w:bidi w:val="0"/>
              <w:spacing w:before="0" w:after="283"/>
              <w:jc w:val="left"/>
              <w:rPr>
                <w:sz w:val="4"/>
                <w:szCs w:val="4"/>
              </w:rPr>
            </w:pPr>
            <w:r>
              <w:rPr>
                <w:sz w:val="4"/>
                <w:szCs w:val="4"/>
              </w:rPr>
            </w:r>
          </w:p>
        </w:tc>
        <w:tc>
          <w:tcPr>
            <w:tcW w:w="886" w:type="dxa"/>
            <w:gridSpan w:val="2"/>
            <w:tcBorders/>
            <w:vAlign w:val="center"/>
          </w:tcPr>
          <w:p>
            <w:pPr>
              <w:pStyle w:val="TableContents"/>
              <w:bidi w:val="0"/>
              <w:spacing w:before="0" w:after="283"/>
              <w:jc w:val="left"/>
              <w:rPr>
                <w:sz w:val="4"/>
                <w:szCs w:val="4"/>
              </w:rPr>
            </w:pPr>
            <w:r>
              <w:rPr>
                <w:sz w:val="4"/>
                <w:szCs w:val="4"/>
              </w:rPr>
            </w:r>
          </w:p>
        </w:tc>
        <w:tc>
          <w:tcPr>
            <w:tcW w:w="8903" w:type="dxa"/>
            <w:gridSpan w:val="2"/>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778" w:type="dxa"/>
            <w:tcBorders/>
          </w:tcPr>
          <w:p>
            <w:pPr>
              <w:pStyle w:val="TableContents"/>
              <w:bidi w:val="0"/>
              <w:spacing w:before="0" w:after="283"/>
              <w:jc w:val="left"/>
              <w:rPr/>
            </w:pPr>
            <w:r>
              <w:rPr/>
              <w:t>(a)</w:t>
            </w:r>
          </w:p>
        </w:tc>
        <w:tc>
          <w:tcPr>
            <w:tcW w:w="120" w:type="dxa"/>
            <w:tcBorders/>
            <w:vAlign w:val="bottom"/>
          </w:tcPr>
          <w:p>
            <w:pPr>
              <w:pStyle w:val="TableContents"/>
              <w:bidi w:val="0"/>
              <w:spacing w:before="0" w:after="283"/>
              <w:jc w:val="left"/>
              <w:rPr/>
            </w:pPr>
            <w:r>
              <w:rPr/>
              <w:t>  </w:t>
            </w:r>
          </w:p>
        </w:tc>
        <w:tc>
          <w:tcPr>
            <w:tcW w:w="8783" w:type="dxa"/>
            <w:tcBorders/>
          </w:tcPr>
          <w:p>
            <w:pPr>
              <w:pStyle w:val="TableContents"/>
              <w:bidi w:val="0"/>
              <w:spacing w:before="0" w:after="283"/>
              <w:jc w:val="left"/>
              <w:rPr/>
            </w:pPr>
            <w:r>
              <w:rPr/>
              <w:t>Type and Amount of other securities beneficially owned by the Investor:</w:t>
            </w:r>
          </w:p>
        </w:tc>
      </w:tr>
      <w:tr>
        <w:trPr>
          <w:trHeight w:val="120" w:hRule="atLeast"/>
        </w:trPr>
        <w:tc>
          <w:tcPr>
            <w:tcW w:w="416" w:type="dxa"/>
            <w:tcBorders/>
            <w:vAlign w:val="center"/>
          </w:tcPr>
          <w:p>
            <w:pPr>
              <w:pStyle w:val="TableContents"/>
              <w:bidi w:val="0"/>
              <w:spacing w:before="0" w:after="283"/>
              <w:jc w:val="left"/>
              <w:rPr>
                <w:sz w:val="4"/>
                <w:szCs w:val="4"/>
              </w:rPr>
            </w:pPr>
            <w:r>
              <w:rPr>
                <w:sz w:val="4"/>
                <w:szCs w:val="4"/>
              </w:rPr>
            </w:r>
          </w:p>
        </w:tc>
        <w:tc>
          <w:tcPr>
            <w:tcW w:w="886" w:type="dxa"/>
            <w:gridSpan w:val="2"/>
            <w:tcBorders/>
            <w:vAlign w:val="center"/>
          </w:tcPr>
          <w:p>
            <w:pPr>
              <w:pStyle w:val="TableContents"/>
              <w:bidi w:val="0"/>
              <w:spacing w:before="0" w:after="283"/>
              <w:jc w:val="left"/>
              <w:rPr>
                <w:sz w:val="4"/>
                <w:szCs w:val="4"/>
              </w:rPr>
            </w:pPr>
            <w:r>
              <w:rPr>
                <w:sz w:val="4"/>
                <w:szCs w:val="4"/>
              </w:rPr>
            </w:r>
          </w:p>
        </w:tc>
        <w:tc>
          <w:tcPr>
            <w:tcW w:w="8903" w:type="dxa"/>
            <w:gridSpan w:val="2"/>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77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783" w:type="dxa"/>
            <w:tcBorders/>
          </w:tcPr>
          <w:p>
            <w:pPr>
              <w:pStyle w:val="TableContents"/>
              <w:pBdr>
                <w:bottom w:val="single" w:sz="2" w:space="1" w:color="000000"/>
              </w:pBdr>
              <w:bidi w:val="0"/>
              <w:spacing w:before="0" w:after="20"/>
              <w:jc w:val="left"/>
              <w:rPr/>
            </w:pPr>
            <w:r>
              <w:rPr/>
              <w:t> </w:t>
            </w:r>
          </w:p>
        </w:tc>
      </w:tr>
      <w:tr>
        <w:trPr>
          <w:trHeight w:val="120" w:hRule="atLeast"/>
        </w:trPr>
        <w:tc>
          <w:tcPr>
            <w:tcW w:w="416" w:type="dxa"/>
            <w:tcBorders/>
            <w:vAlign w:val="center"/>
          </w:tcPr>
          <w:p>
            <w:pPr>
              <w:pStyle w:val="TableContents"/>
              <w:bidi w:val="0"/>
              <w:spacing w:before="0" w:after="283"/>
              <w:jc w:val="left"/>
              <w:rPr>
                <w:sz w:val="4"/>
                <w:szCs w:val="4"/>
              </w:rPr>
            </w:pPr>
            <w:r>
              <w:rPr>
                <w:sz w:val="4"/>
                <w:szCs w:val="4"/>
              </w:rPr>
            </w:r>
          </w:p>
        </w:tc>
        <w:tc>
          <w:tcPr>
            <w:tcW w:w="886" w:type="dxa"/>
            <w:gridSpan w:val="2"/>
            <w:tcBorders/>
            <w:vAlign w:val="center"/>
          </w:tcPr>
          <w:p>
            <w:pPr>
              <w:pStyle w:val="TableContents"/>
              <w:bidi w:val="0"/>
              <w:spacing w:before="0" w:after="283"/>
              <w:jc w:val="left"/>
              <w:rPr>
                <w:sz w:val="4"/>
                <w:szCs w:val="4"/>
              </w:rPr>
            </w:pPr>
            <w:r>
              <w:rPr>
                <w:sz w:val="4"/>
                <w:szCs w:val="4"/>
              </w:rPr>
            </w:r>
          </w:p>
        </w:tc>
        <w:tc>
          <w:tcPr>
            <w:tcW w:w="8903" w:type="dxa"/>
            <w:gridSpan w:val="2"/>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77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783" w:type="dxa"/>
            <w:tcBorders/>
          </w:tcPr>
          <w:p>
            <w:pPr>
              <w:pStyle w:val="TableContents"/>
              <w:pBdr>
                <w:bottom w:val="single" w:sz="2" w:space="1" w:color="000000"/>
              </w:pBdr>
              <w:bidi w:val="0"/>
              <w:spacing w:before="0" w:after="20"/>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479"/>
        <w:gridCol w:w="143"/>
        <w:gridCol w:w="756"/>
        <w:gridCol w:w="860"/>
        <w:gridCol w:w="7967"/>
      </w:tblGrid>
      <w:tr>
        <w:trPr/>
        <w:tc>
          <w:tcPr>
            <w:tcW w:w="479"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7967"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479" w:type="dxa"/>
            <w:tcBorders/>
            <w:vAlign w:val="center"/>
          </w:tcPr>
          <w:p>
            <w:pPr>
              <w:pStyle w:val="TableContents"/>
              <w:bidi w:val="0"/>
              <w:spacing w:before="0" w:after="283"/>
              <w:jc w:val="left"/>
              <w:rPr>
                <w:sz w:val="4"/>
                <w:szCs w:val="4"/>
              </w:rPr>
            </w:pPr>
            <w:r>
              <w:rPr>
                <w:sz w:val="4"/>
                <w:szCs w:val="4"/>
              </w:rPr>
            </w:r>
          </w:p>
        </w:tc>
        <w:tc>
          <w:tcPr>
            <w:tcW w:w="9726" w:type="dxa"/>
            <w:gridSpan w:val="4"/>
            <w:tcBorders/>
            <w:vAlign w:val="center"/>
          </w:tcPr>
          <w:p>
            <w:pPr>
              <w:pStyle w:val="TableContents"/>
              <w:bidi w:val="0"/>
              <w:spacing w:before="0" w:after="283"/>
              <w:jc w:val="left"/>
              <w:rPr>
                <w:sz w:val="4"/>
                <w:szCs w:val="4"/>
              </w:rPr>
            </w:pPr>
            <w:r>
              <w:rPr>
                <w:sz w:val="4"/>
                <w:szCs w:val="4"/>
              </w:rPr>
            </w:r>
          </w:p>
        </w:tc>
      </w:tr>
      <w:tr>
        <w:trPr/>
        <w:tc>
          <w:tcPr>
            <w:tcW w:w="479" w:type="dxa"/>
            <w:tcBorders/>
          </w:tcPr>
          <w:p>
            <w:pPr>
              <w:pStyle w:val="TableContents"/>
              <w:bidi w:val="0"/>
              <w:spacing w:before="0" w:after="283"/>
              <w:jc w:val="left"/>
              <w:rPr>
                <w:b/>
              </w:rPr>
            </w:pPr>
            <w:r>
              <w:rPr>
                <w:b/>
              </w:rPr>
              <w:t>5.</w:t>
            </w:r>
          </w:p>
        </w:tc>
        <w:tc>
          <w:tcPr>
            <w:tcW w:w="143" w:type="dxa"/>
            <w:tcBorders/>
            <w:vAlign w:val="bottom"/>
          </w:tcPr>
          <w:p>
            <w:pPr>
              <w:pStyle w:val="TableContents"/>
              <w:bidi w:val="0"/>
              <w:spacing w:before="0" w:after="283"/>
              <w:jc w:val="left"/>
              <w:rPr/>
            </w:pPr>
            <w:r>
              <w:rPr/>
              <w:t> </w:t>
            </w:r>
          </w:p>
        </w:tc>
        <w:tc>
          <w:tcPr>
            <w:tcW w:w="9583" w:type="dxa"/>
            <w:gridSpan w:val="3"/>
            <w:tcBorders/>
          </w:tcPr>
          <w:p>
            <w:pPr>
              <w:pStyle w:val="TableContents"/>
              <w:bidi w:val="0"/>
              <w:spacing w:before="0" w:after="283"/>
              <w:jc w:val="left"/>
              <w:rPr>
                <w:b/>
              </w:rPr>
            </w:pPr>
            <w:r>
              <w:rPr>
                <w:b/>
              </w:rPr>
              <w:t>Relationships with the Company:</w:t>
            </w:r>
          </w:p>
        </w:tc>
      </w:tr>
      <w:tr>
        <w:trPr>
          <w:trHeight w:val="120" w:hRule="atLeast"/>
        </w:trPr>
        <w:tc>
          <w:tcPr>
            <w:tcW w:w="479" w:type="dxa"/>
            <w:tcBorders/>
            <w:vAlign w:val="center"/>
          </w:tcPr>
          <w:p>
            <w:pPr>
              <w:pStyle w:val="TableContents"/>
              <w:bidi w:val="0"/>
              <w:spacing w:before="0" w:after="283"/>
              <w:jc w:val="left"/>
              <w:rPr>
                <w:sz w:val="4"/>
                <w:szCs w:val="4"/>
              </w:rPr>
            </w:pPr>
            <w:r>
              <w:rPr>
                <w:sz w:val="4"/>
                <w:szCs w:val="4"/>
              </w:rPr>
            </w:r>
          </w:p>
        </w:tc>
        <w:tc>
          <w:tcPr>
            <w:tcW w:w="9726" w:type="dxa"/>
            <w:gridSpan w:val="4"/>
            <w:tcBorders/>
            <w:vAlign w:val="center"/>
          </w:tcPr>
          <w:p>
            <w:pPr>
              <w:pStyle w:val="TableContents"/>
              <w:bidi w:val="0"/>
              <w:spacing w:before="0" w:after="283"/>
              <w:jc w:val="left"/>
              <w:rPr>
                <w:sz w:val="4"/>
                <w:szCs w:val="4"/>
              </w:rPr>
            </w:pPr>
            <w:r>
              <w:rPr>
                <w:sz w:val="4"/>
                <w:szCs w:val="4"/>
              </w:rPr>
            </w:r>
          </w:p>
        </w:tc>
      </w:tr>
      <w:tr>
        <w:trPr/>
        <w:tc>
          <w:tcPr>
            <w:tcW w:w="479"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9583" w:type="dxa"/>
            <w:gridSpan w:val="3"/>
            <w:tcBorders/>
          </w:tcPr>
          <w:p>
            <w:pPr>
              <w:pStyle w:val="TableContents"/>
              <w:bidi w:val="0"/>
              <w:spacing w:before="0" w:after="283"/>
              <w:jc w:val="left"/>
              <w:rPr>
                <w:i/>
              </w:rPr>
            </w:pPr>
            <w:r>
              <w:rPr>
                <w:i/>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tc>
      </w:tr>
      <w:tr>
        <w:trPr>
          <w:trHeight w:val="120" w:hRule="atLeast"/>
        </w:trPr>
        <w:tc>
          <w:tcPr>
            <w:tcW w:w="479" w:type="dxa"/>
            <w:tcBorders/>
            <w:vAlign w:val="center"/>
          </w:tcPr>
          <w:p>
            <w:pPr>
              <w:pStyle w:val="TableContents"/>
              <w:bidi w:val="0"/>
              <w:spacing w:before="0" w:after="283"/>
              <w:jc w:val="left"/>
              <w:rPr>
                <w:sz w:val="4"/>
                <w:szCs w:val="4"/>
              </w:rPr>
            </w:pPr>
            <w:r>
              <w:rPr>
                <w:sz w:val="4"/>
                <w:szCs w:val="4"/>
              </w:rPr>
            </w:r>
          </w:p>
        </w:tc>
        <w:tc>
          <w:tcPr>
            <w:tcW w:w="9726" w:type="dxa"/>
            <w:gridSpan w:val="4"/>
            <w:tcBorders/>
            <w:vAlign w:val="center"/>
          </w:tcPr>
          <w:p>
            <w:pPr>
              <w:pStyle w:val="TableContents"/>
              <w:bidi w:val="0"/>
              <w:spacing w:before="0" w:after="283"/>
              <w:jc w:val="left"/>
              <w:rPr>
                <w:sz w:val="4"/>
                <w:szCs w:val="4"/>
              </w:rPr>
            </w:pPr>
            <w:r>
              <w:rPr>
                <w:sz w:val="4"/>
                <w:szCs w:val="4"/>
              </w:rPr>
            </w:r>
          </w:p>
        </w:tc>
      </w:tr>
      <w:tr>
        <w:trPr/>
        <w:tc>
          <w:tcPr>
            <w:tcW w:w="479"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9583" w:type="dxa"/>
            <w:gridSpan w:val="3"/>
            <w:tcBorders/>
          </w:tcPr>
          <w:p>
            <w:pPr>
              <w:pStyle w:val="TableContents"/>
              <w:bidi w:val="0"/>
              <w:spacing w:before="0" w:after="283"/>
              <w:jc w:val="left"/>
              <w:rPr/>
            </w:pPr>
            <w:r>
              <w:rPr/>
              <w:t>State any exceptions here:</w:t>
            </w:r>
          </w:p>
        </w:tc>
      </w:tr>
      <w:tr>
        <w:trPr>
          <w:trHeight w:val="120" w:hRule="atLeast"/>
        </w:trPr>
        <w:tc>
          <w:tcPr>
            <w:tcW w:w="479" w:type="dxa"/>
            <w:tcBorders/>
            <w:vAlign w:val="center"/>
          </w:tcPr>
          <w:p>
            <w:pPr>
              <w:pStyle w:val="TableContents"/>
              <w:bidi w:val="0"/>
              <w:spacing w:before="0" w:after="283"/>
              <w:jc w:val="left"/>
              <w:rPr>
                <w:sz w:val="4"/>
                <w:szCs w:val="4"/>
              </w:rPr>
            </w:pPr>
            <w:r>
              <w:rPr>
                <w:sz w:val="4"/>
                <w:szCs w:val="4"/>
              </w:rPr>
            </w:r>
          </w:p>
        </w:tc>
        <w:tc>
          <w:tcPr>
            <w:tcW w:w="899" w:type="dxa"/>
            <w:gridSpan w:val="2"/>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r>
      <w:tr>
        <w:trPr/>
        <w:tc>
          <w:tcPr>
            <w:tcW w:w="479"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756" w:type="dxa"/>
            <w:tcBorders/>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pPr>
            <w:r>
              <w:rPr/>
              <w:t>  </w:t>
            </w:r>
          </w:p>
        </w:tc>
        <w:tc>
          <w:tcPr>
            <w:tcW w:w="7967" w:type="dxa"/>
            <w:tcBorders/>
          </w:tcPr>
          <w:p>
            <w:pPr>
              <w:pStyle w:val="TableContents"/>
              <w:pBdr>
                <w:bottom w:val="single" w:sz="2" w:space="1" w:color="000000"/>
              </w:pBdr>
              <w:bidi w:val="0"/>
              <w:spacing w:before="0" w:after="20"/>
              <w:jc w:val="left"/>
              <w:rPr/>
            </w:pPr>
            <w:r>
              <w:rPr/>
              <w:t> </w:t>
            </w:r>
          </w:p>
        </w:tc>
      </w:tr>
      <w:tr>
        <w:trPr>
          <w:trHeight w:val="120" w:hRule="atLeast"/>
        </w:trPr>
        <w:tc>
          <w:tcPr>
            <w:tcW w:w="479" w:type="dxa"/>
            <w:tcBorders/>
            <w:vAlign w:val="center"/>
          </w:tcPr>
          <w:p>
            <w:pPr>
              <w:pStyle w:val="TableContents"/>
              <w:bidi w:val="0"/>
              <w:spacing w:before="0" w:after="283"/>
              <w:jc w:val="left"/>
              <w:rPr>
                <w:sz w:val="4"/>
                <w:szCs w:val="4"/>
              </w:rPr>
            </w:pPr>
            <w:r>
              <w:rPr>
                <w:sz w:val="4"/>
                <w:szCs w:val="4"/>
              </w:rPr>
            </w:r>
          </w:p>
        </w:tc>
        <w:tc>
          <w:tcPr>
            <w:tcW w:w="899" w:type="dxa"/>
            <w:gridSpan w:val="2"/>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r>
      <w:tr>
        <w:trPr/>
        <w:tc>
          <w:tcPr>
            <w:tcW w:w="479"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756" w:type="dxa"/>
            <w:tcBorders/>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pPr>
            <w:r>
              <w:rPr/>
              <w:t>  </w:t>
            </w:r>
          </w:p>
        </w:tc>
        <w:tc>
          <w:tcPr>
            <w:tcW w:w="7967"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by authority duly given, has caused this Notice and Questionnaire to be executed and delivered either in person or by its duly authorized agent.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75"/>
        <w:gridCol w:w="120"/>
        <w:gridCol w:w="763"/>
        <w:gridCol w:w="166"/>
        <w:gridCol w:w="1265"/>
        <w:gridCol w:w="166"/>
        <w:gridCol w:w="3450"/>
      </w:tblGrid>
      <w:tr>
        <w:trPr/>
        <w:tc>
          <w:tcPr>
            <w:tcW w:w="42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3450" w:type="dxa"/>
            <w:tcBorders/>
            <w:vAlign w:val="center"/>
          </w:tcPr>
          <w:p>
            <w:pPr>
              <w:pStyle w:val="TableContents"/>
              <w:bidi w:val="0"/>
              <w:spacing w:before="0" w:after="283"/>
              <w:jc w:val="left"/>
              <w:rPr>
                <w:sz w:val="4"/>
                <w:szCs w:val="4"/>
              </w:rPr>
            </w:pPr>
            <w:r>
              <w:rPr>
                <w:sz w:val="4"/>
                <w:szCs w:val="4"/>
              </w:rPr>
            </w:r>
          </w:p>
        </w:tc>
      </w:tr>
      <w:tr>
        <w:trPr/>
        <w:tc>
          <w:tcPr>
            <w:tcW w:w="4275" w:type="dxa"/>
            <w:tcBorders/>
          </w:tcPr>
          <w:p>
            <w:pPr>
              <w:pStyle w:val="TableContents"/>
              <w:bidi w:val="0"/>
              <w:spacing w:before="0" w:after="283"/>
              <w:jc w:val="left"/>
              <w:rPr/>
            </w:pPr>
            <w:r>
              <w:rPr/>
              <w:t xml:space="preserve">Date: </w:t>
            </w:r>
            <w:r>
              <w:rPr>
                <w:u w:val="single"/>
              </w:rPr>
              <w:t>     </w:t>
            </w:r>
          </w:p>
        </w:tc>
        <w:tc>
          <w:tcPr>
            <w:tcW w:w="120" w:type="dxa"/>
            <w:tcBorders/>
            <w:vAlign w:val="bottom"/>
          </w:tcPr>
          <w:p>
            <w:pPr>
              <w:pStyle w:val="TableContents"/>
              <w:bidi w:val="0"/>
              <w:spacing w:before="0" w:after="283"/>
              <w:jc w:val="left"/>
              <w:rPr/>
            </w:pPr>
            <w:r>
              <w:rPr/>
              <w:t> </w:t>
            </w:r>
          </w:p>
        </w:tc>
        <w:tc>
          <w:tcPr>
            <w:tcW w:w="5810" w:type="dxa"/>
            <w:gridSpan w:val="5"/>
            <w:tcBorders/>
          </w:tcPr>
          <w:p>
            <w:pPr>
              <w:pStyle w:val="TableContents"/>
              <w:bidi w:val="0"/>
              <w:spacing w:before="0" w:after="283"/>
              <w:jc w:val="left"/>
              <w:rPr/>
            </w:pPr>
            <w:r>
              <w:rPr/>
              <w:t xml:space="preserve">Beneficial Owner: </w:t>
            </w:r>
            <w:r>
              <w:rPr>
                <w:u w:val="single"/>
              </w:rPr>
              <w:t>         </w:t>
            </w:r>
          </w:p>
        </w:tc>
      </w:tr>
      <w:tr>
        <w:trPr>
          <w:trHeight w:val="240" w:hRule="atLeast"/>
        </w:trPr>
        <w:tc>
          <w:tcPr>
            <w:tcW w:w="4275" w:type="dxa"/>
            <w:tcBorders/>
            <w:vAlign w:val="center"/>
          </w:tcPr>
          <w:p>
            <w:pPr>
              <w:pStyle w:val="TableContents"/>
              <w:bidi w:val="0"/>
              <w:spacing w:before="0" w:after="283"/>
              <w:jc w:val="left"/>
              <w:rPr>
                <w:sz w:val="4"/>
                <w:szCs w:val="4"/>
              </w:rPr>
            </w:pPr>
            <w:r>
              <w:rPr>
                <w:sz w:val="4"/>
                <w:szCs w:val="4"/>
              </w:rPr>
            </w:r>
          </w:p>
        </w:tc>
        <w:tc>
          <w:tcPr>
            <w:tcW w:w="883" w:type="dxa"/>
            <w:gridSpan w:val="2"/>
            <w:tcBorders/>
            <w:vAlign w:val="center"/>
          </w:tcPr>
          <w:p>
            <w:pPr>
              <w:pStyle w:val="TableContents"/>
              <w:bidi w:val="0"/>
              <w:spacing w:before="0" w:after="283"/>
              <w:jc w:val="left"/>
              <w:rPr>
                <w:sz w:val="4"/>
                <w:szCs w:val="4"/>
              </w:rPr>
            </w:pPr>
            <w:r>
              <w:rPr>
                <w:sz w:val="4"/>
                <w:szCs w:val="4"/>
              </w:rPr>
            </w:r>
          </w:p>
        </w:tc>
        <w:tc>
          <w:tcPr>
            <w:tcW w:w="5047" w:type="dxa"/>
            <w:gridSpan w:val="4"/>
            <w:tcBorders/>
            <w:vAlign w:val="center"/>
          </w:tcPr>
          <w:p>
            <w:pPr>
              <w:pStyle w:val="TableContents"/>
              <w:bidi w:val="0"/>
              <w:spacing w:before="0" w:after="283"/>
              <w:jc w:val="left"/>
              <w:rPr>
                <w:sz w:val="4"/>
                <w:szCs w:val="4"/>
              </w:rPr>
            </w:pPr>
            <w:r>
              <w:rPr>
                <w:sz w:val="4"/>
                <w:szCs w:val="4"/>
              </w:rPr>
            </w:r>
          </w:p>
        </w:tc>
      </w:tr>
      <w:tr>
        <w:trPr/>
        <w:tc>
          <w:tcPr>
            <w:tcW w:w="427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63" w:type="dxa"/>
            <w:tcBorders/>
          </w:tcPr>
          <w:p>
            <w:pPr>
              <w:pStyle w:val="TableContents"/>
              <w:bidi w:val="0"/>
              <w:spacing w:before="0" w:after="283"/>
              <w:jc w:val="left"/>
              <w:rPr/>
            </w:pPr>
            <w:r>
              <w:rPr/>
              <w:t>By:</w:t>
            </w:r>
          </w:p>
        </w:tc>
        <w:tc>
          <w:tcPr>
            <w:tcW w:w="166" w:type="dxa"/>
            <w:tcBorders/>
            <w:vAlign w:val="bottom"/>
          </w:tcPr>
          <w:p>
            <w:pPr>
              <w:pStyle w:val="TableContents"/>
              <w:bidi w:val="0"/>
              <w:spacing w:before="0" w:after="283"/>
              <w:jc w:val="left"/>
              <w:rPr/>
            </w:pPr>
            <w:r>
              <w:rPr/>
              <w:t> </w:t>
            </w:r>
          </w:p>
        </w:tc>
        <w:tc>
          <w:tcPr>
            <w:tcW w:w="4881" w:type="dxa"/>
            <w:gridSpan w:val="3"/>
            <w:tcBorders/>
          </w:tcPr>
          <w:p>
            <w:pPr>
              <w:pStyle w:val="TableContents"/>
              <w:pBdr>
                <w:bottom w:val="single" w:sz="2" w:space="1" w:color="000000"/>
              </w:pBdr>
              <w:bidi w:val="0"/>
              <w:spacing w:before="0" w:after="20"/>
              <w:jc w:val="left"/>
              <w:rPr/>
            </w:pPr>
            <w:r>
              <w:rPr/>
              <w:t> </w:t>
            </w:r>
          </w:p>
        </w:tc>
      </w:tr>
      <w:tr>
        <w:trPr/>
        <w:tc>
          <w:tcPr>
            <w:tcW w:w="427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63" w:type="dxa"/>
            <w:tcBorders/>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1265" w:type="dxa"/>
            <w:tcBorders/>
          </w:tcPr>
          <w:p>
            <w:pPr>
              <w:pStyle w:val="TableContents"/>
              <w:bidi w:val="0"/>
              <w:spacing w:before="0" w:after="283"/>
              <w:jc w:val="left"/>
              <w:rPr/>
            </w:pPr>
            <w:r>
              <w:rPr/>
              <w:t>Name:</w:t>
            </w:r>
          </w:p>
        </w:tc>
        <w:tc>
          <w:tcPr>
            <w:tcW w:w="166" w:type="dxa"/>
            <w:tcBorders/>
            <w:vAlign w:val="bottom"/>
          </w:tcPr>
          <w:p>
            <w:pPr>
              <w:pStyle w:val="TableContents"/>
              <w:bidi w:val="0"/>
              <w:spacing w:before="0" w:after="283"/>
              <w:jc w:val="left"/>
              <w:rPr/>
            </w:pPr>
            <w:r>
              <w:rPr/>
              <w:t> </w:t>
            </w:r>
          </w:p>
        </w:tc>
        <w:tc>
          <w:tcPr>
            <w:tcW w:w="3450" w:type="dxa"/>
            <w:tcBorders/>
          </w:tcPr>
          <w:p>
            <w:pPr>
              <w:pStyle w:val="TableContents"/>
              <w:bidi w:val="0"/>
              <w:spacing w:before="0" w:after="283"/>
              <w:jc w:val="left"/>
              <w:rPr>
                <w:sz w:val="4"/>
                <w:szCs w:val="4"/>
              </w:rPr>
            </w:pPr>
            <w:r>
              <w:rPr>
                <w:sz w:val="4"/>
                <w:szCs w:val="4"/>
              </w:rPr>
            </w:r>
          </w:p>
        </w:tc>
      </w:tr>
      <w:tr>
        <w:trPr/>
        <w:tc>
          <w:tcPr>
            <w:tcW w:w="427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63" w:type="dxa"/>
            <w:tcBorders/>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1265" w:type="dxa"/>
            <w:tcBorders/>
          </w:tcPr>
          <w:p>
            <w:pPr>
              <w:pStyle w:val="TableContents"/>
              <w:bidi w:val="0"/>
              <w:spacing w:before="0" w:after="283"/>
              <w:jc w:val="left"/>
              <w:rPr/>
            </w:pPr>
            <w:r>
              <w:rPr/>
              <w:t>Title:</w:t>
            </w:r>
          </w:p>
        </w:tc>
        <w:tc>
          <w:tcPr>
            <w:tcW w:w="166" w:type="dxa"/>
            <w:tcBorders/>
            <w:vAlign w:val="bottom"/>
          </w:tcPr>
          <w:p>
            <w:pPr>
              <w:pStyle w:val="TableContents"/>
              <w:bidi w:val="0"/>
              <w:spacing w:before="0" w:after="283"/>
              <w:jc w:val="left"/>
              <w:rPr/>
            </w:pPr>
            <w:r>
              <w:rPr/>
              <w:t> </w:t>
            </w:r>
          </w:p>
        </w:tc>
        <w:tc>
          <w:tcPr>
            <w:tcW w:w="345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PLEASE EMAIL A .PDF COPY OF THE COMPLETED AND EXECUTED QUESTIONNAIRE TO: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99.1 </w:t>
      </w:r>
    </w:p>
    <w:p>
      <w:pPr>
        <w:pStyle w:val="TextBody"/>
        <w:bidi w:val="0"/>
        <w:spacing w:before="240" w:after="0"/>
        <w:jc w:val="center"/>
        <w:rPr>
          <w:rFonts w:ascii="Times New Roman" w:hAnsi="Times New Roman"/>
          <w:b/>
          <w:sz w:val="20"/>
        </w:rPr>
      </w:pPr>
      <w:r>
        <w:rPr>
          <w:rFonts w:ascii="Times New Roman" w:hAnsi="Times New Roman"/>
          <w:b/>
          <w:sz w:val="20"/>
        </w:rPr>
        <w:t xml:space="preserve">Fulcrum Therapeutics and Slate Medicines Announce Merger Agreement to </w:t>
      </w:r>
    </w:p>
    <w:p>
      <w:pPr>
        <w:pStyle w:val="TextBody"/>
        <w:bidi w:val="0"/>
        <w:spacing w:before="0" w:after="0"/>
        <w:jc w:val="center"/>
        <w:rPr>
          <w:rFonts w:ascii="Times New Roman" w:hAnsi="Times New Roman"/>
          <w:b/>
          <w:sz w:val="20"/>
        </w:rPr>
      </w:pPr>
      <w:r>
        <w:rPr>
          <w:rFonts w:ascii="Times New Roman" w:hAnsi="Times New Roman"/>
          <w:b/>
          <w:sz w:val="20"/>
        </w:rPr>
        <w:t xml:space="preserve">Advance Next-Generation Migraine Therapies </w:t>
      </w:r>
    </w:p>
    <w:p>
      <w:pPr>
        <w:pStyle w:val="TextBody"/>
        <w:bidi w:val="0"/>
        <w:spacing w:before="240" w:after="0"/>
        <w:jc w:val="center"/>
        <w:rPr>
          <w:rFonts w:ascii="Times New Roman" w:hAnsi="Times New Roman"/>
          <w:i/>
          <w:sz w:val="20"/>
        </w:rPr>
      </w:pPr>
      <w:r>
        <w:rPr>
          <w:rFonts w:ascii="Times New Roman" w:hAnsi="Times New Roman"/>
          <w:i/>
          <w:sz w:val="20"/>
        </w:rPr>
        <w:t xml:space="preserve">Combined company to operate as Slate Medicines and focus on advancing Slate’s portfolio of next-generation migraine therapeutics </w:t>
      </w:r>
    </w:p>
    <w:p>
      <w:pPr>
        <w:pStyle w:val="TextBody"/>
        <w:bidi w:val="0"/>
        <w:spacing w:before="240" w:after="0"/>
        <w:jc w:val="center"/>
        <w:rPr>
          <w:rFonts w:ascii="Times New Roman" w:hAnsi="Times New Roman"/>
          <w:i/>
          <w:sz w:val="20"/>
        </w:rPr>
      </w:pPr>
      <w:r>
        <w:rPr>
          <w:rFonts w:ascii="Times New Roman" w:hAnsi="Times New Roman"/>
          <w:i/>
          <w:sz w:val="20"/>
        </w:rPr>
        <w:t xml:space="preserve">Slate’s lead product candidate, SLTE-1009, is a clinical stage, potentially best-in-class subcutaneous anti-PACAP/VIP monoclonal antibody for the preventative treatment of migraine </w:t>
      </w:r>
    </w:p>
    <w:p>
      <w:pPr>
        <w:pStyle w:val="TextBody"/>
        <w:bidi w:val="0"/>
        <w:spacing w:before="240" w:after="0"/>
        <w:jc w:val="center"/>
        <w:rPr>
          <w:rFonts w:ascii="Times New Roman" w:hAnsi="Times New Roman"/>
          <w:i/>
          <w:sz w:val="20"/>
        </w:rPr>
      </w:pPr>
      <w:r>
        <w:rPr>
          <w:rFonts w:ascii="Times New Roman" w:hAnsi="Times New Roman"/>
          <w:i/>
          <w:sz w:val="20"/>
        </w:rPr>
        <w:t xml:space="preserve">Concurrent oversubscribed private placement financing of $245 million from a leading syndicate of healthcare investors anticipated to fund operations into 2029 </w:t>
      </w:r>
    </w:p>
    <w:p>
      <w:pPr>
        <w:pStyle w:val="TextBody"/>
        <w:bidi w:val="0"/>
        <w:spacing w:before="240" w:after="0"/>
        <w:jc w:val="center"/>
        <w:rPr>
          <w:rFonts w:ascii="Times New Roman" w:hAnsi="Times New Roman"/>
          <w:i/>
          <w:sz w:val="20"/>
        </w:rPr>
      </w:pPr>
      <w:r>
        <w:rPr>
          <w:rFonts w:ascii="Times New Roman" w:hAnsi="Times New Roman"/>
          <w:i/>
          <w:sz w:val="20"/>
        </w:rPr>
        <w:t xml:space="preserve">Companies to hold conference call on August 17, 2026, at 8:00 a.m. ET </w:t>
      </w:r>
    </w:p>
    <w:p>
      <w:pPr>
        <w:pStyle w:val="TextBody"/>
        <w:bidi w:val="0"/>
        <w:spacing w:before="240" w:after="0"/>
        <w:jc w:val="left"/>
        <w:rPr>
          <w:rFonts w:ascii="Times New Roman" w:hAnsi="Times New Roman"/>
          <w:sz w:val="20"/>
        </w:rPr>
      </w:pPr>
      <w:r>
        <w:rPr>
          <w:rFonts w:ascii="Times New Roman" w:hAnsi="Times New Roman"/>
          <w:sz w:val="20"/>
        </w:rPr>
        <w:t xml:space="preserve">CAMBRIDGE, Mass., and RALEIGH, N.C. August 17, 2026 (GLOBE NEWSWIRE) – Fulcrum Therapeutics, Inc. (“Fulcrum”) (Nasdaq: FULC) and Slate Medicines, Inc. (“Slate”), a biotechnology company developing next-generation therapeutics for the treatment of migraine, announced today that they have entered into a definitive agreement to combine the companies in an all-stock transaction (the “Merger”). The resulting entity will focus on advancing Slate’s pipeline of potentially best-in-class therapeutics, including SLTE-1009, a clinical stage subcutaneous anti-PACAP/VIP monoclonal antibody for the prevention of migraine and other headache disorders. Upon completion of the merger, the combined company plans to operate under the name Slate Medicines, Inc. and is expected to trade on Nasdaq under the ticker symbol “SLTE.” </w:t>
      </w:r>
    </w:p>
    <w:p>
      <w:pPr>
        <w:pStyle w:val="TextBody"/>
        <w:bidi w:val="0"/>
        <w:spacing w:before="240" w:after="0"/>
        <w:jc w:val="left"/>
        <w:rPr>
          <w:rFonts w:ascii="Times New Roman" w:hAnsi="Times New Roman"/>
          <w:sz w:val="20"/>
        </w:rPr>
      </w:pPr>
      <w:r>
        <w:rPr>
          <w:rFonts w:ascii="Times New Roman" w:hAnsi="Times New Roman"/>
          <w:sz w:val="20"/>
        </w:rPr>
        <w:t xml:space="preserve">In support of the Merger, Slate has secured commitments for an oversubscribed concurrent private placement of $245 million from a syndicate of leading healthcare investors led by Frazier Life Sciences and including participation from Forbion, RA Capital Management, Deep Track Capital, Foresite Capital, OrbiMed, RTW Investments, and Mingxin Capital (the “Financing” and, together with the Merger, the “Transaction”). The combined company’s cash balance at closing is expected to fund Slate’s operations into 2029, support the advancement of SLTE-1009 through a Phase 1 healthy volunteer study and a Phase 2 dose-range finding study in migraine patients and advance Slate’s pipeline. The Financing is expected to close concurrently with the Merger, subject to the satisfaction of customary closing conditions. In addition, prior to closing of the Merger, Fulcrum expects to declare a cash dividend to the pre-merger Fulcrum stockholders equal to the amount by which Fulcrum’s net cash exceeds $20.3 million. </w:t>
      </w:r>
    </w:p>
    <w:p>
      <w:pPr>
        <w:pStyle w:val="TextBody"/>
        <w:bidi w:val="0"/>
        <w:spacing w:before="240" w:after="0"/>
        <w:jc w:val="left"/>
        <w:rPr/>
      </w:pPr>
      <w:r>
        <w:rPr/>
        <w:t>“</w:t>
      </w:r>
      <w:r>
        <w:rPr>
          <w:rFonts w:ascii="Times New Roman" w:hAnsi="Times New Roman"/>
          <w:sz w:val="20"/>
        </w:rPr>
        <w:t xml:space="preserve">Migraine remains one of the most prevalent and disabling neurological diseases, yet millions of patients continue to be underserved by existing therapies,” said Gregory Oakes, Chief Executive Officer of Slate Medicines. “This merger and the related financing are expected to provide the resources to advance SLTE-1009, along with the rest of our pipeline, through potentially meaningful clinical milestones.” </w:t>
      </w:r>
    </w:p>
    <w:p>
      <w:pPr>
        <w:pStyle w:val="TextBody"/>
        <w:bidi w:val="0"/>
        <w:spacing w:before="240" w:after="0"/>
        <w:jc w:val="left"/>
        <w:rPr/>
      </w:pPr>
      <w:r>
        <w:rPr/>
        <w:t>“</w:t>
      </w:r>
      <w:r>
        <w:rPr>
          <w:rFonts w:ascii="Times New Roman" w:hAnsi="Times New Roman"/>
          <w:sz w:val="20"/>
        </w:rPr>
        <w:t xml:space="preserve">Following our evaluation of strategic alternatives, we are pleased to announce this transaction with Slate, which we believe represents the best path forward for our stockholders and a compelling opportunity to participate in the development of a portfolio of next generation migraine therapeutics” said Alex C. Sapir, Fulcrum’s President and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Slate is focused on advancing a pipeline of next-generation therapeutics focused on broadening the treatment paradigm for migraine and other headache disorders. Slate’s lead asset SLTE-1009 is a monoclonal antibody designed to bind both pituitary adenylate cyclase-activating peptide (“PACAP”) and vasoactive intestinal peptide (“VIP”), two neuropeptides with foundational roles in migraine pathophysiology, and offers the potential for enhanced efficacy relative to PACAP-only targeting therapeutics through more complete neutralization of the PACAP/VIP pathway. SLTE-1009 was engineered with half-life extension to enable subcutaneous dosing and potential for quarterly administration. The program has received clearance to enter Phase 1 clinical trials in Australia and initial pharmacokinetic and safety data is anticipated mid-year 2027. Slate is also developing SLTE-2100, a bispecific antibody targeting PACAP/VIP and calcitonin gene-related peptide (“CGRP”), currently in lead optimization. The program is expected to enter clinical trials in the second half of 2027 and is funded through a Phase 2a study in migraine patients. Slate is also developing an additional undisclosed program in the migraine space.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Slate is led by an experienced leadership team with deep expertise in migraine biology, drug development, and commercialization and includes Gregory Oakes, Chief Executive Officer; Neil Buckley, President and Chief Operating Officer; Dr. Roger Cady, Chief Medical Officer; and John Umstead, CPA, Chief Financial Officer. In addition to the executive leadership team Slate has built world-class Scientific and Clinical Advisory Boards, which include internationally recognized neurologists and headache researchers that will help shape Slate’s scientific and clinical strategy. </w:t>
      </w:r>
    </w:p>
    <w:p>
      <w:pPr>
        <w:pStyle w:val="TextBody"/>
        <w:bidi w:val="0"/>
        <w:spacing w:before="360" w:after="0"/>
        <w:jc w:val="left"/>
        <w:rPr>
          <w:rFonts w:ascii="Times New Roman" w:hAnsi="Times New Roman"/>
          <w:b/>
          <w:sz w:val="20"/>
        </w:rPr>
      </w:pPr>
      <w:r>
        <w:rPr>
          <w:rFonts w:ascii="Times New Roman" w:hAnsi="Times New Roman"/>
          <w:b/>
          <w:sz w:val="20"/>
        </w:rPr>
        <w:t xml:space="preserve">About the Proposed Merger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the pre-Merger Fulcrum stockholders are expected to own 5.0% of the combined company and the pre-Merger Slate stockholders (inclusive of those investors participating in the pre-closing financing) are expected to own 95.0% of the combined company. The percentage of the combined company that Fulcrum’s stockholders will own as of the close of the Merger is subject to adjustment based on the amount of Fulcrum’s net cash at the closing date. Fulcrum is expected to contribute approximately $20.3 million in net cash to the combined entity and pay a cash dividend of an estimated $270.0 million immediately prior to the close of the Merger to pre-merger Fulcrum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has received unanimous support by the Board of Directors of both companies and is expected to close in the fourth quarter of 2026, subject to the satisfaction or waiver of certain customary closing conditions, including, among other things, approval by the stockholders of each company, the effectiveness of a registration statement to be filed with the U.S. Securities and Exchange Commission (the “SEC”) to register the securities to be issued in connection with the Transaction, and the expiration or termination of the applicable waiting period under the Hart-Scott-Rodino Antitrust Improvements Act of 1976, as amended.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will operate as Slate Medicines, Inc. and be led by Gregory Oakes, Chief Executive Officer. Slate’s Board of Directors will serve as the board for the combined company and is expected to include Peter Kolchinsky, Managing Partner, RA Capital Management; Tim Lohoff, Principal, Forbion; Michael Rome, Managing Director, Foresite Capital; and Mark Hahn, former CFO of Verona Pharma (acquired by Merck). </w:t>
      </w:r>
    </w:p>
    <w:p>
      <w:pPr>
        <w:pStyle w:val="TextBody"/>
        <w:bidi w:val="0"/>
        <w:spacing w:before="240" w:after="0"/>
        <w:jc w:val="left"/>
        <w:rPr>
          <w:rFonts w:ascii="Times New Roman" w:hAnsi="Times New Roman"/>
          <w:sz w:val="20"/>
        </w:rPr>
      </w:pPr>
      <w:r>
        <w:rPr>
          <w:rFonts w:ascii="Times New Roman" w:hAnsi="Times New Roman"/>
          <w:sz w:val="20"/>
        </w:rPr>
        <w:t xml:space="preserve">Wedbush Securities Inc. is serving as exclusive financial advisor and Cooley LLP is serving as legal counsel to Slate. Leerink Partners is serving as exclusive financial advisor and Goodwin Procter LLP is serving as legal counsel to Fulcrum </w:t>
      </w:r>
    </w:p>
    <w:p>
      <w:pPr>
        <w:pStyle w:val="TextBody"/>
        <w:bidi w:val="0"/>
        <w:spacing w:before="360" w:after="0"/>
        <w:jc w:val="left"/>
        <w:rPr>
          <w:rFonts w:ascii="Times New Roman" w:hAnsi="Times New Roman"/>
          <w:b/>
          <w:sz w:val="20"/>
        </w:rPr>
      </w:pPr>
      <w:r>
        <w:rPr>
          <w:rFonts w:ascii="Times New Roman" w:hAnsi="Times New Roman"/>
          <w:b/>
          <w:sz w:val="20"/>
        </w:rPr>
        <w:t xml:space="preserve">Webcast Details </w:t>
      </w:r>
    </w:p>
    <w:p>
      <w:pPr>
        <w:pStyle w:val="TextBody"/>
        <w:bidi w:val="0"/>
        <w:spacing w:before="120" w:after="0"/>
        <w:jc w:val="left"/>
        <w:rPr>
          <w:rFonts w:ascii="Times New Roman" w:hAnsi="Times New Roman"/>
          <w:sz w:val="20"/>
        </w:rPr>
      </w:pPr>
      <w:r>
        <w:rPr>
          <w:rFonts w:ascii="Times New Roman" w:hAnsi="Times New Roman"/>
          <w:sz w:val="20"/>
        </w:rPr>
        <w:t xml:space="preserve">Members of the management team will discuss today’s announcement during the webcast, which begins at 8:00 a.m. ET. Listeners can register for the webcast via this link. A replay of the webcast will be available via the Investor Relations section of Fulcrum’s website at https://ir.fulcrumtx.com/events-and-presentations approximately two hours after the call’s conclusion. </w:t>
      </w:r>
    </w:p>
    <w:p>
      <w:pPr>
        <w:pStyle w:val="TextBody"/>
        <w:bidi w:val="0"/>
        <w:spacing w:before="360" w:after="0"/>
        <w:jc w:val="left"/>
        <w:rPr>
          <w:rFonts w:ascii="Times New Roman" w:hAnsi="Times New Roman"/>
          <w:b/>
          <w:sz w:val="20"/>
        </w:rPr>
      </w:pPr>
      <w:r>
        <w:rPr>
          <w:rFonts w:ascii="Times New Roman" w:hAnsi="Times New Roman"/>
          <w:b/>
          <w:sz w:val="20"/>
        </w:rPr>
        <w:t xml:space="preserve">About Slate Medicines </w:t>
      </w:r>
    </w:p>
    <w:p>
      <w:pPr>
        <w:pStyle w:val="TextBody"/>
        <w:bidi w:val="0"/>
        <w:spacing w:before="120" w:after="0"/>
        <w:jc w:val="left"/>
        <w:rPr>
          <w:rFonts w:ascii="Times New Roman" w:hAnsi="Times New Roman"/>
          <w:sz w:val="20"/>
        </w:rPr>
      </w:pPr>
      <w:r>
        <w:rPr>
          <w:rFonts w:ascii="Times New Roman" w:hAnsi="Times New Roman"/>
          <w:sz w:val="20"/>
        </w:rPr>
        <w:t xml:space="preserve">Slate Medicines is developing next-generation therapeutics designed to expand treatment options for migraine and other headache disorders. Slate’s mission is to offer migraine patients more complete freedom from their disease than is possible with the current standard of care. Slate is advancing a portfolio of potentially best-in-class therapeutics, led by SLTE-1009, a clinical stage anti-PACAP/VIP monoclonal antibody designed to enable subcutaneous, infrequent dosing. For more information, please visit www.slatemedicines.com.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Fulcrum Therapeutics </w:t>
      </w:r>
    </w:p>
    <w:p>
      <w:pPr>
        <w:pStyle w:val="TextBody"/>
        <w:bidi w:val="0"/>
        <w:spacing w:before="120" w:after="0"/>
        <w:jc w:val="left"/>
        <w:rPr>
          <w:rFonts w:ascii="Times New Roman" w:hAnsi="Times New Roman"/>
          <w:sz w:val="20"/>
        </w:rPr>
      </w:pPr>
      <w:r>
        <w:rPr>
          <w:rFonts w:ascii="Times New Roman" w:hAnsi="Times New Roman"/>
          <w:sz w:val="20"/>
        </w:rPr>
        <w:t xml:space="preserve">Fulcrum Therapeutics is a clinical-stage biopharmaceutical company focused on developing small molecules to improve the lives of patients with rare hematological disorders. Fulcrum uses proprietary technology to identify drug targets that can modulate gene expression to treat the known root cause of genetically defined diseases. For more information, visit www.fulcrumtx.com and follow it on X (@FulcrumTx) and LinkedIn.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U.S. Private Securities Litigation Reform Act of 1995, including statements regarding the proposed transaction involving Fulcrum and Slate, including the conditions to, and timing of, closing of the proposed transaction, the Board of Directors and management of the combined company, the percentage ownership of the combined company (which is subject to adjustment based on the amount of Fulcrum’s net cash as of the closing of the proposed transaction), the potential of Fulcrum stockholders to receive cash distributions (including the amount thereof), the parties’ ability to consummate the proposed transaction and Slate private placement financing, including the intended use of net proceeds from the Slate private placement financing and the expected timing of closing and completion of the private placement financing, the combined company’s expected cash runway and the sufficiency of the combined company’s cash to fund operations into 2029, the listing of the combined company’s shares on Nasdaq, the expectations surrounding the potential, safety, efficacy, and regulatory and clinical progress of Slate’s product candidates, including SLTE-1009, and anticipated milestones and timing, among others.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risks with respect to: (i) the timely satisfaction of the conditions to the closing of the proposed transaction, including the failure to timely or at all obtain stockholder approval for the proposed transaction or the failure to timely or at all obtain any required regulatory clearances; (ii) uncertainties as to the timing of the consummation of the proposed transaction and the ability of each of Fulcrum and Slate to consummate the proposed transaction; (iii) the ability of Fulcrum and Slate to integrate their businesses successfully and to achieve anticipated synergies; (iv) the possibility that other anticipated benefits of the proposed transaction will not be realized, including without limitation, anticipated revenues, expenses, earnings and other financial results, and growth and expansion of the combined company’s operations, and the anticipated tax treatment of the combination; (v) potential litigation relating to the proposed transaction that could be instituted against Fulcrum, Slate or their respective directors; (vi) possible disruptions from the proposed transaction that could harm Fulcrum’s and/or Slate’s respective businesses; (vii) the ability of Slate to retain, attract and hire key personnel; (viii) potential adverse reactions or changes to relationships with employees, suppliers or other parties resulting from the announcement or completion of the proposed transaction; (ix) potential business uncertainty, including changes to existing business relationships, during the pendency of the proposed transaction that could affect Fulcrum’s or Slate’s financial performance; (x) certain restrictions during the pendency of the proposed transaction that may impact Fulcrum’s or Slate’s ability to pursue certain business opportunities or strategic transactions; (xi) the combined company’s need for additional funding, which may not be available on favorable terms or at all; (xii) potential failure to identify additional product candidates and develop or commercialize marketable products; (xiii) the early stage of the combined company’s development efforts; (xiv) potential unforeseen events during clinical trials could cause delays or other adverse consequences; (xv) risks relating to the regulatory approval process; (xvi) interim, topline and preliminary data may change as more patient data become available, and are subject to audit and verification procedures that could result in material changes in the final data; (xvii) the combined company’s product candidates may cause serious adverse side effects; (xviii) inability to maintain existing or future collaborations, or the failure of these collaborations; (xix) the combined company’s reliance on third parties, including for the manufacture of materials for research programs, preclinical and clinical studies; (xx) failure to obtain U.S. or international marketing approval; (xxi) ongoing regulatory obligations; effects 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significant competition; (xxii) unfavorable pricing regulations, third-party reimbursement practices or healthcare reform initiatives; (xxiii) product liability lawsuits; (xxiv) securities class action litigation; (xxv) the impact of general economic conditions on their respective business and operations, including the combined company’s preclinical studies and clinical trials; (xxvi) the possibility of system failures or security breaches; risks relating to intellectual property; (xxvii) significant costs incurred as a result of operating as a public company; (xxviii) the risk that, as a result of adjustments to the exchange ratio, Fulcrum stockholders and Slate stockholders could own less of the combined company than is currently anticipated, including as a result of the determination of Fulcrum’s net cash; (xxix) risks related to the market price of Fulcrum’s common stock relative to the value implied by the exchange ratio; (xxx) the risk that the concurrent private placement financing is not consummated; and (xxxi) such other factors as are set forth in Fulcrum’s periodic public filings with the SEC, including but not limited to those described under the heading “Risk Factors” in Fulcrum’s Quarterly Report on Form 10-Q for the period ended June 30, 2026. Fulcrum and Slate can give no assurance that any or all of the conditions to the proposed transaction will be satisfied. Except as required by applicable law, Fulcrum and Slate undertake no obligation to revise or update any forward-looking statement, or to make any other forward-looking statements, whether as a result of new information, future events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and the information contained herein is not intended to and does not constitute (i) a solicitation of a proxy, consent or approval with respect to any securities or in respect of the proposed merger or (ii) an offer to sell or the solicitation of an offer to subscribe for or buy or an invitation to purchase or subscribe for any securities pursuant to the proposed merger or otherwise, nor shall there be any sale, issuance or transfer of securities in any jurisdiction in contravention of applicable law. No offer of securities shall be made except by means of a prospectus meeting the requirements of the Securities Act of 1933, as amended,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NEITHER THE SEC NOR ANY STATE SECURITIES COMMISSION HAS APPROVED OR DISAPPROVED OF THE SECURITIES OR DETERMINED IF THIS PRESS RELEASE IS TRUTHFUL OR COMPLETE.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Additional Information About the Proposed Merger Will be Filed with the SEC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is not a substitute for the registration statement or for any other document that Fulcrum may file with the SEC in connection with the proposed merger. In connection with the proposed merger between Fulcrum and Slate, Fulcrum intends to file relevant materials with the SEC, including a registration statement on Form S-4 that will contain a proxy statement/prospectus of Fulcrum. FULCRUM URGES INVESTORS AND STOCKHOLDERS TO READ THE REGISTRATION STATEMENT, PROXY STATEMENT/PROSPECTUS AND ANY OTHER RELEVANT DOCUMENTS THAT MAY BE FILED WITH THE SEC, AS WELL AS ANY AMENDMENTS OR SUPPLEMENTS TO THESE DOCUMENTS, CAREFULLY AND IN THEIR ENTIRETY IF AND WHEN THEY BECOME AVAILABLE BECAUSE THEY WILL CONTAIN IMPORTANT INFORMATION ABOUT FULCRUM, SLATE, THE PROPOSED MERGER AND RELATED MATTERS. Investors and stockholders will be able to obtain free copies of the proxy statement/prospectus and other documents filed by Fulcrum with the SEC (when they become available) through the website maintained by the SEC at www.sec.gov. Stockholders are urged to read the proxy statement/prospectus and the other relevant materials when they become available before making any voting or investment decision with respect to the proposed merger. In addition, investors and stockholders should note that Fulcrum communicates with investors and the public using its website (ir.fulcrumtx.com).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Fulcrum, Slate and their respective directors and executive officers may be deemed to be participants in the solicitation of proxies from stockholders in connection with the proposed merger. Information about Fulcrum’s directors and executive officers, including a description of their interests in Fulcrum, is included in Fulcrum’s definitive proxy statement on Schedule 14A for its 2026 Annual Meeting of Stockholders as filed with the SEC, and in filings by such individuals on Form 4. Additional information regarding these persons and their interests in the transaction will be included in the proxy statement/prospectus relating to the proposed merger when it is filed with the SEC. These documents can be obtained free of charge from the sources indicated above. </w:t>
      </w:r>
    </w:p>
    <w:p>
      <w:pPr>
        <w:pStyle w:val="TextBody"/>
        <w:bidi w:val="0"/>
        <w:spacing w:before="360" w:after="0"/>
        <w:jc w:val="left"/>
        <w:rPr>
          <w:rFonts w:ascii="Times New Roman" w:hAnsi="Times New Roman"/>
          <w:b/>
          <w:sz w:val="20"/>
        </w:rPr>
      </w:pPr>
      <w:r>
        <w:rPr>
          <w:rFonts w:ascii="Times New Roman" w:hAnsi="Times New Roman"/>
          <w:b/>
          <w:sz w:val="20"/>
        </w:rPr>
        <w:t xml:space="preserve">Fulcrum Therapeutics Investor &amp; Media Contact: </w:t>
      </w:r>
    </w:p>
    <w:p>
      <w:pPr>
        <w:pStyle w:val="TextBody"/>
        <w:bidi w:val="0"/>
        <w:spacing w:before="0" w:after="0"/>
        <w:jc w:val="left"/>
        <w:rPr>
          <w:rFonts w:ascii="Times New Roman" w:hAnsi="Times New Roman"/>
          <w:sz w:val="20"/>
        </w:rPr>
      </w:pPr>
      <w:r>
        <w:rPr>
          <w:rFonts w:ascii="Times New Roman" w:hAnsi="Times New Roman"/>
          <w:sz w:val="20"/>
        </w:rPr>
        <w:t xml:space="preserve">Kevin Gardner </w:t>
      </w:r>
    </w:p>
    <w:p>
      <w:pPr>
        <w:pStyle w:val="TextBody"/>
        <w:bidi w:val="0"/>
        <w:spacing w:before="0" w:after="0"/>
        <w:jc w:val="left"/>
        <w:rPr>
          <w:rFonts w:ascii="Times New Roman" w:hAnsi="Times New Roman"/>
          <w:sz w:val="20"/>
        </w:rPr>
      </w:pPr>
      <w:r>
        <w:rPr>
          <w:rFonts w:ascii="Times New Roman" w:hAnsi="Times New Roman"/>
          <w:sz w:val="20"/>
        </w:rPr>
        <w:t xml:space="preserve">LifeSci Advisors, LLC </w:t>
      </w:r>
    </w:p>
    <w:p>
      <w:pPr>
        <w:pStyle w:val="TextBody"/>
        <w:bidi w:val="0"/>
        <w:spacing w:before="0" w:after="0"/>
        <w:jc w:val="left"/>
        <w:rPr>
          <w:rFonts w:ascii="Times New Roman" w:hAnsi="Times New Roman"/>
          <w:sz w:val="20"/>
        </w:rPr>
      </w:pPr>
      <w:r>
        <w:rPr>
          <w:rFonts w:ascii="Times New Roman" w:hAnsi="Times New Roman"/>
          <w:sz w:val="20"/>
        </w:rPr>
        <w:t xml:space="preserve">kgardner@lifesciadvisors.com </w:t>
      </w:r>
    </w:p>
    <w:p>
      <w:pPr>
        <w:pStyle w:val="TextBody"/>
        <w:bidi w:val="0"/>
        <w:spacing w:before="0" w:after="0"/>
        <w:jc w:val="left"/>
        <w:rPr>
          <w:rFonts w:ascii="Times New Roman" w:hAnsi="Times New Roman"/>
          <w:sz w:val="20"/>
        </w:rPr>
      </w:pPr>
      <w:r>
        <w:rPr>
          <w:rFonts w:ascii="Times New Roman" w:hAnsi="Times New Roman"/>
          <w:sz w:val="20"/>
        </w:rPr>
        <w:t xml:space="preserve">617-283-2856 </w:t>
      </w:r>
    </w:p>
    <w:p>
      <w:pPr>
        <w:pStyle w:val="TextBody"/>
        <w:bidi w:val="0"/>
        <w:spacing w:before="0" w:after="0"/>
        <w:jc w:val="left"/>
        <w:rPr>
          <w:rFonts w:ascii="Times New Roman" w:hAnsi="Times New Roman"/>
          <w:b/>
          <w:sz w:val="20"/>
        </w:rPr>
      </w:pPr>
      <w:r>
        <w:rPr>
          <w:rFonts w:ascii="Times New Roman" w:hAnsi="Times New Roman"/>
          <w:b/>
          <w:sz w:val="20"/>
        </w:rPr>
        <w:t xml:space="preserve">Slate Medicines Corporate Communications Contact: </w:t>
      </w:r>
    </w:p>
    <w:p>
      <w:pPr>
        <w:pStyle w:val="TextBody"/>
        <w:bidi w:val="0"/>
        <w:spacing w:before="0" w:after="0"/>
        <w:jc w:val="left"/>
        <w:rPr>
          <w:rFonts w:ascii="Times New Roman" w:hAnsi="Times New Roman"/>
          <w:sz w:val="20"/>
        </w:rPr>
      </w:pPr>
      <w:r>
        <w:rPr>
          <w:rFonts w:ascii="Times New Roman" w:hAnsi="Times New Roman"/>
          <w:sz w:val="20"/>
        </w:rPr>
        <w:t xml:space="preserve">ICR Healthcare </w:t>
      </w:r>
    </w:p>
    <w:p>
      <w:pPr>
        <w:pStyle w:val="TextBody"/>
        <w:bidi w:val="0"/>
        <w:spacing w:before="0" w:after="0"/>
        <w:jc w:val="left"/>
        <w:rPr>
          <w:rFonts w:ascii="Times New Roman" w:hAnsi="Times New Roman"/>
          <w:sz w:val="20"/>
        </w:rPr>
      </w:pPr>
      <w:r>
        <w:rPr>
          <w:rFonts w:ascii="Times New Roman" w:hAnsi="Times New Roman"/>
          <w:sz w:val="20"/>
        </w:rPr>
        <w:t xml:space="preserve">slate@icrhealthcare.com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99.2 Slate Medicines Corporate Overview August 17,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Disclaimers This presentation (this “Presentation”) has been prepared by Slate Medicines, Inc. (the “Company” or “Slate”) for informational purposes only and shall not form the basis for or be relied on in connection with any investment decision with respect to the Company, Fulcrum Therapeutics, Inc. (“Fulcrum”) or the combined company. This Presentation has been prepared by the Company based on information and data that the Company considers reliable, but no reliance shall be placed on, and no representation or warranty, express or implied, whatsoever is or will be given by the Company or any of its affiliates, directors, officers, employees or advisers or any other person as to the truth, accuracy, completeness, fairness and reasonableness of the contents of this Presentation. This Presentation may not be all inclusive and does not purport to contain all of the information that may be required to evaluate a possible investment decision with respect to the Company. The recipient agrees and acknowledges that (i) this Presentation is not intended to form the basis of any investment decision by the recipient and does not constitute investment, tax or legal advice, and (ii) the information contained in this Presentation is subject to change, and any such changes may be material. Certain matters discussed in this Presentation may contain forward-looking statements that are, by their nature, subject to significant risks and uncertainties. Forward-looking statements can be identified by words such as “may,” “will,” “should,” “would,” “could,” “believe,” “expect,” “anticipate,” “intend,” “plan,” “continue,” “seek,” “estimate,” “potential” or the negative of these terms or other similar terms. Forward-looking statements in this Presentation include, but are not limited to, statements about: expectations with respect to the proposed merger with Fulcrum (the “Merger”) and the proposed concurrent financing, the structure and timing thereof, the use of proceeds therefrom, the ability of the parties to consummate the transactions and the expected post-closing ownership of the combined company; the combined company's listing in Nasdaq after the closing of the proposed Merger; the expected management team of the combined company; the combined company's expected cash runway; the Company’s product candidates and the potential benefits thereof and potential new indications; the Company’s expectations with regard to the design and results of its research and development programs, preclinical studies, and clinical trials, including the timing and availability of data from such studies and trials; the potential for the Company’s portfolio to deliver clinical milestones across multiple programs with first or best in class potential; the potential market size and size of the potential patient populations for the Company’s product candidates and any future product candidates; and the Company’s business strategy. Such forward-looking statements reflect the current views of the Company’s management regarding future events; they are not guarantees of future performance. These forward-looking statements are subject to a number of risks and uncertainties, many of which involve factors or circumstances that are beyond Fulcrum’s and the Company’s control. The Company’s and the combined company’s actual results could differ materially from those stated or implied in forward-looking statements due to a number of factors, including but not limited to (i) the risk that the conditions to the closing of the proposed transaction are not satisfied, including the failure to timely or at all obtain stockholder approval for the proposed transaction or the failure to timely or at all obtain any required regulatory clearances; (ii) uncertainties as to the timing of the consummation of the proposed transaction and the ability of each of Fulcrum and the Company to consummate the proposed transaction; (iii) the ability of Fulcrum and the Company to integrate their businesses successfully and to achieve anticipated synergies; (iv) the possibility that other anticipated benefits of the proposed transaction will not be realized, including without limitation, anticipated revenues, expenses, earnings and other financal i results, and growth and expansion of the combined company’s operations, and the anticipated tax treatment of the combination; (v) potential litigation relating to the proposed transaction that could be instituted against Fulcrum, the Company or their respective directors; (vi) possible disruptions from the proposed transaction that could harm Fulcrum’s and/or the Company’s respective businesses; (vii) the ability of the Company to retain, attract and hire key personnel; (viii) potential adverse reactions or changes to relationships with employees, suppliers or other parties resulting from the announcement or completion of the proposed transaction; (ix) potential business uncertainty, including changes to existing business relationships, during the pendency of the proposed transaction that could affect Fulcrum’s or the Company’s financial performance; (x) certain restrictions during the pendency of the proposed transaction that may impact Fulcrum’s or the Company’s ability to pursue certain business opportunities or strategic transactions; (xi) the combined company’s need for additional funding, which may not be available; (xii) failure to identify additional product candidates and develop or commercialize marketable products; (xiii) the early stage of the combined company’s development efforts; (xiv) potential unforeseen events during clinical trials could cause delays or other adverse consequences; (xv) risks relating to the regulatory approval process; (xvi) interim, topline and preliminary data may change as more patient data become available, and are subject to audit and verification procedures that could result in material changes in the final data; (xvii) Fulcrum’s and the Company’s product candidates may cause serious adverse side effects; (xviii) inability to maintain collaborations, or the failure of these collaborations; (xix) the combined company’s reliance on third parties, including for the manufacture of materials for research programs, preclinical and clinical studies; (xx) failure to obtain U.S. or international marketing approval; (xxi) ongoing regulatory obligations; effects of significant competition; (xxii) unfavorable pricing regulations, third-party reimbursement practices or healthcare reform initiatives; (xxiii) product liability lawsuits; (xxiv) securities class action litigation; (xxv) the impact of general economic conditions on their respective business and operations, including the combined company’s preclinical studies and clinical trials; (xxvi)t he possibility of system failures or security breaches; risks relating to intellectual property; (xxvii) significant costs incurred as a result of operating as a public company; (xxviii) the risk that, as a result of adjustments to the exchange ratio, Fulcrum stockholders and the Company stockholders could own more or less of the combined company than is currently anticipated, including as a result of the determination of Fulcrum’s net cash; (xxix) risks related to the market price of Fulcrum’s common stock relative to the value implied by the exchange ratio; (xxx) the risk that the concurrent private placement financing is not consummated; and (xxxi) such other factors as are set forth in Fulcrum’s periodic public filings with the SEC, including but not limited to those described under the heading “Risk Factors” in Fulcrum’s Quarterly Report on Form 10-Q for the period ended June 30, 2026. All forward-looking statements contained in this Presentation speak only as of the date on which they were made. Fulcrum and the Company can give no assurance that the conditions to the proposed transaction will be satisfied. Except as required by applicable law, Fulcrum and the Company undertake no obligation to revise or update any forward-looking statement, or to make any other forward-looking statements, whether as a result of new information, future events or otherwise. This Presentation may contain trademarks, service marks, trade names and copyrights of other companies, which are the property of their respective owners. Solely for convenience, some of the trademarks, service marks, trade names and copyrights referred to in this Presentation may be listed without the TM, SM, ©, or ® symbols, but the Company will assert, to the fullest extent under applicable law, the rights of the owners to these trademarks, service marks, trade names and copyrights. No Offer or Solicitation This Presentation and the information contained herein is not intended to and does not constitute (i) a solicitation of a proxy, consent or approval with respect to any securities or in respect of the proposed merger or (ii) an offer to sell or the solicitation of an offer to subscribe for or buy or an invitation to purchase or subscribe for any securities pursuant to the proposed merger or otherwise, nor shall there be any sale, issuance or transfer of securities in any jurisdiction in contravention of applicable law. No offer of securities shall be made except by means of a prospectus meeting the requirements of the Securities Act of 1933, as amended,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 nal securities exchange, of any such jurisdiction. NEITHER THE SEC NOR ANY STATE SECURITIES COMMISSION HAS APPROVED OR DISAPPROVED OF THE SECURITIES OR DETERMINED IF THIS PRESENTATION IS TRUTHFUL OR COMPLETE. Important Additional Information About the Proposed Merger Will be Filed with the SEC This Presentation is not a substitute for the registration statement or for any other document that Fulcrum may file with the SEC in connection with the proposed merger. In connection with the proposed merger between Fulcrum and the Company, Fulcrum intends to file relevant materials with the SEC, including a registration statement on Form S-4 that will contain a proxy statement/prospectus of Fulcrum. FULCRUM URGES INVESTORS AND STOCKHOLDERS TO READ THE REGISTRATION STATEMENT, PROXY STATEMENT/PROSPECTUS AND ANY OTHER RELEVANT DOCUMENTS THAT MAY BE FILED WITH THE SEC, AS WELL AS ANY AMENDMENTS OR SUPPLEMENTS TO THESE DOCUMENTS, CAREFULLY AND IN THEIR ENTIRETY IF AND WHEN THEY BECOME AVAILABLE BECAUSE THEY WILL CONTAIN IMPORTANT INFORMATION ABOUT FULCRUM, THE COMPANY, THE PROPOSED MERGER AND RELATED MATTERS. Investors and stockholders will be able to obtain free copies of the proxy statement/prospectus and other documents filed by Fulcrum with the SEC (when they become available) through the website maintained by the SEC at www.sec.gov. Stockholders are urged to read the proxy statement/prospectus and the other relevant materials when they become available before making any voting or investment decision with respect to the proposed merger. In addition, investors and stockholders should note that Fulcrum communicates with investors and the public using its website (ir.fulcrumtx.com). Participants in the Solicitation Fulcrum, the Company and their respective directors and executive officers may be deemed to be participants in the solicitation of proxies from stockholders in connection with the proposed merger. Information about Fulcrum's directors and executive officers, including a description of their interests in Fulcrum, is included in Fulcrum's definitive proxy statement on Schedule 14A for its 2026 Annual Meeting of Stockholders as filed with the SEC, and in filings by such individuals on Form 4. Additional information regarding these persons and their interests in the transaction will be included in the proxy statement/prospectus relating to the proposed merger when it is filed with the SEC. These documents can be obtained free of charge from the sources indicated above.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Fulcrum Therapeutics announces merger with Slate Medicines • Stock-for-stock merger whereby all of Slate Medicine’s issued and outstanding capital stock will be exchanged for Fulcrum common stock • Concurrent $245 million private placement into Slate from a syndicate of leading healthcare investors led by Frazier Life Sciences, with participation from Forbion, RA Capital Management, Deep Track Capital, Foresite Capital, OrbiMed, RTW Investments, and Mingxin Capital. Overview • Prior to the closing of the merger, Fulcrum expects to declare a cash dividend to the pre-merger Fulcrum stockholders equal to the amount by which Fulcrum's net cash exceeds $20.3 million • Estimated pro forma ownership split: Fulcrum: 5.0%, Slate: 55.9%, Private Placement Investors: 39.1% • To support the advancement of SLTE-1009 through a Phase 1 healthy volunteer study and a Phase 2 dose-range finding study in migraine patients as well as advancement of Slate’s pipeline. Use of Proceeds • Pro forma cash balance at closing is anticipated to fund Slate’s current planned operations into 2029. • The combined company will operate as Slate Medicines, Inc. and be led by Gregory Oakes, Chief Executive Officer. Management and Board • Slate's Board of Directors is expected to serve as the board for the combined company. • Merger and financing expected to close in Q4 2026 Timing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Slate Medicines is a biotech company advancing next- generation therapeutics for migraine The Science The Solution The Opportunity PACAP (pituitary adenylate cyclase- SLTE-1009 is a potentially Migraine is a prevalent, debilitating activating polypeptide) and VIP differentiated subcutaneous anti- neurological disease, and many (vasoactive intestinal peptide) play a PACAP/VIP monoclonal antibody for the patients are underserved with existing foundational role in migraine prevention of migraine and other therapies pathophysiology headache disorders Migraine is the leading cause of Slate is committed to understanding PACAP-ligand blockade is a clinically disability in people under the age of validated approach in the prevention and innovating in the biology of 1 50 and existing treatment options do migraine to better address the disease of migraines not provide millions of patients with complete control of their disease 1. Timothy J Steiner et al., “Migraine Is First Cause of Disability in under 50s: Will Health Politicians Now Take Notice?,” The journal of headache and pain, February 21, 2018, https://pmc.ncbi.nlm.nih.gov/articles/PMC5821623/#:~:text=With%20better%20knowledge,%20empirical%20data,7.2%25)%20(Table%201) 4 2. “Migraine and Other Headache Disorders,” World Health Organization, n.d., https://www.who.int/news-room/fact-sheets/detail/headache-disorders.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Slate Medicines is seeking to broaden the treatment paradigm for migraine Program Discovery Preclinical Phase 1 Phase 2 Phase 3 Milestones SLTE-1009* HREC approval received for P1 (Anti-PACAP/VIP mAb) initiation in AUS Potential best-in-class subcutaneous July 2026 anti-PACAP/VIP monoclonal antibody SLTE-2100 Phase 1 initiation (Anti-PACAP/VIP x CGRP bsAb) targeted for 2H27 Subcutaneous anti-PACAP/VIP x anti- CGRP bispecific antibody Development candidate Undisclosed Program nomination targeted for 1Q28 *Slate licensed the ex-China development and commercialization rights for SLTE-1009 from DartsBio Pharmaceuticals (Guangdong), Ltd mAb = monoclonal antibody HREC = Human Research Ethics Committee CGRP = calcitonin gene-related peptide 5 bsAb = bispecific antibody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Led by a team of experienced biopharma executives with a personal commitment to migraine Executive Team Gregory Oakes, MBA Neil Buckley, MS Roger Cady, MD John Umstead, CPA Chief Executive Officer President and Chief Medical Officer Chief Financial Officer Chief Operating Officer Board Of Directors Tim Lohoff, PhD Gregory Oakes, MBA Peter Kolchinsky, PhD Michael Rome, PhD Mark W. Hahn Principal, Forbion Chief Executive Officer Managing Partner, RA Capital Managing Director, Foresite Capital Raised $130 million Series A; backed by top-tier investors 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Migraine patients are underserved by the existing standard of care 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Migraine is more than just a headache; it is one of the most prevalent, lifelong, and disabling neurological diseases Migraine is the leading cause of disability in 1 people under the age of 50 Migraine is often a lifelong disease that affects people of all ages; Headache disorders are among the top three most The disability caused by migraine is far broader than just 2 common neurological conditions ages 5-80 headache and comprises several phases and a spectrum of disabling symptoms, all of which can significantly impact a person’s ability to function Migraine affects women about 2–3 times Symptoms of migraine include moderate to severe throbbing and more often than men, especially during 3 pulsating pain on one side of the head, migraine aura, nausea, reproductive years vomiting, flushing, dizziness, difficulty focusing, and light sensitivity 1. Timothy J Steiner et al., “Migraine Is First Cause of Disability in under 50s: Will Health Politicians Now Take Notice?,” The journal of headache and pain, February 21, 2018, 2. “Migraine and Other Headache Disorders,” World Health Organization, n.d., https://www.who.int/news-room/fact-sheets/detail/headache-disorders. 8 3. Rosse, et. al. Sex and gender differences in migraines: a narrative review Neurol Sci. 2022 Sep;43(9):5729-5734. doi: 10.1007/s10072-022-06178-6. Epub 2022 Jun 8.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Existing preventative therapeutics, including CGRP antagonists, do not provide complete disease control for most patients • In pivotal studies in chronic migraine (CM) patients, only ~50% of patients experience a &gt;50% reduction in monthly migraine or headache days, and only ~20% of patients experience a &gt;75% reduction • American Headache Society clinical guidelines state patients experiencing ≥4 migraine days per month should be offered preven tative treatment Remaining Monthly Migraine Days (MMD)/Monthly Headache Days (MHD) after treatment Absolute reduction from baseline Placebo-adjusted reduction (drug effect) 1. https://d1fakw34cbtrm5.cloudfront.net/PDFs/Mig raine-Quick-Guides/AHS-First-Contact-PreventativeTreatment.pdf 2. REGAIN (NCT02614261) — Detke et al. Galcanezumab in chronic migraine: The randomized, double-blind, placebo-controlled REGAIN study. Neurology. 2018;91(24):e2211–e2221. 3. NCT02066415 — Tepper et al. Safety and efficacy of erenumab for preventive treatment of chronic migraine: a randomised, double-blind, placebo-controlled phase 2 trial. Lancet Neurology. 2017;16(6):425–434. 4. PROMISE-2 (NCT02974153) — Lipton et al. Efficacy and safety of eptinezumab in patients with chronic mig raine: PROMISE-2. Neurology. 2020;94(13):e1365–e1377. 9 5. HALO CM (NCT02621931) — Silberstein et al. Fremanezumab for the preventive treatment of chronic mig raine. New England Journal of Medicine. 2017;377(22):2113–2122. 6. PROGRESS (NCT03855137) — Pozo-Rosich et al. Atog epant for the preventive treatment of chronic mig raine (PROGRESS): a randomised, double-blind, placebo-controlled, phase 3 trial. Lancet. 2023;402(10404):775–785.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Despite modest efficacy, CGRP antagonists for prevention are a large and growing commercial market Company Drug Modality Dosing frequency 2025 Sales $1,424M* Small molecule QOD (Pfizer 2025 annual report) $1,036M Small molecule QD (Abbvie 2025 8-K) ~$700M (est) Subcutaneous QM (Estimate from Q3 Zack’s antibody Report) $700M (DKK 4,476M) Intravenous antibody Q3M (Lundbeck FY2025 Corporate Release) Subcutaneous $673M QM/Q3M (Teva FY2025 press release) antibody ~$500M (est) Subcutaneous (Novartis Form 6-K FY2025) QM (Amgen 3Q 25 8-K other antibody products estimate) In 2025, CGRP antagonists for migraine prevention sold approximately $5 billion and are expected to reach peak class sales of $12.5 billion in 2033* *includes gepants for acute use 10 QOD = every other day; QD = every day, QM – every month, Q3M = every 3 months Persistence Market Research. CGRP Inhibitors Market Size, Share, and Growth Forecast 2026–2033. Report ID: PMRREP33710. February 2026. 199 pages. Available at: https://www.persistencemarketresearch.com/market-research/cgrp-inhibitors-market.asp</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PACAP and VIP play a foundational role in migraine pathophysiology 11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PACAP and VIP are neuropeptides that signal through multiple receptors and ligand blockade is required for efficacy PACAP exists in two isoforms: PACAP-38 and PACAP-27 • AMG301, a PAC1 receptor binding antibody, failed to bocunebart show a statistically significant benefit over VIP is a neuropeptide that placebo in a Phase 2 shares 68% sequence migraine prevention study, homology with PACAP and signals through common receptors, VPAC1 and VPAC2 • Bocunebart (Lu AG09222) is a ligand-binding antibody that prevents PACAP-38 and PACAP-27 interaction with PAC1, VPAC1, and VPAC2, and has shown encouraging efficacy in randomized and controlled clinical trials Image: Rubio-Beltrán et al. The Journal of Headache and Pain (2018) 19:64 https://doi.org/10.1186/s10194-018-0893-8 12 AMG301 - NCT03238781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Like CGRP, PACAP and VIP have each been shown to independently induce migraine-like headaches PACAP, VIP, and CGRP are all neuropeptides and have been shown to induce cephalic vasodilation and the induction of migraine-like headache in patients Neuropeptide Migraine induction rate Notes • 20-minute IV infusion • Median time to onset of migraine 3 hours CGRP 63% • 9% premonitory symptoms • 20-minute IV infusion • Median time to onset of migraine 5 hours PACAP-38 72% • 48% of patients experienced premonitory symptoms • 2-hour IV infusion o 20-minute infusions of VIP do not induce migraine as with VIP 71% PACAP and CGRP • Mimicked a spontaneous migraine attack PACAP-38 and VIP each independently produce migraine-like headache in patients at high rates, each with a unique clinical signature 1. Guo S, et al. Premonitory and nonheadache symptoms induced by CGRP and PACAP38 in patients with migraine. Pain. 2016 Dec;157(12):2773 -2781. doi: 10.1097/j.pain.0000000000000702. 2. Pellesi L, et al. Effect of Vasoactive Intestinal Polypeptide on Development of Migraine Headaches: A Randomized Clinical Trial. JAMA Netw Open. 2021 Aug 2;4(8):e2118543. doi: 13 10.1001/jamanetworkopen.2021.18543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Challenge studies have demonstrated that PACAP induces migraine independent of CGRP signaling • Patients were randomized to receive either placebo or anti-CGRP monoclonal antibody eptinezumab (Vyepti) and then infused with PACAP-38 start at 120 minutes • There was no meaningful difference in physiologic parameters tested, including superficial temporal artery diameter, facial skin blood flow, mean arterial blood pressure, or heart rate In a randomized and controlled PACAP-38 challenge study, anti-CGRP treatment • There was no statistical did not prevent migraine induction by PACAP-38, indicating PACAP is an difference in migraine orthogonal driver of migraine to CGRP induction rates between the pre-treated and placebo group Al-Karagholi et al. PACAP38-induced migraine attacks are independent of CGRP signaling: a randomized controlled trial, The Journal of Headache and Pain 14 https://doi.org/10.1186/s10194-025-02022-2 (2025) 14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PACAP-ligand binding is a clinically-validated approach to migraine prevention • In the Phase 2a HOPE study, bocunebart (Lu AG09222), an anti-PACAP IV ligand binding mAb, demonstrated a significant monthly migraine reduction in high frequency, treatment experienced chronic migraine o Patients in HOPE had baseline average MMD of 16.7 and all had failed 2-4 preventative therapeutics • In June 2026, Lundbeck presented data from the Phase 2b PROCEED trial demonstrating a statistically significant reduction in a pooled episodic and chronic migraine study with IV administration o The subcutaneous portion of the study was discontinued in March 2025 after a planned interim futility analysis o Utilized a pooled analysis of HOPE and PROCEED bocunebart demonstrated a -2.3-placebo adjusted MMD reduction in chronic migraine o Dose A met statistical significance with a -1.4-placebo adjusted MMD reduction in a pooled episodic and chronic population Ashina M, et al. A Monoclonal Antibody to PACAP for Migraine Prevention. New England Journal of Medicine. 2024;391(9). DOI: 10.1056/NEJMoa2314577 15 Allaini, et. Al., Targeting PACAP in migraine prevention: Outcomes from the PROCEED phase 2b trial of bocunebart (Lu AG09222)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Bocunebart demonstrated complete reversal of PACAP-associated vasodilation, but only partial reversal of VIP associated effects In an infusion challenge study, bocunebart completely reversed PACAP-38 associated superficial temporal artery vasodilation, but only partially reverse the effects of VIP Rasmussen et al. The effect of Lu AG09222 on PACAP38- and VIP-induced vasodilation, heart rate increase, and headache in healthy subjects: an interventional, randomized, double-blind, parallel-group, placebo-controlled study. The Journal of Headache and Pain (2023) 24:60 https://doi.org/10.1186/s10194-023-01599-w 16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SLTE-1009: A potential best-in-class subcutaneous anti- PACAP/VIP monoclonal antibody for the prevention of migraine 17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SLTE-1009: A potentially differentiated subcutaneous anti- PACAP/VIP monoclonal antibody for the prevention of migraine Bocunebart Property SLTE-1009 (Lu AG09222) Ligand Binding Yes Yes Yes PACAP-38 and PACAP-27 Yes VIP Yes Low affinity, partial affect Half-life extended Yes - YTE No Being developed intravenous Subcutaneous Delivery and frequency Monthly with the potential for Q3M Monthly SLTE-1009 offers the potential for enhanced efficacy with enhanced VIP binding vs. PACAP-only targeting therapies and improved delivery over bocunebart, allowing for subcutaneous administration Internal Data Ashina et. al Pharmacokinetics and safety of bocunebart (Lu AG09222), an anti-PACAP monoclonal antibody in development for migraine prevention, AAN 2026 Poster 18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 functional cellular assays SLTE-1009 demonstrated equivalent potency to bocunebart on PACAP and enhanced blockade of VIP Activity Antigen SLTE-1009 IC(50) Bocuenbart IC(50) PACAP38 0.23 nM 0.74 nM PAC1 neutralizing PACAP27 0.22 nM 0.29 nM PACAP38 PACAP27 PACAP38 0.53 nM 2.34 nM 3 2 7 2 4 A b s in h ib it P A C A P 2 7 s tim u la tio n c A M P p ro d u c tio n in P C -1 2 3 2 7 2 4 A b s in h ib it P A C A P 3 8 s tim u la tio n c A M P p ro d u c tio n in P C -1 2 VPAC1 neutralizing PACAP27 1.15 nM 0.34 nM (P C -1 2 6 0 0 0 /w e ll (p 3 8 4 ); P A C A P 2 7 , 1 .5 n M , A b s 1 0 0 n M , 1 :3 d ilu tio n ) (P C -1 2 6 0 0 0 /w e ll (p 3 8 4 ); P A C A P 3 8 , 0 .2 n M , A b s 1 0 0 n M , 1 :3 d ilu tio n ) (X H Q , 2 0 2 5 1 2 3 0 ) (X H Q , 2 0 2 5 1 2 2 6 ) IC50 /nM 0 .0 VIP 1.87 nM NI* IC50/nM 0 .0 S L 0 0 1 0.2848 S L 0 0 1 0.7401 S L 0 0 2 1.403 0 .1 S L 0 0 2 3.090 D S 0 0 9 0.2193 PACAP38 1.18 nM 4.05 nM 0 .1 D S 0 0 9 0.2276 h Ig G 17.94 0 .2 h Ig G 0 .2 VPAC2 neutralizing PACAP27 0.23 nM 0.16 nM 0 .3 PC-12 (PAC1R) 0 .4 0 .3 VIP 0.59 nM NI* 0 .5 0 .4 *High concentration of 100 nM in A b s C o n c ./n M VIP A b s C o n c ./n M cell assays, SPR indicates bocunebart KD in this range 3 2 7 2 4 A b s in h ib it P A C A P 3 8 s tim u la tio n c A M P p ro d u c tio n in C H O K 1 -h V P A C 1 R 3 2 7 2 4 A b s in h ib it P A C A P 2 7 s tim u la tio n c A M P p ro d u c tio n in C H O K 1 -h V P A C 1 R 3 2 7 2 4 A b s in h ib it V IP s tim u la tio n c A M P p ro d u c tio n in C H O K 1 -h V P A C 1 R (C H O K 1 -h V P A C 1 R 3 0 0 0 /w e ll (p 3 8 4 ); P A C A P 3 8 , 0 .2 n M , A b s 1 0 0 n M , 1 :3 d ilu tio n ) (C H O K 1 -h V P A C 1 R 3 0 0 0 /w e ll (p 3 8 4 ); P A C A P 2 7 0 .2 n M , A b s 1 0 0 n M , 1 :3 d ilu tio n ) (C H O K 1 -h V P A C 1 R 3 0 0 0 /w e ll (p 3 8 4 ); V IP , 0 .0 5 n M , A b s 1 0 0 n M , 1 :3 d ilu tio n ) (X H Q , 2 0 2 5 1 2 2 9 ) (X H Q , 2 0 2 5 1 2 3 0 ) (X H Q , 2 0 2 5 1 2 2 6 ) IC50 /nM IC50/nM IC50/nM 0 .0 0 .0 0 .0 S L 0 0 1 2.340 S L 0 0 1 0.3437 S L 0 0 1 6.140e+012 S L 0 0 2 13.18 S L 0 0 2 3.160 S L 0 0 2 ~ 101.3 0 .1 0 .1 0 .1 D S 0 0 9 0.5304 D S 0 0 9 1.145 D S 0 0 9 1.867 h Ig G ~ 5.283e-009 h Ig G 0.02491 h Ig G 0.03304 0 .2 0 .2 0 .2 CHOK1-VPAC1R 0 .3 0 .3 0 .3 0 .4 0 .4 0 .4 A b s C o n c ./n M A b s C o n c ./n M A b s C o n c ./n M 3 2 7 2 4 A b s in h ib it V IP s tim u la tio n c A M P p ro d u c tio n in C H O K 1 -h V P A C 2 R 3 2 7 2 4 A b s in h ib it P A C A P 3 8 s tim u la tio n c A M P p ro d u c tio n in C H O K 1 -h V P A C 2 R 3 2 7 2 4 A b s in h ib it P A C A P 2 7 s tim u la tio n c A M P p ro d u c tio n in C H O K 1 -h V P A C 2 R (C H O K 1 -h V P A C 2 R 3 0 0 0 /w e ll (p 3 8 4 ); V IP , 0 .2 n M , A b s 1 0 0 n M , 1 :3 d ilu tio n ) (C H O K 1 -h V P A C 2 R 3 0 0 0 /w e ll (p 3 8 4 ); P A C A P 3 8 , 0 .2 n M , A b s 1 0 0 n M , 1 :3 d ilu tio n ) (C H O K 1 -h V P A C 2 R 3 0 0 0 /w e ll (p 3 8 4 ); P A C A P 2 7 , 0 .2 n M , A b s 1 0 0 n M , 1 :3 d ilu tio n ) (X H Q , 2 0 2 5 1 2 2 6 ) (X H Q , 2 0 2 5 1 2 2 9 ) (X H Q , 2 0 2 5 1 2 2 9 ) /nM /nM /nM IC50 IC50 IC50 0 .0 0 .0 0 .0 S L 0 0 1 S L 0 0 1 S L 0 0 1 ~ 1.471e+006 4.049 0.1598 S L 0 0 2 S L 0 0 2 S L 0 0 2 ~ 31.48 17.57 0.5262 0 .1 0 .1 0 .1 D S 0 0 9 19 0.5874 D S 0 0 9 1.180 D S 0 0 9 0.2260 h Ig G CHOK1-VPAC2R h Ig G ~ 0.03352 0 .2 h Ig G ~ 1.098 0 .2 0 .2 0 .3 0 .3 0 .3 0 .4 0 .4 0 .4 0 .5 A b s C o n c ./n M A b s C o n c ./n M A b s C o n c ./n M 19 Internal Data. Assays for each compound run separately 0 .0 0 0 1 0 .0 0 1 0 .0 1 0 .1 1 1 0 1 0 0 1 0 0 0 1 0 0 0 0 0 .0 0 0 1 0 .0 0 1 0 .0 1 0 .1 1 1 0 1 0 0 1 0 0 0 1 0 0 0 0 0 .0 0 0 1 0 .0 0 1 0 .0 1 0 .1 1 1 0 1 0 0 1 0 0 0 1 0 0 0 0 0 .0 0 0 1 0 .0 0 1 0 .0 1 0 .1 1 1 0 1 0 0 1 0 0 0 1 0 0 0 0 0 .0 0 0 1 0 .0 0 1 0 .0 1 0 .1 1 1 0 1 0 0 1 0 0 0 1 0 0 0 0 0 .0 0 0 1 0 .0 0 1 0 .0 1 0 .1 1 1 0 1 0 0 1 0 0 0 1 0 0 0 0 0 .0 0 0 1 0 .0 0 1 0 .0 1 0 .1 1 1 0 1 0 0 1 0 0 0 1 0 0 0 0 0 .0 0 0 1 0 .0 0 1 0 .0 1 0 .1 1 1 0 1 0 0 1 0 0 0 1 0 0 0 0 c A M P 6 6 5 /6 2 0 c A M P 6 6 5 /6 2 0 c A M P 6 6 5 /6 2 0 c A M P 6 6 5 /6 2 0 c A M P 6 6 5 /6 2 0 c A M P 6 6 5 /6 2 0 c A M P 6 6 5 /6 2 0 c A M P 6 6 5 /6 2 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color w:val="FFFFFF"/>
        </w:rPr>
      </w:pPr>
      <w:r>
        <w:rPr>
          <w:rFonts w:ascii="Times New Roman" w:hAnsi="Times New Roman"/>
          <w:color w:val="FFFFFF"/>
          <w:sz w:val="2"/>
        </w:rPr>
        <w:t>Activity in preclinical models of migraine • Umbellulone (UMB) is a UMB</w:t>
      </w:r>
      <w:r>
        <w:rPr>
          <w:rFonts w:eastAsia="Times New Roman"/>
          <w:color w:val="FFFFFF"/>
          <w:sz w:val="2"/>
        </w:rPr>
        <w:t>：</w:t>
      </w:r>
      <w:r>
        <w:rPr>
          <w:rFonts w:ascii="Times New Roman" w:hAnsi="Times New Roman"/>
          <w:color w:val="FFFFFF"/>
          <w:sz w:val="2"/>
        </w:rPr>
        <w:t>12 mg Female C57BL/6J naturally occurring, 18-20 g, N = 8 allodynia-inducing -50 min Pain threshold Baseline test Priming by monoterpene ketone via Treatments (i.v.) test (1h) Randomization Restrain stress activation of Transient receptor potential cation channel, subfamily A, UMB-induced mouse migraine pain threshold UMB-induced mouse migraine pain threshold member 1 (TRPA1) (Von Frey) (Von Frey) n = 8, i.v. n = 8, i.v., 10 mpk 1.5 1.5 • UMB-induced sensory hypersensitivity responses 1.0 1.0 Normal Normal are associated with Hu318H4L9, 10mpk Hu318H4L9, 10 mpk activation of the trigeminal ALD1910, 10mpk Hu318H4L9, 3 mpk neurovascular pathway 0.5 0.5 Hu318H3L7, 10mpk Hu318H4L9, 1 mpk HuIgG1 10mpk HuIgG1, 10 mpk 0.0 0.0 0 1 • SLTE-1009 showed dose 0 1 Post-treatment hours Post-treatment hours dependent effects on allodynia and was superior to bocunebart head-to- Hu318H4L9 = SLTE-1009 ALD1910 = bocunebart (Lu AG09222) head at 1 hour 20 Internal Data MWT (g), Mean ± SEM MWT(g), Mean ± SEM</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SLTE-1009 thus far has demonstrated favorable preclinical data Formulation Product Profile Property Target SLTE-1009 Concentration ≥150 mg/mL Viscosity &lt;15 cP Osmolality &lt;500 mSOM/kg Potency Subvisible particles Stability Charge distribution Aggregation Autoinjector compatible volume Single ≤2 mL injection In addition to favorable CMC-related properties, the highest dose tested in both non-human primates (NHP) and rodent GLP toxicology studies was determined to be the no observed adverse effect level (NOAEL) 21 Internal Data</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Demonstrated half-life extension in NHPs and ability to match Lundbeck IV PK via subcutaneous delivery Bocunebart 750 mg IV (P2a high-dose) vs. SLTE-1009 QM SC Modeling of expected human PK vs. bocunebart 750 (P2a) and 480 mg IV (P2b) shows possibility to Bocunebart 480 mg IV (P2b high-dose) vs. SLTE-1009 QM SC match or Demonstrated half-life extension in NHP exceed both pharmacokinetic (PK) studies with a mean half-life ranging from 21-27 days across doses and a C and trough modeled predicted human half-life of 70-80 days C at 1-2 average Demonstrated &gt;80% subcutaneous bioavailability mL in NHP subcutaneous 22 Internal Data doses 22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SLTE-1009 has the potential for up to quarterly subcutaneous administration Bocunebart 750 mg IV (P2a high-dose) vs. SLTE-1009 Q2M SC Bocunebart 480 mg IV (P2b high-dose) vs. SLTE-1009 Q3M SC Dose level and frequency expected to be evaluated in a Phase 2 dose- range finding study based on actual observed human pharmacokinetics in the Phase 1 SLTE-1009 is modeled to potentially achieve Q3M dosing matching the high dose exposure from the Lundbeck P2b PROCEED trial and Q2M dosing healthy volunteer matching the high dose from the Lundbeck P2a HOPE trial study Q2M = Every 2 months dosing Q3M – Every 3 months dosing 23 Internal Data 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Slate has a potential path to early value creation and program derisking with Phase 1 PK Additional Potential Catalysts pipeline Today: potential Initiating Phase 1 topline Phase 1 PK program Full P1 data differentiated anti- healthy volunteer and half-life data (safety and PK) details on PACAP/VIP mAb with study expected and P2 initiation strong preclinical data SLTE-2100 and undisclosed 1H 2026 Mid-year 2026 Mid-year 2027 2H 2027 program expected to be announced in Healthy volunteer PK has the potential to derisk subcutaneous 2027 administration demonstrating half-life extension 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Building a world-class migraine-focused biotech with a pipeline of potentially best-in-class, differentiated assets • SLTE-2100 An anti-PACAP/VIP x CGRP bispecific antibody o Complete blockade of three neuropeptides implicated in migraine, PACAP, VIP, and CGRP for potential differentiated efficacy in migraine prevention o Currently in lead optimization with DC nomination targeted for 2H26 and initiation of Phase 1 targeted for 2H27 • Undisclosed program is also intended for the treatment of migraine and other headache disorders with DC nomination targeted for 1Q28 Slate Medicines continues to evaluate additional assets focused on the prevention and treatment of migraine and other headache disorders in an effort to build a robust pipeline of differentiated assets 25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401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918460" cy="164401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Slate Medicines is a biotech company focused on expanding treatment options for migraine patients The Solution SLTE-1009 is a potential best-in-class subcutaneous anti-PACAP monoclonal Lead asset SLTE- Experienced team Building a pipeline antibody for the prevention of migraine and 1009 is a potential with a personal other headache disorders Building a world- of potentially best-in-class commitment to class migraine- differentiated subcutaneous anti- migraine focused biotech assets to broaden PACAP/VIP company the treatment monoclonal Backed by top-tier paradigm for antibody for the life sciences migraine patients prevention of investors migraine 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253</Pages>
  <Words>128280</Words>
  <Characters>681315</Characters>
  <CharactersWithSpaces>810183</CharactersWithSpaces>
  <Paragraphs>3728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