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Fulcrum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FULC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380" w:space="54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12/19/2022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98,787</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5.8997</w:t>
            </w:r>
            <w:r>
              <w:rPr>
                <w:rFonts w:ascii="Times New Roman" w:cs="Times New Roman" w:eastAsia="Times New Roman" w:hAnsi="Times New Roman"/>
                <w:sz w:val="22"/>
                <w:szCs w:val="22"/>
                <w:color w:val="008000"/>
                <w:vertAlign w:val="superscript"/>
              </w:rPr>
              <w:t>(1)</w:t>
            </w:r>
          </w:p>
        </w:tc>
        <w:tc>
          <w:tcPr>
            <w:tcW w:w="15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9,501,836</w:t>
            </w:r>
            <w:r>
              <w:rPr>
                <w:rFonts w:ascii="Times New Roman" w:cs="Times New Roman" w:eastAsia="Times New Roman" w:hAnsi="Times New Roman"/>
                <w:sz w:val="22"/>
                <w:szCs w:val="22"/>
                <w:color w:val="008000"/>
                <w:vertAlign w:val="superscript"/>
              </w:rPr>
              <w:t>(2)</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gridSpan w:val="19"/>
          </w:tcPr>
          <w:p>
            <w:pPr>
              <w:jc w:val="center"/>
              <w:ind w:left="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6"/>
          </w:tcPr>
          <w:p>
            <w:pPr>
              <w:jc w:val="center"/>
              <w:ind w:right="36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0" w:type="dxa"/>
            <w:vAlign w:val="bottom"/>
          </w:tcPr>
          <w:p>
            <w:pPr>
              <w:spacing w:after="0"/>
              <w:rPr>
                <w:sz w:val="11"/>
                <w:szCs w:val="11"/>
                <w:color w:val="auto"/>
              </w:rPr>
            </w:pPr>
          </w:p>
        </w:tc>
        <w:tc>
          <w:tcPr>
            <w:tcW w:w="108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Kolchinsky Peter</w:t>
              </w:r>
            </w:hyperlink>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-1261745</wp:posOffset>
            </wp:positionV>
            <wp:extent cx="2809240" cy="2424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4244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$5.79 to $6.00; the price reported above reflects the weighted average purchase price. The reporting person hereby undertakes, upon request, to provide full information to the staff of the Securities and Exchange Commission, the Issuer, or a security holder of the Issuer regarding the number of shares and prices at which these transactions, and all other transactions reported in this Form 4, were effected.</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740"/>
          </w:cols>
          <w:pgMar w:left="480" w:top="125" w:right="6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1980"/>
          </w:cols>
          <w:pgMar w:left="480" w:top="125"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315082" TargetMode="External"/><Relationship Id="rId15" Type="http://schemas.openxmlformats.org/officeDocument/2006/relationships/hyperlink" Target="http://www.sec.gov/cgi-bin/browse-edgar?action=getcompany&amp;CIK=0001384859" TargetMode="External"/><Relationship Id="rId17"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2022-12-21T15:33:42Z</dcterms:created>
  <dcterms:modified xsi:type="dcterms:W3CDTF">2022-12-21T15:33:42Z</dcterms:modified>
</cp:coreProperties>
</file>