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Rajavelu Esther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02/09/2023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413"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5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1" w:lineRule="exact"/>
        <w:rPr>
          <w:sz w:val="24"/>
          <w:szCs w:val="24"/>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CAMBRIDGE</w:t>
        <w:tab/>
        <w:t>MA</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180" w:space="72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12.59</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02/09/2023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160,000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02/08/2033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160,000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9, 2023 and is scheduled to vest in equal quarterly installments over four years beginning on the vesting commencement date of January 1, 2023, subject to the reporting person's continued service on each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Gregory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1135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Esther</w:t>
      </w:r>
      <w:r>
        <w:rPr>
          <w:sz w:val="20"/>
          <w:szCs w:val="20"/>
          <w:color w:val="auto"/>
        </w:rPr>
        <w:tab/>
      </w:r>
      <w:r>
        <w:rPr>
          <w:rFonts w:ascii="Arial" w:cs="Arial" w:eastAsia="Arial" w:hAnsi="Arial"/>
          <w:sz w:val="14"/>
          <w:szCs w:val="14"/>
          <w:color w:val="0000FF"/>
        </w:rPr>
        <w:t>02/13/2023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Rajavelu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73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371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2023-02-13T15:20:41Z</dcterms:created>
  <dcterms:modified xsi:type="dcterms:W3CDTF">2023-02-13T15:20:41Z</dcterms:modified>
</cp:coreProperties>
</file>