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Moxham Christopher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FULCRUM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26 LANDSDOWNE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CAMBRIDGE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02139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highlight w:val="white"/>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Scientific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08/10/2021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20,714</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7.84</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20,714</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20,714</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(2)</w:t>
            </w:r>
            <w:r>
              <w:rPr/>
              <w:t xml:space="preserve"> </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31,071</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7.84</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31,071</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Stockm</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31,071</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7.84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08/10/2021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20,714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01/21/2029</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20,714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103,572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7.84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08/10/2021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(2)</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31,071</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01/21/2029</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31,071</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72,501</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10, 2020.</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sales reported in this Form 4 were effected pursuant to a Rule 10b5-1 trading plan adopted by the reporting person on June 28,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underlying the option are scheduled to vest 25% on the first anniversary of the vesting commencement date of January 22, 2020. The remainder of the shares underlying the grant shall vest in equal quarterly installments over the following three years until the fourth anniversary of the vesting commencement date, subject to continued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Peter Thomson, as attorney-in-fact for Christopher Moxham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3784"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694</Words>
  <CharactersWithSpaces>4327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