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January 26, 2022</w:t>
      </w:r>
    </w:p>
    <w:p>
      <w:pPr>
        <w:spacing w:after="0" w:line="27" w:lineRule="exact"/>
        <w:rPr>
          <w:sz w:val="24"/>
          <w:szCs w:val="24"/>
          <w:color w:val="auto"/>
        </w:rPr>
      </w:pPr>
    </w:p>
    <w:p>
      <w:pPr>
        <w:ind w:left="86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4360" w:type="dxa"/>
            <w:vAlign w:val="bottom"/>
          </w:tcPr>
          <w:p>
            <w:pPr>
              <w:jc w:val="center"/>
              <w:ind w:right="1799"/>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right"/>
              <w:ind w:right="4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436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00" w:type="dxa"/>
            <w:vAlign w:val="bottom"/>
          </w:tcPr>
          <w:p>
            <w:pPr>
              <w:jc w:val="center"/>
              <w:ind w:left="18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Incorporation or Organization)</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4360" w:type="dxa"/>
            <w:vAlign w:val="bottom"/>
          </w:tcPr>
          <w:p>
            <w:pPr>
              <w:jc w:val="center"/>
              <w:ind w:right="1799"/>
              <w:spacing w:after="0"/>
              <w:rPr>
                <w:sz w:val="20"/>
                <w:szCs w:val="20"/>
                <w:color w:val="auto"/>
              </w:rPr>
            </w:pPr>
            <w:r>
              <w:rPr>
                <w:rFonts w:ascii="Arial" w:cs="Arial" w:eastAsia="Arial" w:hAnsi="Arial"/>
                <w:sz w:val="18"/>
                <w:szCs w:val="18"/>
                <w:b w:val="1"/>
                <w:bCs w:val="1"/>
                <w:color w:val="auto"/>
                <w:w w:val="90"/>
              </w:rPr>
              <w:t>26 Landsdowne Street</w:t>
            </w:r>
          </w:p>
        </w:tc>
        <w:tc>
          <w:tcPr>
            <w:tcW w:w="3000" w:type="dxa"/>
            <w:vAlign w:val="bottom"/>
          </w:tcPr>
          <w:p>
            <w:pPr>
              <w:spacing w:after="0"/>
              <w:rPr>
                <w:sz w:val="24"/>
                <w:szCs w:val="24"/>
                <w:color w:val="auto"/>
              </w:rPr>
            </w:pPr>
          </w:p>
        </w:tc>
      </w:tr>
      <w:tr>
        <w:trPr>
          <w:trHeight w:val="225"/>
        </w:trPr>
        <w:tc>
          <w:tcPr>
            <w:tcW w:w="4360" w:type="dxa"/>
            <w:vAlign w:val="bottom"/>
          </w:tcPr>
          <w:p>
            <w:pPr>
              <w:jc w:val="center"/>
              <w:ind w:right="1799"/>
              <w:spacing w:after="0"/>
              <w:rPr>
                <w:sz w:val="20"/>
                <w:szCs w:val="20"/>
                <w:color w:val="auto"/>
              </w:rPr>
            </w:pPr>
            <w:r>
              <w:rPr>
                <w:rFonts w:ascii="Arial" w:cs="Arial" w:eastAsia="Arial" w:hAnsi="Arial"/>
                <w:sz w:val="18"/>
                <w:szCs w:val="18"/>
                <w:b w:val="1"/>
                <w:bCs w:val="1"/>
                <w:color w:val="auto"/>
                <w:w w:val="89"/>
              </w:rPr>
              <w:t>Cambridge, Massachusetts</w:t>
            </w:r>
          </w:p>
        </w:tc>
        <w:tc>
          <w:tcPr>
            <w:tcW w:w="300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4360" w:type="dxa"/>
            <w:vAlign w:val="bottom"/>
          </w:tcPr>
          <w:p>
            <w:pPr>
              <w:jc w:val="center"/>
              <w:ind w:right="18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2019 Stock Incentive Plan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2019 Employee Stock Purchase Plan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Inducement Stock Option Awards (September 2021 – January 2022)</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Bryan E. Stuart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Fulcrum Therapeutics, Inc.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26 Landsdowne Street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Cambridge, Massachusetts 02139</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(617) 651-8851</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ind w:left="1900"/>
              <w:spacing w:after="0"/>
              <w:rPr>
                <w:sz w:val="20"/>
                <w:szCs w:val="20"/>
                <w:color w:val="auto"/>
              </w:rPr>
            </w:pPr>
            <w:r>
              <w:rPr>
                <w:rFonts w:ascii="Arial" w:cs="Arial" w:eastAsia="Arial" w:hAnsi="Arial"/>
                <w:sz w:val="14"/>
                <w:szCs w:val="14"/>
                <w:b w:val="1"/>
                <w:bCs w:val="1"/>
                <w:color w:val="auto"/>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ind w:left="1960"/>
              <w:spacing w:after="0"/>
              <w:rPr>
                <w:sz w:val="20"/>
                <w:szCs w:val="20"/>
                <w:color w:val="auto"/>
              </w:rPr>
            </w:pPr>
            <w:r>
              <w:rPr>
                <w:rFonts w:ascii="Arial" w:cs="Arial" w:eastAsia="Arial" w:hAnsi="Arial"/>
                <w:sz w:val="14"/>
                <w:szCs w:val="14"/>
                <w:b w:val="1"/>
                <w:bCs w:val="1"/>
                <w:color w:val="auto"/>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2,031,818(2)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$12.21(3)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$24,808,498(3)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$2,299.75</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140,000(4)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$28.49(5)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$3,988,600(5)</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$369.75</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58,000(4)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$28.21(5)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$1,636,180(5)</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$151.68</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200,000(4)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$17.82(5)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$3,564,000(5)</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$330.39</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424" w:right="26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w:t>
      </w:r>
    </w:p>
    <w:p>
      <w:pPr>
        <w:spacing w:after="0" w:line="1" w:lineRule="exact"/>
        <w:rPr>
          <w:rFonts w:ascii="Arial" w:cs="Arial" w:eastAsia="Arial" w:hAnsi="Arial"/>
          <w:sz w:val="18"/>
          <w:szCs w:val="18"/>
          <w:color w:val="auto"/>
        </w:rPr>
      </w:pPr>
    </w:p>
    <w:p>
      <w:pPr>
        <w:ind w:left="424" w:right="60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Consists of an additional (i) 1,625,455 shares issuable under the 2019 Stock Incentive Plan and (ii) 406,363 shares issuable under the 2019 Employee Stock Purchase Plan.</w:t>
      </w:r>
    </w:p>
    <w:p>
      <w:pPr>
        <w:ind w:left="424" w:right="10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Rules 457(c) and 457(h) of the Securities Act of 1933, as amended, and based upon the average of the high and low sale prices of the Registrant’s Common Stock as reported on the Nasdaq Global Market on January 24, 2022.</w:t>
      </w:r>
    </w:p>
    <w:p>
      <w:pPr>
        <w:spacing w:after="0" w:line="1" w:lineRule="exact"/>
        <w:rPr>
          <w:rFonts w:ascii="Arial" w:cs="Arial" w:eastAsia="Arial" w:hAnsi="Arial"/>
          <w:sz w:val="18"/>
          <w:szCs w:val="18"/>
          <w:color w:val="auto"/>
        </w:rPr>
      </w:pPr>
    </w:p>
    <w:p>
      <w:pPr>
        <w:ind w:left="424" w:right="4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Consists of shares issuable under new hire inducement stock option awards granted between September 2021 and January 2022 to certain employees of the Registrant as inducement material to entry into employment with the Registrant in accordance with Nasdaq Listing Rule 5635(c)</w:t>
      </w:r>
    </w:p>
    <w:p>
      <w:pPr>
        <w:spacing w:after="0" w:line="1" w:lineRule="exact"/>
        <w:rPr>
          <w:rFonts w:ascii="Arial" w:cs="Arial" w:eastAsia="Arial" w:hAnsi="Arial"/>
          <w:sz w:val="16"/>
          <w:szCs w:val="16"/>
          <w:color w:val="auto"/>
        </w:rPr>
      </w:pPr>
    </w:p>
    <w:p>
      <w:pPr>
        <w:ind w:left="424"/>
        <w:spacing w:after="0"/>
        <w:rPr>
          <w:rFonts w:ascii="Arial" w:cs="Arial" w:eastAsia="Arial" w:hAnsi="Arial"/>
          <w:sz w:val="16"/>
          <w:szCs w:val="16"/>
          <w:color w:val="auto"/>
        </w:rPr>
      </w:pPr>
      <w:r>
        <w:rPr>
          <w:rFonts w:ascii="Arial" w:cs="Arial" w:eastAsia="Arial" w:hAnsi="Arial"/>
          <w:sz w:val="18"/>
          <w:szCs w:val="18"/>
          <w:color w:val="auto"/>
        </w:rPr>
        <w:t>(4).</w:t>
      </w:r>
    </w:p>
    <w:p>
      <w:pPr>
        <w:spacing w:after="0" w:line="9" w:lineRule="exact"/>
        <w:rPr>
          <w:rFonts w:ascii="Arial" w:cs="Arial" w:eastAsia="Arial" w:hAnsi="Arial"/>
          <w:sz w:val="16"/>
          <w:szCs w:val="16"/>
          <w:color w:val="auto"/>
        </w:rPr>
      </w:pPr>
    </w:p>
    <w:p>
      <w:pPr>
        <w:ind w:left="424" w:right="40" w:hanging="424"/>
        <w:spacing w:after="0" w:line="323"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457(h) of the Securities Act. The price per share and aggregate offering price are calculated on the basis of the exercise price of the options outstanding under the applicable inducement stock option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148590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INFORMATION REQUIRED IN THE SECTION 10(a) PROSPECTUS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Plan Information.</w:t>
      </w:r>
    </w:p>
    <w:p>
      <w:pPr>
        <w:spacing w:after="0" w:line="229"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The information required by Item 1 is included in documents sent or given to participants in the plans covered by this registration statement pursuant to Rule 428(b)(1) of the Securities Act of 1933, as amended (the “Securities Act”).</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Registrant Information and Employee Plan Annual Information.</w:t>
      </w:r>
    </w:p>
    <w:p>
      <w:pPr>
        <w:spacing w:after="0" w:line="229" w:lineRule="exact"/>
        <w:rPr>
          <w:sz w:val="20"/>
          <w:szCs w:val="20"/>
          <w:color w:val="auto"/>
        </w:rPr>
      </w:pPr>
    </w:p>
    <w:p>
      <w:pPr>
        <w:jc w:val="both"/>
        <w:ind w:right="80" w:firstLine="440"/>
        <w:spacing w:after="0" w:line="277" w:lineRule="auto"/>
        <w:rPr>
          <w:sz w:val="20"/>
          <w:szCs w:val="20"/>
          <w:color w:val="auto"/>
        </w:rPr>
      </w:pPr>
      <w:r>
        <w:rPr>
          <w:rFonts w:ascii="Arial" w:cs="Arial" w:eastAsia="Arial" w:hAnsi="Arial"/>
          <w:sz w:val="18"/>
          <w:szCs w:val="18"/>
          <w:color w:val="auto"/>
        </w:rPr>
        <w:t>The written statement required by Item 2 is included in documents sent or given to participants in the plans covered by this registration statement pursuant to Rule 428(b)(1) of the Securities Act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INFORMATION REQUIRED IN THE REGISTRATION STATEMENT</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Incorporation of Documents by Reference.</w:t>
      </w:r>
    </w:p>
    <w:p>
      <w:pPr>
        <w:spacing w:after="0" w:line="229" w:lineRule="exact"/>
        <w:rPr>
          <w:sz w:val="20"/>
          <w:szCs w:val="20"/>
          <w:color w:val="auto"/>
        </w:rPr>
      </w:pPr>
    </w:p>
    <w:p>
      <w:pPr>
        <w:jc w:val="both"/>
        <w:ind w:right="80" w:firstLine="440"/>
        <w:spacing w:after="0" w:line="259" w:lineRule="auto"/>
        <w:rPr>
          <w:sz w:val="20"/>
          <w:szCs w:val="20"/>
          <w:color w:val="auto"/>
        </w:rPr>
      </w:pPr>
      <w:r>
        <w:rPr>
          <w:rFonts w:ascii="Arial" w:cs="Arial" w:eastAsia="Arial" w:hAnsi="Arial"/>
          <w:sz w:val="18"/>
          <w:szCs w:val="18"/>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in this registration statement by reference:</w:t>
      </w:r>
    </w:p>
    <w:p>
      <w:pPr>
        <w:spacing w:after="0" w:line="187" w:lineRule="exact"/>
        <w:rPr>
          <w:sz w:val="20"/>
          <w:szCs w:val="20"/>
          <w:color w:val="auto"/>
        </w:rPr>
      </w:pPr>
    </w:p>
    <w:p>
      <w:pPr>
        <w:ind w:right="40" w:firstLine="436"/>
        <w:spacing w:after="0" w:line="263" w:lineRule="auto"/>
        <w:tabs>
          <w:tab w:leader="none" w:pos="81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latest annual report filed pursuant to Section 13(a) or 15(d) of the Exchange Act or the latest prospectus filed pursuant to Rule 424(b) under the Securities Act that contains audited financial statements for the registrant’s latest fiscal year for which such statements have been filed.</w:t>
      </w:r>
    </w:p>
    <w:p>
      <w:pPr>
        <w:spacing w:after="0" w:line="183" w:lineRule="exact"/>
        <w:rPr>
          <w:rFonts w:ascii="Arial" w:cs="Arial" w:eastAsia="Arial" w:hAnsi="Arial"/>
          <w:sz w:val="18"/>
          <w:szCs w:val="18"/>
          <w:color w:val="auto"/>
        </w:rPr>
      </w:pPr>
    </w:p>
    <w:p>
      <w:pPr>
        <w:ind w:right="480" w:firstLine="43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document referred to in (a) above.</w:t>
      </w:r>
    </w:p>
    <w:p>
      <w:pPr>
        <w:spacing w:after="0" w:line="170" w:lineRule="exact"/>
        <w:rPr>
          <w:rFonts w:ascii="Arial" w:cs="Arial" w:eastAsia="Arial" w:hAnsi="Arial"/>
          <w:sz w:val="18"/>
          <w:szCs w:val="18"/>
          <w:color w:val="auto"/>
        </w:rPr>
      </w:pPr>
    </w:p>
    <w:p>
      <w:pPr>
        <w:ind w:firstLine="436"/>
        <w:spacing w:after="0" w:line="277" w:lineRule="auto"/>
        <w:tabs>
          <w:tab w:leader="none" w:pos="81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securities contained in the registrant’s registration statement on Form 8-A filed under the Exchange Act, including any amendment or report filed for the purpose of updating such description.</w:t>
      </w:r>
    </w:p>
    <w:p>
      <w:pPr>
        <w:spacing w:after="0" w:line="170"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color w:val="auto"/>
        </w:rPr>
        <w:t>Description of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60"/>
          </w:cols>
          <w:pgMar w:left="440" w:top="270" w:right="49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Item 5. </w:t>
      </w:r>
      <w:r>
        <w:rPr>
          <w:rFonts w:ascii="Arial" w:cs="Arial" w:eastAsia="Arial" w:hAnsi="Arial"/>
          <w:sz w:val="18"/>
          <w:szCs w:val="18"/>
          <w:color w:val="auto"/>
        </w:rPr>
        <w:t>Interests of Named Experts and Counsel.</w:t>
      </w:r>
    </w:p>
    <w:p>
      <w:pPr>
        <w:spacing w:after="0" w:line="229"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Wilmer Cutler Pickering Hale and Dorr LLP (“WilmerHale”) has opined as to the legality of the securities being offered by this registration statement.</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color w:val="auto"/>
        </w:rPr>
        <w:t>Indemnification of Directors and Officers.</w:t>
      </w:r>
    </w:p>
    <w:p>
      <w:pPr>
        <w:spacing w:after="0" w:line="22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Section 102 of the Delaware General Corporation Law (the “DGCL”) permits a corporation to eliminate the personal liability of its directors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The registrant’s certificate of incorporation provides that no director shall be personally liable to the registrant or the registrant’s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95"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spacing w:after="0" w:line="16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registrant’s certificate of incorporation provides that the registrant will indemnify each person who was or is a party or threatened to be made a party to any threatened, pending or completed action, suit or proceeding, whether civil, criminal, administrative or investigative (other than an action by or in the right of the registrant), by reason of the fact that he or she is or was, or has agreed to become, the registrant’s director or officer, or is or was serving, or has agreed to serve, at the registrant’s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the registrant’s best interests, and, with respect to any criminal action or proceeding, he or she had no reasonable cause to believe his or her conduct was unlawful.</w:t>
      </w:r>
    </w:p>
    <w:p>
      <w:pPr>
        <w:spacing w:after="0" w:line="181" w:lineRule="exact"/>
        <w:rPr>
          <w:sz w:val="20"/>
          <w:szCs w:val="20"/>
          <w:color w:val="auto"/>
        </w:rPr>
      </w:pPr>
    </w:p>
    <w:p>
      <w:pPr>
        <w:ind w:right="60" w:firstLine="440"/>
        <w:spacing w:after="0" w:line="288" w:lineRule="auto"/>
        <w:rPr>
          <w:sz w:val="20"/>
          <w:szCs w:val="20"/>
          <w:color w:val="auto"/>
        </w:rPr>
      </w:pPr>
      <w:r>
        <w:rPr>
          <w:rFonts w:ascii="Arial" w:cs="Arial" w:eastAsia="Arial" w:hAnsi="Arial"/>
          <w:sz w:val="16"/>
          <w:szCs w:val="16"/>
          <w:color w:val="auto"/>
        </w:rPr>
        <w:t>The registrant’s certificate of incorporation also provides that the registrant will indemnify any Indemnitee who was or is a party to an action or suit by or in the right of the registrant to procure a judgment in the registrant’s favor by reason of the fact that the Indemnitee is or was, or has agreed to become, the registrant’s director or officer, or is or was serving, or has agreed to serve, at the registrant’s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the registrant’s best interests, except that no indemnification shall be made with respect to any claim, issue or matter as to which such person shall have been adjudged to be liable to the registrant,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the</w:t>
      </w:r>
    </w:p>
    <w:p>
      <w:pPr>
        <w:sectPr>
          <w:pgSz w:w="11900" w:h="16838" w:orient="portrait"/>
          <w:cols w:equalWidth="0" w:num="1">
            <w:col w:w="11000"/>
          </w:cols>
          <w:pgMar w:left="440" w:top="270" w:right="45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registrant against all expenses (including attorneys’ fees) actually and reasonably incurred by him or her or on his or her behalf in connection therewith.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the registrant does not assume the defense, expenses must be advanced to an Indemnitee under certain circumstances.</w:t>
      </w:r>
    </w:p>
    <w:p>
      <w:pPr>
        <w:spacing w:after="0" w:line="211"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In addition, the registrant has entered into indemnification agreements with all of the registrant’s executive officers and directors. In general, these agreements provide that the registrant will indemnify the executive officer or director to the fullest extent permitted by law for claims arising in his or her capacity as an executive officer or director of the registrant or in connection with his or her service at the registrant’s request for another corporation or entity. The indemnification agreements also provide for procedures that will apply in the event that an executive officer or director makes a claim for indemnification and establish certain presumptions that are favorable to the executive officer or director.</w:t>
      </w:r>
    </w:p>
    <w:p>
      <w:pPr>
        <w:spacing w:after="0" w:line="176"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The registrant maintains a general liability insurance policy that covers certain liabilities of the registrant’s directors and officers arising out of claims based on acts or omissions in their capacities as directors or officers.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color w:val="auto"/>
        </w:rPr>
        <w:t>Exemption from Registration Claimed.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9220" w:type="dxa"/>
            <w:vAlign w:val="bottom"/>
            <w:gridSpan w:val="14"/>
          </w:tcPr>
          <w:p>
            <w:pPr>
              <w:spacing w:after="0"/>
              <w:rPr>
                <w:sz w:val="14"/>
                <w:szCs w:val="14"/>
                <w:color w:val="auto"/>
              </w:rPr>
            </w:pPr>
          </w:p>
        </w:tc>
      </w:tr>
      <w:tr>
        <w:trPr>
          <w:trHeight w:val="277"/>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580" w:type="dxa"/>
            <w:vAlign w:val="bottom"/>
            <w:tcBorders>
              <w:bottom w:val="single" w:sz="8" w:color="0000EE"/>
            </w:tcBorders>
            <w:gridSpan w:val="12"/>
          </w:tcPr>
          <w:p>
            <w:pPr>
              <w:spacing w:after="0"/>
              <w:rPr>
                <w:rFonts w:ascii="Arial" w:cs="Arial" w:eastAsia="Arial" w:hAnsi="Arial"/>
                <w:sz w:val="18"/>
                <w:szCs w:val="18"/>
                <w:color w:val="0000EE"/>
                <w:w w:val="91"/>
              </w:rPr>
            </w:pPr>
            <w:hyperlink r:id="rId20">
              <w:r>
                <w:rPr>
                  <w:rFonts w:ascii="Arial" w:cs="Arial" w:eastAsia="Arial" w:hAnsi="Arial"/>
                  <w:sz w:val="18"/>
                  <w:szCs w:val="18"/>
                  <w:color w:val="0000EE"/>
                  <w:w w:val="91"/>
                </w:rPr>
                <w:t>Restated Certificate of Incorporation of the Registrant (incorporated by reference to Exhibit 3.1 to the Registrant’s Current Report on</w:t>
              </w:r>
            </w:hyperlink>
          </w:p>
        </w:tc>
        <w:tc>
          <w:tcPr>
            <w:tcW w:w="360" w:type="dxa"/>
            <w:vAlign w:val="bottom"/>
            <w:gridSpan w:val="3"/>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gridSpan w:val="15"/>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Form 8-K (File No. 001-38978) filed with the Securities and Exchange Commission on July 22, 2019)</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940" w:type="dxa"/>
            <w:vAlign w:val="bottom"/>
            <w:tcBorders>
              <w:bottom w:val="single" w:sz="8" w:color="0000EE"/>
            </w:tcBorders>
            <w:gridSpan w:val="15"/>
          </w:tcPr>
          <w:p>
            <w:pPr>
              <w:spacing w:after="0"/>
              <w:rPr>
                <w:rFonts w:ascii="Arial" w:cs="Arial" w:eastAsia="Arial" w:hAnsi="Arial"/>
                <w:sz w:val="18"/>
                <w:szCs w:val="18"/>
                <w:color w:val="0000EE"/>
                <w:w w:val="90"/>
              </w:rPr>
            </w:pPr>
            <w:hyperlink r:id="rId21">
              <w:r>
                <w:rPr>
                  <w:rFonts w:ascii="Arial" w:cs="Arial" w:eastAsia="Arial" w:hAnsi="Arial"/>
                  <w:sz w:val="18"/>
                  <w:szCs w:val="18"/>
                  <w:color w:val="0000EE"/>
                  <w:w w:val="90"/>
                </w:rPr>
                <w:t>Amended and Restated Bylaws of the Registrant (incorporated by reference to Exhibit 3.2 to the Registrant’s Current Report on Form 8-K</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gridSpan w:val="15"/>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(File No. 001-38978) filed with the Securities and Exchange Commission on July 22, 2019)</w:t>
              </w:r>
            </w:hyperlink>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6600" w:type="dxa"/>
            <w:vAlign w:val="bottom"/>
            <w:tcBorders>
              <w:top w:val="single" w:sz="8" w:color="0000EE"/>
            </w:tcBorders>
            <w:gridSpan w:val="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Opinion of Wilmer Cutler Pickering Hale and Dorr LLP, counsel to the Registrant</w:t>
              </w:r>
            </w:hyperlink>
          </w:p>
        </w:tc>
        <w:tc>
          <w:tcPr>
            <w:tcW w:w="3340" w:type="dxa"/>
            <w:vAlign w:val="bottom"/>
            <w:gridSpan w:val="9"/>
          </w:tcPr>
          <w:p>
            <w:pPr>
              <w:spacing w:after="0"/>
              <w:rPr>
                <w:sz w:val="24"/>
                <w:szCs w:val="24"/>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23.1*</w:t>
            </w:r>
          </w:p>
        </w:tc>
        <w:tc>
          <w:tcPr>
            <w:tcW w:w="540" w:type="dxa"/>
            <w:vAlign w:val="bottom"/>
          </w:tcPr>
          <w:p>
            <w:pPr>
              <w:spacing w:after="0"/>
              <w:rPr>
                <w:sz w:val="24"/>
                <w:szCs w:val="24"/>
                <w:color w:val="auto"/>
              </w:rPr>
            </w:pPr>
          </w:p>
        </w:tc>
        <w:tc>
          <w:tcPr>
            <w:tcW w:w="56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Consent of Ernst &amp; Young LLP, independent registered public accounting firm</w:t>
              </w:r>
            </w:hyperlink>
          </w:p>
        </w:tc>
        <w:tc>
          <w:tcPr>
            <w:tcW w:w="220" w:type="dxa"/>
            <w:vAlign w:val="bottom"/>
            <w:tcBorders>
              <w:top w:val="single" w:sz="8" w:color="0000EE"/>
            </w:tcBorders>
            <w:gridSpan w:val="3"/>
          </w:tcPr>
          <w:p>
            <w:pPr>
              <w:spacing w:after="0"/>
              <w:rPr>
                <w:sz w:val="24"/>
                <w:szCs w:val="24"/>
                <w:color w:val="auto"/>
              </w:rPr>
            </w:pPr>
          </w:p>
        </w:tc>
        <w:tc>
          <w:tcPr>
            <w:tcW w:w="4060" w:type="dxa"/>
            <w:vAlign w:val="bottom"/>
            <w:gridSpan w:val="10"/>
          </w:tcPr>
          <w:p>
            <w:pPr>
              <w:spacing w:after="0"/>
              <w:rPr>
                <w:sz w:val="24"/>
                <w:szCs w:val="24"/>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23.2*</w:t>
            </w:r>
          </w:p>
        </w:tc>
        <w:tc>
          <w:tcPr>
            <w:tcW w:w="540" w:type="dxa"/>
            <w:vAlign w:val="bottom"/>
          </w:tcPr>
          <w:p>
            <w:pPr>
              <w:spacing w:after="0"/>
              <w:rPr>
                <w:sz w:val="24"/>
                <w:szCs w:val="24"/>
                <w:color w:val="auto"/>
              </w:rPr>
            </w:pPr>
          </w:p>
        </w:tc>
        <w:tc>
          <w:tcPr>
            <w:tcW w:w="9940" w:type="dxa"/>
            <w:vAlign w:val="bottom"/>
            <w:gridSpan w:val="1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Consent of Wilmer Cutler Pickering Hale and Dorr LLP (included in Exhibit 5.1)</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24.1*</w:t>
            </w:r>
          </w:p>
        </w:tc>
        <w:tc>
          <w:tcPr>
            <w:tcW w:w="540" w:type="dxa"/>
            <w:vAlign w:val="bottom"/>
          </w:tcPr>
          <w:p>
            <w:pPr>
              <w:spacing w:after="0"/>
              <w:rPr>
                <w:sz w:val="24"/>
                <w:szCs w:val="24"/>
                <w:color w:val="auto"/>
              </w:rPr>
            </w:pPr>
          </w:p>
        </w:tc>
        <w:tc>
          <w:tcPr>
            <w:tcW w:w="994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Power of Attorney (included on the signature pages of this registration statement)</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60" w:type="dxa"/>
            <w:vAlign w:val="bottom"/>
            <w:gridSpan w:val="4"/>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99.1</w:t>
            </w:r>
          </w:p>
        </w:tc>
        <w:tc>
          <w:tcPr>
            <w:tcW w:w="540" w:type="dxa"/>
            <w:vAlign w:val="bottom"/>
          </w:tcPr>
          <w:p>
            <w:pPr>
              <w:spacing w:after="0"/>
              <w:rPr>
                <w:sz w:val="24"/>
                <w:szCs w:val="24"/>
                <w:color w:val="auto"/>
              </w:rPr>
            </w:pPr>
          </w:p>
        </w:tc>
        <w:tc>
          <w:tcPr>
            <w:tcW w:w="9840" w:type="dxa"/>
            <w:vAlign w:val="bottom"/>
            <w:tcBorders>
              <w:bottom w:val="single" w:sz="8" w:color="0000EE"/>
            </w:tcBorders>
            <w:gridSpan w:val="14"/>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2019 Stock Incentive Plan (incorporated by reference to Exhibit 10.6 to Amendment No. 1 to the Registrant’s Registration Statement on</w:t>
              </w:r>
            </w:hyperlink>
          </w:p>
        </w:tc>
        <w:tc>
          <w:tcPr>
            <w:tcW w:w="10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gridSpan w:val="15"/>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Form S-1 (File No. 333-232260) filed with the Securities and Exchange Commission on July 8, 2019)</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380" w:type="dxa"/>
            <w:vAlign w:val="bottom"/>
            <w:gridSpan w:val="8"/>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99.2</w:t>
            </w:r>
          </w:p>
        </w:tc>
        <w:tc>
          <w:tcPr>
            <w:tcW w:w="540" w:type="dxa"/>
            <w:vAlign w:val="bottom"/>
          </w:tcPr>
          <w:p>
            <w:pPr>
              <w:spacing w:after="0"/>
              <w:rPr>
                <w:sz w:val="24"/>
                <w:szCs w:val="24"/>
                <w:color w:val="auto"/>
              </w:rPr>
            </w:pPr>
          </w:p>
        </w:tc>
        <w:tc>
          <w:tcPr>
            <w:tcW w:w="9940" w:type="dxa"/>
            <w:vAlign w:val="bottom"/>
            <w:gridSpan w:val="15"/>
          </w:tcPr>
          <w:p>
            <w:pPr>
              <w:spacing w:after="0"/>
              <w:rPr>
                <w:rFonts w:ascii="Arial" w:cs="Arial" w:eastAsia="Arial" w:hAnsi="Arial"/>
                <w:sz w:val="18"/>
                <w:szCs w:val="18"/>
                <w:color w:val="0000EE"/>
                <w:w w:val="94"/>
              </w:rPr>
            </w:pPr>
            <w:hyperlink r:id="rId23">
              <w:r>
                <w:rPr>
                  <w:rFonts w:ascii="Arial" w:cs="Arial" w:eastAsia="Arial" w:hAnsi="Arial"/>
                  <w:sz w:val="18"/>
                  <w:szCs w:val="18"/>
                  <w:color w:val="0000EE"/>
                  <w:w w:val="94"/>
                </w:rPr>
                <w:t>2019 Employee Stock Purchase Plan (incorporated by reference to Exhibit 10.8 to Amendment No. 1 to the Registrant’s Registration</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23">
              <w:r>
                <w:rPr>
                  <w:rFonts w:ascii="Arial" w:cs="Arial" w:eastAsia="Arial" w:hAnsi="Arial"/>
                  <w:sz w:val="18"/>
                  <w:szCs w:val="18"/>
                  <w:color w:val="0000EE"/>
                  <w:w w:val="91"/>
                </w:rPr>
                <w:t>Statement on Form S-1 (File No. 333-232260) filed with the Securities and Exchange Commission on July 8, 2019)</w:t>
              </w:r>
            </w:hyperlink>
          </w:p>
        </w:tc>
        <w:tc>
          <w:tcPr>
            <w:tcW w:w="1220" w:type="dxa"/>
            <w:vAlign w:val="bottom"/>
            <w:tcBorders>
              <w:top w:val="single" w:sz="8" w:color="0000EE"/>
            </w:tcBorders>
            <w:gridSpan w:val="3"/>
          </w:tcPr>
          <w:p>
            <w:pPr>
              <w:spacing w:after="0"/>
              <w:rPr>
                <w:sz w:val="17"/>
                <w:szCs w:val="17"/>
                <w:color w:val="auto"/>
              </w:rPr>
            </w:pPr>
          </w:p>
        </w:tc>
        <w:tc>
          <w:tcPr>
            <w:tcW w:w="340" w:type="dxa"/>
            <w:vAlign w:val="bottom"/>
            <w:gridSpan w:val="2"/>
          </w:tcPr>
          <w:p>
            <w:pPr>
              <w:spacing w:after="0"/>
              <w:rPr>
                <w:sz w:val="17"/>
                <w:szCs w:val="17"/>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99.3</w:t>
            </w:r>
          </w:p>
        </w:tc>
        <w:tc>
          <w:tcPr>
            <w:tcW w:w="540" w:type="dxa"/>
            <w:vAlign w:val="bottom"/>
          </w:tcPr>
          <w:p>
            <w:pPr>
              <w:spacing w:after="0"/>
              <w:rPr>
                <w:sz w:val="24"/>
                <w:szCs w:val="24"/>
                <w:color w:val="auto"/>
              </w:rPr>
            </w:pPr>
          </w:p>
        </w:tc>
        <w:tc>
          <w:tcPr>
            <w:tcW w:w="9240" w:type="dxa"/>
            <w:vAlign w:val="bottom"/>
            <w:tcBorders>
              <w:bottom w:val="single" w:sz="8" w:color="0000EE"/>
            </w:tcBorders>
            <w:gridSpan w:val="11"/>
          </w:tcPr>
          <w:p>
            <w:pPr>
              <w:spacing w:after="0"/>
              <w:rPr>
                <w:rFonts w:ascii="Arial" w:cs="Arial" w:eastAsia="Arial" w:hAnsi="Arial"/>
                <w:sz w:val="18"/>
                <w:szCs w:val="18"/>
                <w:color w:val="0000EE"/>
                <w:w w:val="91"/>
              </w:rPr>
            </w:pPr>
            <w:hyperlink r:id="rId24">
              <w:r>
                <w:rPr>
                  <w:rFonts w:ascii="Arial" w:cs="Arial" w:eastAsia="Arial" w:hAnsi="Arial"/>
                  <w:sz w:val="18"/>
                  <w:szCs w:val="18"/>
                  <w:color w:val="0000EE"/>
                  <w:w w:val="91"/>
                </w:rPr>
                <w:t>Form of Inducement Stock Option Agreement (incorporated by reference to Exhibit 10.1 to the Registrant’s Quarterly Report on</w:t>
              </w:r>
            </w:hyperlink>
          </w:p>
        </w:tc>
        <w:tc>
          <w:tcPr>
            <w:tcW w:w="700" w:type="dxa"/>
            <w:vAlign w:val="bottom"/>
            <w:gridSpan w:val="4"/>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gridSpan w:val="15"/>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Form 10-Q (File No. 001-38978) filed with the Securities and Exchange Commission on November 4, 2021)</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9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0980"/>
          </w:cols>
          <w:pgMar w:left="440" w:top="274" w:right="47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 Undertakings.</w:t>
      </w:r>
    </w:p>
    <w:p>
      <w:pPr>
        <w:spacing w:after="0" w:line="121" w:lineRule="exact"/>
        <w:rPr>
          <w:sz w:val="20"/>
          <w:szCs w:val="20"/>
          <w:color w:val="auto"/>
        </w:rPr>
      </w:pPr>
    </w:p>
    <w:p>
      <w:pPr>
        <w:ind w:left="1280" w:hanging="844"/>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1640" w:hanging="212"/>
        <w:spacing w:after="0"/>
        <w:tabs>
          <w:tab w:leader="none" w:pos="164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right="20" w:firstLine="1428"/>
        <w:spacing w:after="0" w:line="263" w:lineRule="auto"/>
        <w:tabs>
          <w:tab w:leader="none" w:pos="1697"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83" w:lineRule="exact"/>
        <w:rPr>
          <w:rFonts w:ascii="Arial" w:cs="Arial" w:eastAsia="Arial" w:hAnsi="Arial"/>
          <w:sz w:val="18"/>
          <w:szCs w:val="18"/>
          <w:color w:val="auto"/>
        </w:rPr>
      </w:pPr>
    </w:p>
    <w:p>
      <w:pPr>
        <w:ind w:right="20" w:firstLine="1428"/>
        <w:spacing w:after="0" w:line="277" w:lineRule="auto"/>
        <w:tabs>
          <w:tab w:leader="none" w:pos="1747"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(i) and (ii) do not apply if the information required to be included in a post-effective amendment by those paragraphs</w:t>
      </w:r>
      <w:r>
        <w:rPr>
          <w:rFonts w:ascii="Arial" w:cs="Arial" w:eastAsia="Arial" w:hAnsi="Arial"/>
          <w:sz w:val="18"/>
          <w:szCs w:val="18"/>
          <w:i w:val="1"/>
          <w:iCs w:val="1"/>
          <w:color w:val="auto"/>
        </w:rPr>
        <w:t xml:space="preserve"> </w:t>
      </w:r>
      <w:r>
        <w:rPr>
          <w:rFonts w:ascii="Arial" w:cs="Arial" w:eastAsia="Arial" w:hAnsi="Arial"/>
          <w:sz w:val="18"/>
          <w:szCs w:val="18"/>
          <w:color w:val="auto"/>
        </w:rPr>
        <w:t>is contained in reports filed with or furnished to the Commission by the registrant pursuant to Section 13 or Section 15(d) of the Exchange Act that are incorporated by reference in the registration statement.</w:t>
      </w:r>
    </w:p>
    <w:p>
      <w:pPr>
        <w:spacing w:after="0" w:line="184" w:lineRule="exact"/>
        <w:rPr>
          <w:sz w:val="20"/>
          <w:szCs w:val="20"/>
          <w:color w:val="auto"/>
        </w:rPr>
      </w:pPr>
    </w:p>
    <w:p>
      <w:pPr>
        <w:ind w:right="20" w:firstLine="987"/>
        <w:spacing w:after="0" w:line="263" w:lineRule="auto"/>
        <w:tabs>
          <w:tab w:leader="none" w:pos="1246"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3" w:lineRule="exact"/>
        <w:rPr>
          <w:rFonts w:ascii="Arial" w:cs="Arial" w:eastAsia="Arial" w:hAnsi="Arial"/>
          <w:sz w:val="18"/>
          <w:szCs w:val="18"/>
          <w:color w:val="auto"/>
        </w:rPr>
      </w:pPr>
    </w:p>
    <w:p>
      <w:pPr>
        <w:ind w:right="80" w:firstLine="987"/>
        <w:spacing w:after="0" w:line="277" w:lineRule="auto"/>
        <w:tabs>
          <w:tab w:leader="none" w:pos="1246"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20" w:firstLine="436"/>
        <w:spacing w:after="0" w:line="259" w:lineRule="auto"/>
        <w:tabs>
          <w:tab w:leader="none" w:pos="129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6" w:lineRule="exact"/>
        <w:rPr>
          <w:rFonts w:ascii="Arial" w:cs="Arial" w:eastAsia="Arial" w:hAnsi="Arial"/>
          <w:sz w:val="18"/>
          <w:szCs w:val="18"/>
          <w:color w:val="auto"/>
        </w:rPr>
      </w:pPr>
    </w:p>
    <w:p>
      <w:pPr>
        <w:ind w:firstLine="436"/>
        <w:spacing w:after="0" w:line="271" w:lineRule="auto"/>
        <w:tabs>
          <w:tab w:leader="none" w:pos="129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0"/>
          </w:cols>
          <w:pgMar w:left="440" w:top="270" w:right="45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26</w:t>
      </w:r>
      <w:r>
        <w:rPr>
          <w:rFonts w:ascii="Arial" w:cs="Arial" w:eastAsia="Arial" w:hAnsi="Arial"/>
          <w:sz w:val="14"/>
          <w:szCs w:val="14"/>
          <w:color w:val="auto"/>
        </w:rPr>
        <w:t>th</w:t>
      </w:r>
      <w:r>
        <w:rPr>
          <w:rFonts w:ascii="Arial" w:cs="Arial" w:eastAsia="Arial" w:hAnsi="Arial"/>
          <w:sz w:val="17"/>
          <w:szCs w:val="17"/>
          <w:color w:val="auto"/>
        </w:rPr>
        <w:t xml:space="preserve"> day of January, 2022.</w:t>
      </w:r>
    </w:p>
    <w:p>
      <w:pPr>
        <w:spacing w:after="0" w:line="19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Bryan E.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Bryan E. Stuart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the undersigned officers and directors of Fulcrum Therapeutics, Inc., hereby severally constitute and appoint Bryan E. Stuart, Esther Rajavelu and Curtis Oltmans,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Fulcrum Therapeutics,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gridSpan w:val="2"/>
          </w:tcPr>
          <w:p>
            <w:pPr>
              <w:ind w:left="1800"/>
              <w:spacing w:after="0"/>
              <w:rPr>
                <w:sz w:val="20"/>
                <w:szCs w:val="20"/>
                <w:color w:val="auto"/>
              </w:rPr>
            </w:pPr>
            <w:r>
              <w:rPr>
                <w:rFonts w:ascii="Arial" w:cs="Arial" w:eastAsia="Arial" w:hAnsi="Arial"/>
                <w:sz w:val="14"/>
                <w:szCs w:val="14"/>
                <w:b w:val="1"/>
                <w:bCs w:val="1"/>
                <w:color w:val="auto"/>
                <w:w w:val="89"/>
              </w:rPr>
              <w:t>Signature</w:t>
            </w:r>
          </w:p>
        </w:tc>
        <w:tc>
          <w:tcPr>
            <w:tcW w:w="1780" w:type="dxa"/>
            <w:vAlign w:val="bottom"/>
          </w:tcPr>
          <w:p>
            <w:pPr>
              <w:spacing w:after="0"/>
              <w:rPr>
                <w:sz w:val="14"/>
                <w:szCs w:val="14"/>
                <w:color w:val="auto"/>
              </w:rPr>
            </w:pPr>
          </w:p>
        </w:tc>
        <w:tc>
          <w:tcPr>
            <w:tcW w:w="4440" w:type="dxa"/>
            <w:vAlign w:val="bottom"/>
            <w:gridSpan w:val="3"/>
          </w:tcPr>
          <w:p>
            <w:pPr>
              <w:ind w:left="2400"/>
              <w:spacing w:after="0"/>
              <w:rPr>
                <w:sz w:val="20"/>
                <w:szCs w:val="20"/>
                <w:color w:val="auto"/>
              </w:rPr>
            </w:pPr>
            <w:r>
              <w:rPr>
                <w:rFonts w:ascii="Arial" w:cs="Arial" w:eastAsia="Arial" w:hAnsi="Arial"/>
                <w:sz w:val="14"/>
                <w:szCs w:val="14"/>
                <w:b w:val="1"/>
                <w:bCs w:val="1"/>
                <w:color w:val="auto"/>
              </w:rPr>
              <w:t>Title</w:t>
            </w:r>
          </w:p>
        </w:tc>
        <w:tc>
          <w:tcPr>
            <w:tcW w:w="1360" w:type="dxa"/>
            <w:vAlign w:val="bottom"/>
          </w:tcPr>
          <w:p>
            <w:pPr>
              <w:spacing w:after="0"/>
              <w:rPr>
                <w:sz w:val="14"/>
                <w:szCs w:val="14"/>
                <w:color w:val="auto"/>
              </w:rPr>
            </w:pPr>
          </w:p>
        </w:tc>
        <w:tc>
          <w:tcPr>
            <w:tcW w:w="7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25"/>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 E. Stuart</w:t>
            </w:r>
          </w:p>
        </w:tc>
        <w:tc>
          <w:tcPr>
            <w:tcW w:w="6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44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 Officer, Director</w:t>
            </w:r>
          </w:p>
        </w:tc>
        <w:tc>
          <w:tcPr>
            <w:tcW w:w="2140" w:type="dxa"/>
            <w:vAlign w:val="bottom"/>
            <w:gridSpan w:val="3"/>
          </w:tcPr>
          <w:p>
            <w:pPr>
              <w:jc w:val="center"/>
              <w:ind w:left="810"/>
              <w:spacing w:after="0"/>
              <w:rPr>
                <w:sz w:val="20"/>
                <w:szCs w:val="20"/>
                <w:color w:val="auto"/>
              </w:rPr>
            </w:pPr>
            <w:r>
              <w:rPr>
                <w:rFonts w:ascii="Arial" w:cs="Arial" w:eastAsia="Arial" w:hAnsi="Arial"/>
                <w:sz w:val="18"/>
                <w:szCs w:val="18"/>
                <w:color w:val="auto"/>
                <w:w w:val="89"/>
              </w:rPr>
              <w:t>January 26, 2022</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Bryan E. Stuart</w:t>
            </w:r>
          </w:p>
        </w:tc>
        <w:tc>
          <w:tcPr>
            <w:tcW w:w="1780" w:type="dxa"/>
            <w:vAlign w:val="bottom"/>
          </w:tcPr>
          <w:p>
            <w:pPr>
              <w:spacing w:after="0"/>
              <w:rPr>
                <w:sz w:val="19"/>
                <w:szCs w:val="19"/>
                <w:color w:val="auto"/>
              </w:rPr>
            </w:pPr>
          </w:p>
        </w:tc>
        <w:tc>
          <w:tcPr>
            <w:tcW w:w="444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Esther Rajavelu</w:t>
            </w:r>
          </w:p>
        </w:tc>
        <w:tc>
          <w:tcPr>
            <w:tcW w:w="1780" w:type="dxa"/>
            <w:vAlign w:val="bottom"/>
            <w:tcBorders>
              <w:bottom w:val="single" w:sz="8" w:color="auto"/>
            </w:tcBorders>
          </w:tcPr>
          <w:p>
            <w:pPr>
              <w:spacing w:after="0"/>
              <w:rPr>
                <w:sz w:val="24"/>
                <w:szCs w:val="24"/>
                <w:color w:val="auto"/>
              </w:rPr>
            </w:pPr>
          </w:p>
        </w:tc>
        <w:tc>
          <w:tcPr>
            <w:tcW w:w="444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140" w:type="dxa"/>
            <w:vAlign w:val="bottom"/>
            <w:gridSpan w:val="3"/>
          </w:tcPr>
          <w:p>
            <w:pPr>
              <w:jc w:val="center"/>
              <w:ind w:left="810"/>
              <w:spacing w:after="0"/>
              <w:rPr>
                <w:sz w:val="20"/>
                <w:szCs w:val="20"/>
                <w:color w:val="auto"/>
              </w:rPr>
            </w:pPr>
            <w:r>
              <w:rPr>
                <w:rFonts w:ascii="Arial" w:cs="Arial" w:eastAsia="Arial" w:hAnsi="Arial"/>
                <w:sz w:val="18"/>
                <w:szCs w:val="18"/>
                <w:color w:val="auto"/>
                <w:w w:val="89"/>
              </w:rPr>
              <w:t>January 26, 2022</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Esther Rajavelu</w:t>
            </w:r>
          </w:p>
        </w:tc>
        <w:tc>
          <w:tcPr>
            <w:tcW w:w="1780" w:type="dxa"/>
            <w:vAlign w:val="bottom"/>
          </w:tcPr>
          <w:p>
            <w:pPr>
              <w:spacing w:after="0"/>
              <w:rPr>
                <w:sz w:val="19"/>
                <w:szCs w:val="19"/>
                <w:color w:val="auto"/>
              </w:rPr>
            </w:pPr>
          </w:p>
        </w:tc>
        <w:tc>
          <w:tcPr>
            <w:tcW w:w="444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Peter Thomson</w:t>
            </w:r>
          </w:p>
        </w:tc>
        <w:tc>
          <w:tcPr>
            <w:tcW w:w="1780" w:type="dxa"/>
            <w:vAlign w:val="bottom"/>
            <w:tcBorders>
              <w:bottom w:val="single" w:sz="8" w:color="auto"/>
            </w:tcBorders>
          </w:tcPr>
          <w:p>
            <w:pPr>
              <w:spacing w:after="0"/>
              <w:rPr>
                <w:sz w:val="24"/>
                <w:szCs w:val="24"/>
                <w:color w:val="auto"/>
              </w:rPr>
            </w:pPr>
          </w:p>
        </w:tc>
        <w:tc>
          <w:tcPr>
            <w:tcW w:w="4440" w:type="dxa"/>
            <w:vAlign w:val="bottom"/>
            <w:gridSpan w:val="3"/>
          </w:tcPr>
          <w:p>
            <w:pPr>
              <w:ind w:left="120"/>
              <w:spacing w:after="0"/>
              <w:rPr>
                <w:sz w:val="20"/>
                <w:szCs w:val="20"/>
                <w:color w:val="auto"/>
              </w:rPr>
            </w:pPr>
            <w:r>
              <w:rPr>
                <w:rFonts w:ascii="Arial" w:cs="Arial" w:eastAsia="Arial" w:hAnsi="Arial"/>
                <w:sz w:val="18"/>
                <w:szCs w:val="18"/>
                <w:color w:val="auto"/>
              </w:rPr>
              <w:t>Vice President, Finance &amp; Accounting</w:t>
            </w:r>
          </w:p>
        </w:tc>
        <w:tc>
          <w:tcPr>
            <w:tcW w:w="2140" w:type="dxa"/>
            <w:vAlign w:val="bottom"/>
            <w:gridSpan w:val="3"/>
          </w:tcPr>
          <w:p>
            <w:pPr>
              <w:jc w:val="center"/>
              <w:ind w:left="810"/>
              <w:spacing w:after="0"/>
              <w:rPr>
                <w:sz w:val="20"/>
                <w:szCs w:val="20"/>
                <w:color w:val="auto"/>
              </w:rPr>
            </w:pPr>
            <w:r>
              <w:rPr>
                <w:rFonts w:ascii="Arial" w:cs="Arial" w:eastAsia="Arial" w:hAnsi="Arial"/>
                <w:sz w:val="18"/>
                <w:szCs w:val="18"/>
                <w:color w:val="auto"/>
                <w:w w:val="89"/>
              </w:rPr>
              <w:t>January 26, 2022</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Peter Thomson</w:t>
            </w:r>
          </w:p>
        </w:tc>
        <w:tc>
          <w:tcPr>
            <w:tcW w:w="1780" w:type="dxa"/>
            <w:vAlign w:val="bottom"/>
          </w:tcPr>
          <w:p>
            <w:pPr>
              <w:spacing w:after="0"/>
              <w:rPr>
                <w:sz w:val="19"/>
                <w:szCs w:val="19"/>
                <w:color w:val="auto"/>
              </w:rPr>
            </w:pPr>
          </w:p>
        </w:tc>
        <w:tc>
          <w:tcPr>
            <w:tcW w:w="444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Kate Haviland</w:t>
            </w:r>
          </w:p>
        </w:tc>
        <w:tc>
          <w:tcPr>
            <w:tcW w:w="1780" w:type="dxa"/>
            <w:vAlign w:val="bottom"/>
            <w:tcBorders>
              <w:bottom w:val="single" w:sz="8" w:color="auto"/>
            </w:tcBorders>
          </w:tcPr>
          <w:p>
            <w:pPr>
              <w:spacing w:after="0"/>
              <w:rPr>
                <w:sz w:val="24"/>
                <w:szCs w:val="24"/>
                <w:color w:val="auto"/>
              </w:rPr>
            </w:pPr>
          </w:p>
        </w:tc>
        <w:tc>
          <w:tcPr>
            <w:tcW w:w="4440" w:type="dxa"/>
            <w:vAlign w:val="bottom"/>
            <w:gridSpan w:val="3"/>
          </w:tcPr>
          <w:p>
            <w:pPr>
              <w:ind w:left="120"/>
              <w:spacing w:after="0"/>
              <w:rPr>
                <w:sz w:val="20"/>
                <w:szCs w:val="20"/>
                <w:color w:val="auto"/>
              </w:rPr>
            </w:pPr>
            <w:r>
              <w:rPr>
                <w:rFonts w:ascii="Arial" w:cs="Arial" w:eastAsia="Arial" w:hAnsi="Arial"/>
                <w:sz w:val="18"/>
                <w:szCs w:val="18"/>
                <w:color w:val="auto"/>
              </w:rPr>
              <w:t>Chairman of the Board</w:t>
            </w:r>
          </w:p>
        </w:tc>
        <w:tc>
          <w:tcPr>
            <w:tcW w:w="2140" w:type="dxa"/>
            <w:vAlign w:val="bottom"/>
            <w:gridSpan w:val="3"/>
          </w:tcPr>
          <w:p>
            <w:pPr>
              <w:jc w:val="center"/>
              <w:ind w:left="810"/>
              <w:spacing w:after="0"/>
              <w:rPr>
                <w:sz w:val="20"/>
                <w:szCs w:val="20"/>
                <w:color w:val="auto"/>
              </w:rPr>
            </w:pPr>
            <w:r>
              <w:rPr>
                <w:rFonts w:ascii="Arial" w:cs="Arial" w:eastAsia="Arial" w:hAnsi="Arial"/>
                <w:sz w:val="18"/>
                <w:szCs w:val="18"/>
                <w:color w:val="auto"/>
                <w:w w:val="89"/>
              </w:rPr>
              <w:t>January 26, 2022</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Kate Haviland</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Sonja Banks</w:t>
            </w:r>
          </w:p>
        </w:tc>
        <w:tc>
          <w:tcPr>
            <w:tcW w:w="1780" w:type="dxa"/>
            <w:vAlign w:val="bottom"/>
            <w:tcBorders>
              <w:bottom w:val="single" w:sz="8" w:color="auto"/>
            </w:tcBorders>
          </w:tcPr>
          <w:p>
            <w:pPr>
              <w:spacing w:after="0"/>
              <w:rPr>
                <w:sz w:val="24"/>
                <w:szCs w:val="24"/>
                <w:color w:val="auto"/>
              </w:rPr>
            </w:pPr>
          </w:p>
        </w:tc>
        <w:tc>
          <w:tcPr>
            <w:tcW w:w="44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810"/>
              <w:spacing w:after="0"/>
              <w:rPr>
                <w:sz w:val="20"/>
                <w:szCs w:val="20"/>
                <w:color w:val="auto"/>
              </w:rPr>
            </w:pPr>
            <w:r>
              <w:rPr>
                <w:rFonts w:ascii="Arial" w:cs="Arial" w:eastAsia="Arial" w:hAnsi="Arial"/>
                <w:sz w:val="18"/>
                <w:szCs w:val="18"/>
                <w:color w:val="auto"/>
                <w:w w:val="89"/>
              </w:rPr>
              <w:t>January 26, 2022</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Sonja Banks</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J. Collins</w:t>
            </w:r>
          </w:p>
        </w:tc>
        <w:tc>
          <w:tcPr>
            <w:tcW w:w="1780" w:type="dxa"/>
            <w:vAlign w:val="bottom"/>
            <w:tcBorders>
              <w:bottom w:val="single" w:sz="8" w:color="auto"/>
            </w:tcBorders>
          </w:tcPr>
          <w:p>
            <w:pPr>
              <w:spacing w:after="0"/>
              <w:rPr>
                <w:sz w:val="24"/>
                <w:szCs w:val="24"/>
                <w:color w:val="auto"/>
              </w:rPr>
            </w:pPr>
          </w:p>
        </w:tc>
        <w:tc>
          <w:tcPr>
            <w:tcW w:w="44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810"/>
              <w:spacing w:after="0"/>
              <w:rPr>
                <w:sz w:val="20"/>
                <w:szCs w:val="20"/>
                <w:color w:val="auto"/>
              </w:rPr>
            </w:pPr>
            <w:r>
              <w:rPr>
                <w:rFonts w:ascii="Arial" w:cs="Arial" w:eastAsia="Arial" w:hAnsi="Arial"/>
                <w:sz w:val="18"/>
                <w:szCs w:val="18"/>
                <w:color w:val="auto"/>
                <w:w w:val="89"/>
              </w:rPr>
              <w:t>January 26, 2022</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James J. Collins, Ph.D.</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ectPr>
          <w:pgSz w:w="11900" w:h="16838" w:orient="portrait"/>
          <w:cols w:equalWidth="0" w:num="1">
            <w:col w:w="10920"/>
          </w:cols>
          <w:pgMar w:left="440" w:top="270" w:right="5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Katina Dorton</w:t>
            </w:r>
          </w:p>
        </w:tc>
        <w:tc>
          <w:tcPr>
            <w:tcW w:w="30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320"/>
              <w:spacing w:after="0"/>
              <w:rPr>
                <w:sz w:val="20"/>
                <w:szCs w:val="20"/>
                <w:color w:val="auto"/>
              </w:rPr>
            </w:pPr>
            <w:r>
              <w:rPr>
                <w:rFonts w:ascii="Arial" w:cs="Arial" w:eastAsia="Arial" w:hAnsi="Arial"/>
                <w:sz w:val="18"/>
                <w:szCs w:val="18"/>
                <w:color w:val="auto"/>
                <w:w w:val="87"/>
              </w:rPr>
              <w:t>January 26,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Katina Dorton</w:t>
            </w:r>
          </w:p>
        </w:tc>
        <w:tc>
          <w:tcPr>
            <w:tcW w:w="302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Ezekowitz</w:t>
            </w:r>
          </w:p>
        </w:tc>
        <w:tc>
          <w:tcPr>
            <w:tcW w:w="30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320"/>
              <w:spacing w:after="0"/>
              <w:rPr>
                <w:sz w:val="20"/>
                <w:szCs w:val="20"/>
                <w:color w:val="auto"/>
              </w:rPr>
            </w:pPr>
            <w:r>
              <w:rPr>
                <w:rFonts w:ascii="Arial" w:cs="Arial" w:eastAsia="Arial" w:hAnsi="Arial"/>
                <w:sz w:val="18"/>
                <w:szCs w:val="18"/>
                <w:color w:val="auto"/>
                <w:w w:val="87"/>
              </w:rPr>
              <w:t>January 26,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Alan Ezekowitz, MBChB, D. Phil</w:t>
            </w:r>
          </w:p>
        </w:tc>
        <w:tc>
          <w:tcPr>
            <w:tcW w:w="302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Geraghty</w:t>
            </w:r>
          </w:p>
        </w:tc>
        <w:tc>
          <w:tcPr>
            <w:tcW w:w="30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320"/>
              <w:spacing w:after="0"/>
              <w:rPr>
                <w:sz w:val="20"/>
                <w:szCs w:val="20"/>
                <w:color w:val="auto"/>
              </w:rPr>
            </w:pPr>
            <w:r>
              <w:rPr>
                <w:rFonts w:ascii="Arial" w:cs="Arial" w:eastAsia="Arial" w:hAnsi="Arial"/>
                <w:sz w:val="18"/>
                <w:szCs w:val="18"/>
                <w:color w:val="auto"/>
                <w:w w:val="87"/>
              </w:rPr>
              <w:t>January 26,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James Geraghty</w:t>
            </w:r>
          </w:p>
        </w:tc>
        <w:tc>
          <w:tcPr>
            <w:tcW w:w="302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Gould</w:t>
            </w:r>
          </w:p>
        </w:tc>
        <w:tc>
          <w:tcPr>
            <w:tcW w:w="30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320"/>
              <w:spacing w:after="0"/>
              <w:rPr>
                <w:sz w:val="20"/>
                <w:szCs w:val="20"/>
                <w:color w:val="auto"/>
              </w:rPr>
            </w:pPr>
            <w:r>
              <w:rPr>
                <w:rFonts w:ascii="Arial" w:cs="Arial" w:eastAsia="Arial" w:hAnsi="Arial"/>
                <w:sz w:val="18"/>
                <w:szCs w:val="18"/>
                <w:color w:val="auto"/>
                <w:w w:val="87"/>
              </w:rPr>
              <w:t>January 26,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Robert J. Gould</w:t>
            </w:r>
          </w:p>
        </w:tc>
        <w:tc>
          <w:tcPr>
            <w:tcW w:w="302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Levin</w:t>
            </w:r>
          </w:p>
        </w:tc>
        <w:tc>
          <w:tcPr>
            <w:tcW w:w="30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320"/>
              <w:spacing w:after="0"/>
              <w:rPr>
                <w:sz w:val="20"/>
                <w:szCs w:val="20"/>
                <w:color w:val="auto"/>
              </w:rPr>
            </w:pPr>
            <w:r>
              <w:rPr>
                <w:rFonts w:ascii="Arial" w:cs="Arial" w:eastAsia="Arial" w:hAnsi="Arial"/>
                <w:sz w:val="18"/>
                <w:szCs w:val="18"/>
                <w:color w:val="auto"/>
                <w:w w:val="87"/>
              </w:rPr>
              <w:t>January 26,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Mark Levin</w:t>
            </w:r>
          </w:p>
        </w:tc>
        <w:tc>
          <w:tcPr>
            <w:tcW w:w="3020" w:type="dxa"/>
            <w:vAlign w:val="bottom"/>
          </w:tcPr>
          <w:p>
            <w:pPr>
              <w:spacing w:after="0"/>
              <w:rPr>
                <w:sz w:val="19"/>
                <w:szCs w:val="19"/>
                <w:color w:val="auto"/>
              </w:rPr>
            </w:pPr>
          </w:p>
        </w:tc>
        <w:tc>
          <w:tcPr>
            <w:tcW w:w="3560" w:type="dxa"/>
            <w:vAlign w:val="bottom"/>
          </w:tcPr>
          <w:p>
            <w:pPr>
              <w:spacing w:after="0"/>
              <w:rPr>
                <w:sz w:val="19"/>
                <w:szCs w:val="19"/>
                <w:color w:val="auto"/>
              </w:rPr>
            </w:pPr>
          </w:p>
        </w:tc>
      </w:tr>
    </w:tbl>
    <w:p>
      <w:pPr>
        <w:sectPr>
          <w:pgSz w:w="11900" w:h="16838" w:orient="portrait"/>
          <w:cols w:equalWidth="0" w:num="1">
            <w:col w:w="10760"/>
          </w:cols>
          <w:pgMar w:left="440" w:top="490" w:right="69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5020" w:type="dxa"/>
            <w:vAlign w:val="bottom"/>
          </w:tcPr>
          <w:p>
            <w:pPr>
              <w:jc w:val="right"/>
              <w:spacing w:after="0"/>
              <w:rPr>
                <w:sz w:val="20"/>
                <w:szCs w:val="20"/>
                <w:color w:val="auto"/>
              </w:rPr>
            </w:pPr>
            <w:r>
              <w:rPr>
                <w:rFonts w:ascii="Arial" w:cs="Arial" w:eastAsia="Arial" w:hAnsi="Arial"/>
                <w:sz w:val="18"/>
                <w:szCs w:val="18"/>
                <w:b w:val="1"/>
                <w:bCs w:val="1"/>
                <w:color w:val="auto"/>
              </w:rPr>
              <w:t>Exhibit 5.1</w:t>
            </w:r>
          </w:p>
        </w:tc>
      </w:tr>
      <w:tr>
        <w:trPr>
          <w:trHeight w:val="904"/>
        </w:trPr>
        <w:tc>
          <w:tcPr>
            <w:tcW w:w="6000" w:type="dxa"/>
            <w:vAlign w:val="bottom"/>
          </w:tcPr>
          <w:p>
            <w:pPr>
              <w:spacing w:after="0"/>
              <w:rPr>
                <w:sz w:val="20"/>
                <w:szCs w:val="20"/>
                <w:color w:val="auto"/>
              </w:rPr>
            </w:pPr>
            <w:r>
              <w:rPr>
                <w:rFonts w:ascii="Arial" w:cs="Arial" w:eastAsia="Arial" w:hAnsi="Arial"/>
                <w:sz w:val="18"/>
                <w:szCs w:val="18"/>
                <w:color w:val="auto"/>
              </w:rPr>
              <w:t>January 26, 2022</w:t>
            </w:r>
          </w:p>
        </w:tc>
        <w:tc>
          <w:tcPr>
            <w:tcW w:w="5020" w:type="dxa"/>
            <w:vAlign w:val="bottom"/>
          </w:tcPr>
          <w:p>
            <w:pPr>
              <w:spacing w:after="0"/>
              <w:rPr>
                <w:sz w:val="24"/>
                <w:szCs w:val="24"/>
                <w:color w:val="auto"/>
              </w:rPr>
            </w:pPr>
          </w:p>
        </w:tc>
      </w:tr>
      <w:tr>
        <w:trPr>
          <w:trHeight w:val="445"/>
        </w:trPr>
        <w:tc>
          <w:tcPr>
            <w:tcW w:w="6000" w:type="dxa"/>
            <w:vAlign w:val="bottom"/>
          </w:tcPr>
          <w:p>
            <w:pPr>
              <w:spacing w:after="0"/>
              <w:rPr>
                <w:sz w:val="24"/>
                <w:szCs w:val="24"/>
                <w:color w:val="auto"/>
              </w:rPr>
            </w:pPr>
          </w:p>
        </w:tc>
        <w:tc>
          <w:tcPr>
            <w:tcW w:w="5020" w:type="dxa"/>
            <w:vAlign w:val="bottom"/>
          </w:tcPr>
          <w:p>
            <w:pPr>
              <w:jc w:val="right"/>
              <w:spacing w:after="0"/>
              <w:rPr>
                <w:sz w:val="20"/>
                <w:szCs w:val="20"/>
                <w:color w:val="auto"/>
              </w:rPr>
            </w:pPr>
            <w:r>
              <w:rPr>
                <w:rFonts w:ascii="Arial" w:cs="Arial" w:eastAsia="Arial" w:hAnsi="Arial"/>
                <w:sz w:val="18"/>
                <w:szCs w:val="18"/>
                <w:color w:val="auto"/>
              </w:rPr>
              <w:t>+1 617 526 6000 (t)</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Fulcrum Therapeutics, Inc.</w:t>
            </w:r>
          </w:p>
        </w:tc>
        <w:tc>
          <w:tcPr>
            <w:tcW w:w="5020" w:type="dxa"/>
            <w:vAlign w:val="bottom"/>
          </w:tcPr>
          <w:p>
            <w:pPr>
              <w:jc w:val="right"/>
              <w:spacing w:after="0"/>
              <w:rPr>
                <w:sz w:val="20"/>
                <w:szCs w:val="20"/>
                <w:color w:val="auto"/>
              </w:rPr>
            </w:pPr>
            <w:r>
              <w:rPr>
                <w:rFonts w:ascii="Arial" w:cs="Arial" w:eastAsia="Arial" w:hAnsi="Arial"/>
                <w:sz w:val="18"/>
                <w:szCs w:val="18"/>
                <w:color w:val="auto"/>
              </w:rPr>
              <w:t>+1 617 526 5000 (f)</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26 Landsdowne Street</w:t>
            </w:r>
          </w:p>
        </w:tc>
        <w:tc>
          <w:tcPr>
            <w:tcW w:w="5020" w:type="dxa"/>
            <w:vAlign w:val="bottom"/>
          </w:tcPr>
          <w:p>
            <w:pPr>
              <w:jc w:val="right"/>
              <w:spacing w:after="0"/>
              <w:rPr>
                <w:sz w:val="20"/>
                <w:szCs w:val="20"/>
                <w:color w:val="auto"/>
              </w:rPr>
            </w:pPr>
            <w:r>
              <w:rPr>
                <w:rFonts w:ascii="Arial" w:cs="Arial" w:eastAsia="Arial" w:hAnsi="Arial"/>
                <w:sz w:val="18"/>
                <w:szCs w:val="18"/>
                <w:color w:val="auto"/>
              </w:rPr>
              <w:t>wilmerhale.com</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Cambridge, Massachusetts 02139</w:t>
            </w:r>
          </w:p>
        </w:tc>
        <w:tc>
          <w:tcPr>
            <w:tcW w:w="5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5946775</wp:posOffset>
            </wp:positionH>
            <wp:positionV relativeFrom="paragraph">
              <wp:posOffset>-1122680</wp:posOffset>
            </wp:positionV>
            <wp:extent cx="104584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45845" cy="146050"/>
                    </a:xfrm>
                    <a:prstGeom prst="rect">
                      <a:avLst/>
                    </a:prstGeom>
                    <a:noFill/>
                  </pic:spPr>
                </pic:pic>
              </a:graphicData>
            </a:graphic>
          </wp:anchor>
        </w:drawing>
      </w:r>
    </w:p>
    <w:p>
      <w:pPr>
        <w:spacing w:after="0" w:line="20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2019 Stock Incentive Plan; 2019 Employee Stock Purchase Plan; Inducement Stock Option Awards (September 2021 – January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assisted in the preparation of a Registration Statement on Form S-8 (the “Registration Statement”) to be filed with the Securities and Exchange Commission (the “Commission”) under the Securities Act of 1933, as amended (the “Securities Act”), relating to (i) an aggregate of 2,031,818 shares of common stock, par value $0.001 per share (the “Plan Shares”), of Fulcrum Therapeutics, Inc., a Delaware corporation (the “Company”), issuable under the Company’s 2019 Stock Incentive Plan and 2019 Employee Stock Purchase Plan (collectively, the “Plans” and (ii) an aggregate of 398,000 shares of Common Stock (together with the Plan Shares, the “Shares”) issuable pursuant to nonstatutory stock option agreements providing for employee inducement stock option grants between the Company and various employees, which were entered into in connection with the entry into such employees’ employment with the Company pursuant to Nasdaq Stock Market Rule 5635(c)(4) (the “Inducement Award Agreements”).</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examined the Certificate of Incorporation and By-Laws of the Company, each as amended and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18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84"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We assume that the appropriate action will be taken, prior to the offer and sale of the Shares in accordance with the Plans or Inducement Award Agreements, as applicable, to register and qualify the Shares for sale under all applicable state securities or “blue sky” laws.</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express no opinion herein as to the laws of any state or jurisdiction other than the General Corporation Law of the State of Delaware and the federal laws of the United States of America.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It is understood that this opinion is to be used only in connection with the offer and sale of the Shares while the Registration Statement is in effect.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w:t>
      </w:r>
    </w:p>
    <w:p>
      <w:pPr>
        <w:sectPr>
          <w:pgSz w:w="11900" w:h="16838" w:orient="portrait"/>
          <w:cols w:equalWidth="0" w:num="1">
            <w:col w:w="11020"/>
          </w:cols>
          <w:pgMar w:left="440" w:top="121" w:right="439" w:bottom="1440" w:gutter="0" w:footer="0" w:header="0"/>
        </w:sectPr>
      </w:pPr>
    </w:p>
    <w:p>
      <w:pPr>
        <w:spacing w:after="0" w:line="385" w:lineRule="exact"/>
        <w:rPr>
          <w:sz w:val="20"/>
          <w:szCs w:val="20"/>
          <w:color w:val="auto"/>
        </w:rPr>
      </w:pPr>
    </w:p>
    <w:p>
      <w:pPr>
        <w:ind w:left="60"/>
        <w:spacing w:after="0"/>
        <w:rPr>
          <w:sz w:val="20"/>
          <w:szCs w:val="20"/>
          <w:color w:val="auto"/>
        </w:rPr>
      </w:pPr>
      <w:r>
        <w:rPr>
          <w:rFonts w:ascii="Arial" w:cs="Arial" w:eastAsia="Arial" w:hAnsi="Arial"/>
          <w:sz w:val="17"/>
          <w:szCs w:val="17"/>
          <w:color w:val="auto"/>
        </w:rPr>
        <w:t>Beijing</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Berlin</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Boston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Wilmer Cutler Pickering Hale and Dorr </w:t>
      </w:r>
      <w:r>
        <w:rPr>
          <w:rFonts w:ascii="Arial" w:cs="Arial" w:eastAsia="Arial" w:hAnsi="Arial"/>
          <w:sz w:val="14"/>
          <w:szCs w:val="14"/>
          <w:color w:val="auto"/>
        </w:rPr>
        <w:t>LLP</w:t>
      </w:r>
      <w:r>
        <w:rPr>
          <w:rFonts w:ascii="Arial" w:cs="Arial" w:eastAsia="Arial" w:hAnsi="Arial"/>
          <w:sz w:val="18"/>
          <w:szCs w:val="18"/>
          <w:color w:val="auto"/>
        </w:rPr>
        <w:t>, 60 State Stree, Boston, Massachusetts 02109</w:t>
      </w:r>
    </w:p>
    <w:p>
      <w:pPr>
        <w:spacing w:after="0" w:line="23" w:lineRule="exact"/>
        <w:rPr>
          <w:sz w:val="20"/>
          <w:szCs w:val="20"/>
          <w:color w:val="auto"/>
        </w:rPr>
      </w:pPr>
    </w:p>
    <w:p>
      <w:pPr>
        <w:spacing w:after="0"/>
        <w:tabs>
          <w:tab w:leader="none" w:pos="820" w:val="left"/>
          <w:tab w:leader="none" w:pos="1580" w:val="left"/>
          <w:tab w:leader="none" w:pos="2520" w:val="left"/>
          <w:tab w:leader="none" w:pos="3340" w:val="left"/>
          <w:tab w:leader="none" w:pos="4520" w:val="left"/>
          <w:tab w:leader="none" w:pos="5520" w:val="left"/>
          <w:tab w:leader="none" w:pos="6480" w:val="left"/>
        </w:tabs>
        <w:rPr>
          <w:sz w:val="20"/>
          <w:szCs w:val="20"/>
          <w:color w:val="auto"/>
        </w:rPr>
      </w:pPr>
      <w:r>
        <w:rPr>
          <w:rFonts w:ascii="Arial" w:cs="Arial" w:eastAsia="Arial" w:hAnsi="Arial"/>
          <w:sz w:val="18"/>
          <w:szCs w:val="18"/>
          <w:color w:val="auto"/>
        </w:rPr>
        <w:t>Brussels</w:t>
        <w:tab/>
        <w:t>Denver</w:t>
        <w:tab/>
        <w:t>Frankfurt</w:t>
        <w:tab/>
        <w:t>London</w:t>
        <w:tab/>
        <w:t>Los Angeles</w:t>
      </w:r>
      <w:r>
        <w:rPr>
          <w:sz w:val="20"/>
          <w:szCs w:val="20"/>
          <w:color w:val="auto"/>
        </w:rPr>
        <w:tab/>
      </w:r>
      <w:r>
        <w:rPr>
          <w:rFonts w:ascii="Arial" w:cs="Arial" w:eastAsia="Arial" w:hAnsi="Arial"/>
          <w:sz w:val="18"/>
          <w:szCs w:val="18"/>
          <w:color w:val="auto"/>
        </w:rPr>
        <w:t>New York</w:t>
        <w:tab/>
        <w:t>Palo Alto</w:t>
      </w:r>
      <w:r>
        <w:rPr>
          <w:sz w:val="20"/>
          <w:szCs w:val="20"/>
          <w:color w:val="auto"/>
        </w:rPr>
        <w:tab/>
      </w:r>
      <w:r>
        <w:rPr>
          <w:rFonts w:ascii="Arial" w:cs="Arial" w:eastAsia="Arial" w:hAnsi="Arial"/>
          <w:sz w:val="15"/>
          <w:szCs w:val="15"/>
          <w:color w:val="auto"/>
        </w:rPr>
        <w:t>San Francisco</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auto"/>
        </w:rPr>
        <w:t>Washington</w:t>
      </w:r>
    </w:p>
    <w:p>
      <w:pPr>
        <w:sectPr>
          <w:pgSz w:w="11900" w:h="16838" w:orient="portrait"/>
          <w:cols w:equalWidth="0" w:num="5">
            <w:col w:w="580" w:space="220"/>
            <w:col w:w="460" w:space="200"/>
            <w:col w:w="520" w:space="220"/>
            <w:col w:w="7520" w:space="340"/>
            <w:col w:w="960"/>
          </w:cols>
          <w:pgMar w:left="440" w:top="121" w:right="4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January 26,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Based on the foregoing, we are of the opinion that the Shares have been duly authorized for issuance and, when the Shares are issued and paid for in accordance with the terms and conditions of the Plans or the Inducement Award Agreements, as applicable, the Shares will be validly issued, fully paid and nonassessable.</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HALE AND DORR LLP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Craig Hilts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Craig Hilts, a Partner</w:t>
      </w:r>
    </w:p>
    <w:p>
      <w:pPr>
        <w:sectPr>
          <w:pgSz w:w="11900" w:h="16838" w:orient="portrait"/>
          <w:cols w:equalWidth="0" w:num="1">
            <w:col w:w="10920"/>
          </w:cols>
          <w:pgMar w:left="440" w:top="274" w:right="5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2019 Stock Incentive Plan, 2019 Employee Stock Purchase Plan, and Inducement Stock Option Awards (September 2021 – January 2022) of Fulcrum Therapeutics, Inc. of our report dated March 4, 2021, with respect to the consolidated financial statements of Fulcrum Therapeutics, Inc. included in its Annual Report (Form 10-K) for the year ended December 31, 2020, filed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26, 2022</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3">
    <w:nsid w:val="238E1F29"/>
    <w:multiLevelType w:val="hybridMultilevel"/>
    <w:lvl w:ilvl="0">
      <w:lvlJc w:val="left"/>
      <w:lvlText w:val="%1"/>
      <w:numFmt w:val="decimal"/>
      <w:start w:val="1"/>
    </w:lvl>
    <w:lvl w:ilvl="1">
      <w:lvlJc w:val="left"/>
      <w:lvlText w:val="(%2)"/>
      <w:numFmt w:val="decimal"/>
      <w:start w:val="2"/>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jpeg"/><Relationship Id="rId30" Type="http://schemas.openxmlformats.org/officeDocument/2006/relationships/image" Target="media/image18.png"/><Relationship Id="rId31" Type="http://schemas.openxmlformats.org/officeDocument/2006/relationships/image" Target="media/image19.png"/><Relationship Id="rId20" Type="http://schemas.openxmlformats.org/officeDocument/2006/relationships/hyperlink" Target="http://www.sec.gov/Archives/edgar/data/1680581/000104746919004324/a2239321zex-3_1.htm" TargetMode="External"/><Relationship Id="rId21" Type="http://schemas.openxmlformats.org/officeDocument/2006/relationships/hyperlink" Target="http://www.sec.gov/Archives/edgar/data/1680581/000104746919004324/a2239321zex-3_2.htm" TargetMode="External"/><Relationship Id="rId22" Type="http://schemas.openxmlformats.org/officeDocument/2006/relationships/hyperlink" Target="http://www.sec.gov/Archives/edgar/data/1680581/000104746919004014/a2239182zex-10_6.htm" TargetMode="External"/><Relationship Id="rId23" Type="http://schemas.openxmlformats.org/officeDocument/2006/relationships/hyperlink" Target="http://www.sec.gov/Archives/edgar/data/1680581/000104746919004014/a2239182zex-10_8.htm" TargetMode="External"/><Relationship Id="rId24" Type="http://schemas.openxmlformats.org/officeDocument/2006/relationships/hyperlink" Target="http://www.sec.gov/Archives/edgar/data/0001680581/000156459021054234/fulc-ex101_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2022-01-27T05:26:09Z</dcterms:created>
  <dcterms:modified xsi:type="dcterms:W3CDTF">2022-01-27T05:26:09Z</dcterms:modified>
</cp:coreProperties>
</file>