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2220" w:hanging="3912"/>
        <w:spacing w:after="0" w:line="287" w:lineRule="auto"/>
        <w:tabs>
          <w:tab w:leader="none" w:pos="21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tbl>
      <w:tblPr>
        <w:tblLayout w:type="fixed"/>
        <w:tblInd w:w="2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47-4839948</w:t>
            </w:r>
          </w:p>
        </w:tc>
      </w:tr>
    </w:tbl>
    <w:p>
      <w:pPr>
        <w:spacing w:after="0" w:line="1" w:lineRule="exact"/>
        <w:rPr>
          <w:sz w:val="24"/>
          <w:szCs w:val="24"/>
          <w:color w:val="auto"/>
        </w:rPr>
      </w:pPr>
    </w:p>
    <w:p>
      <w:pPr>
        <w:sectPr>
          <w:pgSz w:w="11900" w:h="16838" w:orient="portrait"/>
          <w:cols w:equalWidth="0" w:num="1">
            <w:col w:w="11240"/>
          </w:cols>
          <w:pgMar w:left="320" w:top="938" w:right="339" w:bottom="1440" w:gutter="0" w:footer="0" w:header="0"/>
        </w:sectPr>
      </w:pPr>
    </w:p>
    <w:p>
      <w:pPr>
        <w:ind w:left="2020"/>
        <w:spacing w:after="0" w:line="216"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26 Landsdowne Street</w:t>
      </w:r>
    </w:p>
    <w:p>
      <w:pPr>
        <w:spacing w:after="0" w:line="12"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9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27" w:lineRule="exact"/>
        <w:rPr>
          <w:sz w:val="24"/>
          <w:szCs w:val="24"/>
          <w:color w:val="auto"/>
        </w:rPr>
      </w:pPr>
    </w:p>
    <w:p>
      <w:pPr>
        <w:sectPr>
          <w:pgSz w:w="11900" w:h="16838" w:orient="portrait"/>
          <w:cols w:equalWidth="0" w:num="2">
            <w:col w:w="7220" w:space="720"/>
            <w:col w:w="3300"/>
          </w:cols>
          <w:pgMar w:left="320" w:top="938"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59" w:lineRule="exact"/>
        <w:rPr>
          <w:sz w:val="24"/>
          <w:szCs w:val="24"/>
          <w:color w:val="auto"/>
        </w:rPr>
      </w:pPr>
    </w:p>
    <w:p>
      <w:pPr>
        <w:ind w:right="400"/>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180"/>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40"/>
        <w:spacing w:after="0" w:line="24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46"/>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2" w:lineRule="exact"/>
        <w:rPr>
          <w:sz w:val="24"/>
          <w:szCs w:val="24"/>
          <w:color w:val="auto"/>
        </w:rPr>
      </w:pPr>
    </w:p>
    <w:p>
      <w:pPr>
        <w:ind w:right="600"/>
        <w:spacing w:after="0" w:line="211"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20"/>
        <w:spacing w:after="0" w:line="17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ind w:right="100"/>
        <w:spacing w:after="0" w:line="176"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ind w:right="200"/>
        <w:spacing w:after="0" w:line="191"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7" w:lineRule="exact"/>
        <w:rPr>
          <w:sz w:val="24"/>
          <w:szCs w:val="24"/>
          <w:color w:val="auto"/>
        </w:rPr>
      </w:pPr>
    </w:p>
    <w:p>
      <w:pPr>
        <w:ind w:right="120"/>
        <w:spacing w:after="0" w:line="239" w:lineRule="auto"/>
        <w:rPr>
          <w:sz w:val="20"/>
          <w:szCs w:val="20"/>
          <w:color w:val="auto"/>
        </w:rPr>
      </w:pPr>
      <w:r>
        <w:rPr>
          <w:rFonts w:ascii="Times New Roman" w:cs="Times New Roman" w:eastAsia="Times New Roman" w:hAnsi="Times New Roman"/>
          <w:sz w:val="15"/>
          <w:szCs w:val="15"/>
          <w:color w:val="auto"/>
        </w:rPr>
        <w:t>As of June 30, 2024, the last business day of the registrant’s most recently completed second fiscal quarter, the aggregate market value of the registrant’s common stock held by non-affiliates of the registrant, based on the closing price of the shares of common stock on the Nasdaq Global Market on June 28, 2024, was approximately $308,714,932.</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of registrant’s common stock outstanding as of February 18, 2025 was 53,979,306.</w:t>
      </w:r>
    </w:p>
    <w:p>
      <w:pPr>
        <w:spacing w:after="0" w:line="2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30" w:lineRule="exact"/>
        <w:rPr>
          <w:sz w:val="24"/>
          <w:szCs w:val="24"/>
          <w:color w:val="auto"/>
        </w:rPr>
      </w:pPr>
    </w:p>
    <w:p>
      <w:pPr>
        <w:ind w:right="260"/>
        <w:spacing w:after="0" w:line="237" w:lineRule="auto"/>
        <w:rPr>
          <w:sz w:val="20"/>
          <w:szCs w:val="20"/>
          <w:color w:val="auto"/>
        </w:rPr>
      </w:pPr>
      <w:r>
        <w:rPr>
          <w:rFonts w:ascii="Times New Roman" w:cs="Times New Roman" w:eastAsia="Times New Roman" w:hAnsi="Times New Roman"/>
          <w:sz w:val="15"/>
          <w:szCs w:val="15"/>
          <w:color w:val="auto"/>
        </w:rPr>
        <w:t>The registrant intends to file a definitive proxy statement pursuant to Regulation 14A relating to the 2024 Annual Meeting of Stockholders within 120 days of the end of the registrant’s fiscal year ended December 31, 2024. Portions of such definitive proxy statement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360" w:type="dxa"/>
            <w:vAlign w:val="bottom"/>
            <w:gridSpan w:val="2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540" w:type="dxa"/>
            <w:vAlign w:val="bottom"/>
            <w:gridSpan w:val="2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400" w:type="dxa"/>
            <w:vAlign w:val="bottom"/>
            <w:tcBorders>
              <w:top w:val="single" w:sz="8" w:color="0000FF"/>
            </w:tcBorders>
            <w:gridSpan w:val="24"/>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40" w:type="dxa"/>
            <w:vAlign w:val="bottom"/>
            <w:tcBorders>
              <w:top w:val="single" w:sz="8" w:color="0000FF"/>
            </w:tcBorders>
            <w:gridSpan w:val="13"/>
          </w:tcPr>
          <w:p>
            <w:pPr>
              <w:spacing w:after="0"/>
              <w:rPr>
                <w:sz w:val="17"/>
                <w:szCs w:val="17"/>
                <w:color w:val="auto"/>
              </w:rPr>
            </w:pPr>
          </w:p>
        </w:tc>
        <w:tc>
          <w:tcPr>
            <w:tcW w:w="27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20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8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20" w:type="dxa"/>
            <w:vAlign w:val="bottom"/>
            <w:tcBorders>
              <w:top w:val="single" w:sz="8" w:color="0000FF"/>
              <w:bottom w:val="single" w:sz="8" w:color="0000EE"/>
            </w:tcBorders>
          </w:tcPr>
          <w:p>
            <w:pPr>
              <w:spacing w:after="0"/>
              <w:rPr>
                <w:sz w:val="17"/>
                <w:szCs w:val="17"/>
                <w:color w:val="auto"/>
              </w:rPr>
            </w:pPr>
          </w:p>
        </w:tc>
        <w:tc>
          <w:tcPr>
            <w:tcW w:w="1580" w:type="dxa"/>
            <w:vAlign w:val="bottom"/>
            <w:tcBorders>
              <w:top w:val="single" w:sz="8" w:color="0000FF"/>
            </w:tcBorders>
            <w:gridSpan w:val="6"/>
          </w:tcPr>
          <w:p>
            <w:pPr>
              <w:spacing w:after="0"/>
              <w:rPr>
                <w:sz w:val="17"/>
                <w:szCs w:val="17"/>
                <w:color w:val="auto"/>
              </w:rPr>
            </w:pPr>
          </w:p>
        </w:tc>
        <w:tc>
          <w:tcPr>
            <w:tcW w:w="614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this Annual Report on Form 10-K, unless otherwise stated or as the context otherwise requires, references to “Fulcrum,” “Fulcrum Therapeutics,” “the Company,” “we,” “us,” “our” and similar references refer to Fulcrum Therapeutics, Inc. together with its consolidated subsidiary. The Fulcrum Therapeutics logo and other trademarks or service marks of Fulcrum Therapeutics, Inc. appearing in this Annual Report on Form 10-K are the property of Fulcrum Therapeutics, Inc. This Annual Report on Form 10-K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which reflect our current views with respect to, among other things, our operations and financial performance.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express or implied statements regarding:</w:t>
      </w:r>
    </w:p>
    <w:p>
      <w:pPr>
        <w:spacing w:after="0" w:line="9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clinical trial of pociredir, including the effects of the revised inclusion and exclusion criteria on our trial of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organizational streamlining and realignment of resources, including anticipated savings, as well as our cash runway;</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pociredir and any other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right="20" w:hanging="383"/>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(including planned investigational new drug, or IND, application filings) and our research and development programs, including novel therapeutic agents for the potential treatment of inherited aplastic anemias, such as Diamond-Blackfan anemia, or DBA, Shwachman-Diamond syndrome, and Fanconi anemia, and other discovery programs;</w:t>
      </w:r>
    </w:p>
    <w:p>
      <w:pPr>
        <w:spacing w:after="0" w:line="71"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pociredir and any other product candidates, including in combination with other drugs and therapies;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our product candidates are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collaboration agreement with MyoKardia, Inc., or MyoKardia, a wholly-owned subsidiary of Bristol-Myers Squibb Company, or under our exclusive global license agreement with CAMP4 Therapeutics Corp., or CAMP4;</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acquire or develop additional products,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including uncertainty resulting from recent change in administration and shift in government policy and evolving regulatory environment;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license agreements or obtain additional funding; and</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pandemics or other geopolitical events on our business and operations, including our clinical trials and development plans, as well as our future financial results.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Such forward-looking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as well as our own estimates of potential market opportunities. All of the market data used in this Annual Report on Form 10-K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Annual Report on Form 10-K. Our principal risks include the following:</w:t>
      </w:r>
    </w:p>
    <w:p>
      <w:pPr>
        <w:spacing w:after="0" w:line="68" w:lineRule="exact"/>
        <w:rPr>
          <w:sz w:val="20"/>
          <w:szCs w:val="20"/>
          <w:color w:val="auto"/>
        </w:rPr>
      </w:pPr>
    </w:p>
    <w:p>
      <w:pPr>
        <w:ind w:left="900" w:right="2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$9.7 million for the year ended December 31, 2024 and $97.3 million for the year ended December 31, 2023. We expect to incur losses over the next several years and may never achieve or maintain profitability. As of December 31, 2024, we had an accumulated deficit of $519.4 million.</w:t>
      </w:r>
    </w:p>
    <w:p>
      <w:pPr>
        <w:spacing w:after="0" w:line="67"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 of pociredir and continue research and development and initiate additional clinical trials of, and seek regulatory approval for, pociredir and other product candidates.</w:t>
      </w:r>
    </w:p>
    <w:p>
      <w:pPr>
        <w:spacing w:after="0" w:line="71"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one product candidate in clinical trials. If we are unable to commercialize our product candidates or experience significant delays in doing so, our business will be materially harmed.</w:t>
      </w:r>
    </w:p>
    <w:p>
      <w:pPr>
        <w:spacing w:after="0" w:line="5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further delays in completing, or ultimately be unable to complete, the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900" w:right="2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67" w:lineRule="exact"/>
        <w:rPr>
          <w:rFonts w:ascii="Times New Roman" w:cs="Times New Roman" w:eastAsia="Times New Roman" w:hAnsi="Times New Roman"/>
          <w:sz w:val="18"/>
          <w:szCs w:val="18"/>
          <w:color w:val="auto"/>
        </w:rPr>
      </w:pPr>
    </w:p>
    <w:p>
      <w:pPr>
        <w:ind w:left="900" w:right="580" w:hanging="383"/>
        <w:spacing w:after="0" w:line="312"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serious adverse events or unacceptable side effects are identified during the development of our product candidates, including others’ product candidates in the same class of drugs, we may need to abandon or limit our development of some of our product candidates.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 w:name="page5"/>
    <w:bookmarkEnd w:id="4"/>
    <w:p>
      <w:pPr>
        <w:ind w:left="383" w:right="36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discovery approach to build a pipeline of product candidates, or to in-license or acquire additional product candidates.</w:t>
      </w:r>
    </w:p>
    <w:p>
      <w:pPr>
        <w:spacing w:after="0" w:line="53" w:lineRule="exact"/>
        <w:rPr>
          <w:rFonts w:ascii="Times New Roman" w:cs="Times New Roman" w:eastAsia="Times New Roman" w:hAnsi="Times New Roman"/>
          <w:sz w:val="18"/>
          <w:szCs w:val="18"/>
          <w:color w:val="auto"/>
        </w:rPr>
      </w:pPr>
    </w:p>
    <w:p>
      <w:pPr>
        <w:ind w:left="383" w:right="8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383" w:right="16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67" w:lineRule="exact"/>
        <w:rPr>
          <w:rFonts w:ascii="Times New Roman" w:cs="Times New Roman" w:eastAsia="Times New Roman" w:hAnsi="Times New Roman"/>
          <w:sz w:val="18"/>
          <w:szCs w:val="18"/>
          <w:color w:val="auto"/>
        </w:rPr>
      </w:pPr>
    </w:p>
    <w:p>
      <w:pPr>
        <w:ind w:left="383" w:right="32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3" w:lineRule="exact"/>
        <w:rPr>
          <w:rFonts w:ascii="Times New Roman" w:cs="Times New Roman" w:eastAsia="Times New Roman" w:hAnsi="Times New Roman"/>
          <w:sz w:val="18"/>
          <w:szCs w:val="18"/>
          <w:color w:val="auto"/>
        </w:rPr>
      </w:pPr>
    </w:p>
    <w:p>
      <w:pPr>
        <w:ind w:left="383" w:right="40" w:hanging="383"/>
        <w:spacing w:after="0" w:line="289" w:lineRule="auto"/>
        <w:tabs>
          <w:tab w:leader="none" w:pos="38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entered into, and may in the future enter into, collaborations and license agreements with third parties for the discovery, development or commercialization of product candidates. If our collaborations are not successful or we are not able to develop product candidates that we license-in, we may not be able to capitalize on the market potential of these product candidates and our business could be adversely affected.</w:t>
      </w:r>
    </w:p>
    <w:p>
      <w:pPr>
        <w:spacing w:after="0" w:line="49" w:lineRule="exact"/>
        <w:rPr>
          <w:rFonts w:ascii="Times New Roman" w:cs="Times New Roman" w:eastAsia="Times New Roman" w:hAnsi="Times New Roman"/>
          <w:sz w:val="17"/>
          <w:szCs w:val="17"/>
          <w:color w:val="auto"/>
        </w:rPr>
      </w:pPr>
    </w:p>
    <w:p>
      <w:pPr>
        <w:ind w:left="383" w:right="80" w:hanging="383"/>
        <w:spacing w:after="0" w:line="289" w:lineRule="auto"/>
        <w:tabs>
          <w:tab w:leader="none" w:pos="38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49" w:lineRule="exact"/>
        <w:rPr>
          <w:rFonts w:ascii="Times New Roman" w:cs="Times New Roman" w:eastAsia="Times New Roman" w:hAnsi="Times New Roman"/>
          <w:sz w:val="17"/>
          <w:szCs w:val="17"/>
          <w:color w:val="auto"/>
        </w:rPr>
      </w:pPr>
    </w:p>
    <w:p>
      <w:pPr>
        <w:ind w:left="383" w:right="44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67" w:lineRule="exact"/>
        <w:rPr>
          <w:rFonts w:ascii="Times New Roman" w:cs="Times New Roman" w:eastAsia="Times New Roman" w:hAnsi="Times New Roman"/>
          <w:sz w:val="18"/>
          <w:szCs w:val="18"/>
          <w:color w:val="auto"/>
        </w:rPr>
      </w:pPr>
    </w:p>
    <w:p>
      <w:pPr>
        <w:ind w:left="383" w:right="14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67" w:lineRule="exact"/>
        <w:rPr>
          <w:rFonts w:ascii="Times New Roman" w:cs="Times New Roman" w:eastAsia="Times New Roman" w:hAnsi="Times New Roman"/>
          <w:sz w:val="18"/>
          <w:szCs w:val="18"/>
          <w:color w:val="auto"/>
        </w:rPr>
      </w:pPr>
    </w:p>
    <w:p>
      <w:pPr>
        <w:ind w:left="383" w:hanging="383"/>
        <w:spacing w:after="0" w:line="261"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was negatively impacted by the COVID-19 pandemic and may in the future be impacted by any future pandemics, as well as other geopolitical events that can impact our clinical trials or the supply chain, such as the Russian invasion of Ukraine or hostilities in Israel, Lebanon, and the Gaza Strip, or changes in U.S. economic policy announced by the current administration. These events may adversely impact the U.S. economy and/or economies worldwide, which could result in adverse effects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201" w:right="379" w:bottom="1440" w:gutter="0" w:footer="0" w:header="0"/>
        </w:sectPr>
      </w:pPr>
    </w:p>
    <w:bookmarkStart w:id="5" w:name="page6"/>
    <w:bookmarkEnd w:id="5"/>
    <w:p>
      <w:pPr>
        <w:ind w:left="55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 Our clinical-stage product candidate, pociredir, is being developed for the potential treatment of sickle cell disease, or SCD.</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January 2023, we announced interim data from our Phase 1b clinical trial of pociredir in SCD. We completed enrollment in the 6 mg and 2 mg dose cohorts, and do not plan to enroll additional subjects in these cohorts. Although we commenced enrollment in the 12 mg dose cohort, in February 2023 the FDA placed a full clinical hold on the IND application for pociredir for SCD, which was lifted in August 2023. Following the clinical hold, we amended the protocol to revise the inclusion and exclusion criteria for the Phase 1b clinical trial to target subjects with higher disease severity. We reinitiated the Phase 1b clinical trial at the 12 mg once daily dose level in the fourth quarter of 2023, with that cohort expected to enroll approximately 10 subjects, to be followed by an additional cohort of approximately 10 subjects at the 20 mg once daily dose level. Subjects are evaluated over a 12-week treatment period. We have enrolled 10 patients in the 12 mg dose cohort, and we expect to provide clinical data from the 12 mg dose cohort in mid-2025 and from the 20 mg dose cohort by the end of 2025.</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September 2024, we announced topline results from our Phase 3 REACH clinical trial of losmapimod in facioscapulohumeral muscular dystrophy, or FSHD. The Phase 3 REACH trial did not achieve its primary endpoint of change from baseline in relative surface area with losmapimod compared to placebo. In addition, secondary endpoints did not achieve nominal statistical significance. The safety and tolerability profile of losmapimod was consistent with previously reported studies. Based on the results of the REACH trial, we have suspended future development of losmapimod. We plan to present the results from the Phase 3 REACH trial on March 19, 2025 at the 2025 MDA Conference being held in Dallas, Texas.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September 2024, we also announced a strategic plan to reprioritize research and development activities and are now focused on advancing pociredir for the treatment of SCD, novel therapeutic agents for the potential treatment of inherited aplastic anemias, such as DBA, Shwachman-Diamond syndrome, and Fanconi anemia, and our other discovery programs. The plan reduced our workforce from 80 to 51 full-time employees, including a reduction of positions across both research and development and general and administrative functions. We estimate that this restructuring will result in annual operating expense savings of approximately $10.0 million beginning in the first quarter of 2025.</w:t>
      </w:r>
    </w:p>
    <w:p>
      <w:pPr>
        <w:spacing w:after="0" w:line="75"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product candidates, we developed a discovery approach that we employ to systematically identify and validate cellular drug targets that can potentially modulate gene expression to treat known root causes of genetically defined rare diseases. Our discovery approach led to the identification of pociredir for SCD, as well as other drug candidates.</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Using our discovery approach, we have generated a pipeline of potentially disease-modifying therapies that address the known root causes of rare genetic diseases. The following chart summarizes key information about our pipeline of clinical stage and pre-clinical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-22225</wp:posOffset>
            </wp:positionV>
            <wp:extent cx="5760720" cy="237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Through our focus on the development of small molecules, including our product candidate for the treatment of SCD, our aim is to address unmet need in patients with genetically defined rare diseases that are debilitating and, in the case of SCD, life-threatening. The key components of our strategy include:</w:t>
      </w:r>
    </w:p>
    <w:p>
      <w:pPr>
        <w:spacing w:after="0" w:line="64" w:lineRule="exact"/>
        <w:rPr>
          <w:sz w:val="20"/>
          <w:szCs w:val="20"/>
          <w:color w:val="auto"/>
        </w:rPr>
      </w:pPr>
    </w:p>
    <w:p>
      <w:pPr>
        <w:ind w:left="900" w:right="220" w:hanging="368"/>
        <w:spacing w:after="0" w:line="268"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develop pociredir for the treatment of SCD. </w:t>
      </w:r>
      <w:r>
        <w:rPr>
          <w:rFonts w:ascii="Times New Roman" w:cs="Times New Roman" w:eastAsia="Times New Roman" w:hAnsi="Times New Roman"/>
          <w:sz w:val="18"/>
          <w:szCs w:val="18"/>
          <w:color w:val="auto"/>
        </w:rPr>
        <w:t>We aim to rapidly complete the clinical development of pociredir for the treatment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SCD to support regulatory approval. We expect to provide clinical data from the 12 mg dose cohort in mid-2025 and from the 20 mg dose cohort by the end of 2025, with each cohort expected to enroll approximately 10 patients.</w:t>
      </w:r>
    </w:p>
    <w:p>
      <w:pPr>
        <w:spacing w:after="0" w:line="62" w:lineRule="exact"/>
        <w:rPr>
          <w:rFonts w:ascii="Times New Roman" w:cs="Times New Roman" w:eastAsia="Times New Roman" w:hAnsi="Times New Roman"/>
          <w:sz w:val="18"/>
          <w:szCs w:val="18"/>
          <w:color w:val="auto"/>
        </w:rPr>
      </w:pPr>
    </w:p>
    <w:p>
      <w:pPr>
        <w:ind w:left="900" w:right="20" w:hanging="368"/>
        <w:spacing w:after="0" w:line="259"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apply our discovery efforts including pursuing in-licensing or acquisition opportunities to grow our portfolio of product candidates for the treatment of genetically defined rare diseases. </w:t>
      </w:r>
      <w:r>
        <w:rPr>
          <w:rFonts w:ascii="Times New Roman" w:cs="Times New Roman" w:eastAsia="Times New Roman" w:hAnsi="Times New Roman"/>
          <w:sz w:val="18"/>
          <w:szCs w:val="18"/>
          <w:color w:val="auto"/>
        </w:rPr>
        <w:t>We have developed a discovery approach that we employ to systematically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and validate cellular drug targets that can potentially modulate gene expression to treat known root causes of genetically defined rare diseases, with a primary focus on hematology diseases. We also seek to explore opportunities to acquire or in-license complementary technologies or therapies, such as our exclusive global license agreement with CAMP4 Therapeutics Corp., or CAMP4.</w:t>
      </w:r>
    </w:p>
    <w:p>
      <w:pPr>
        <w:spacing w:after="0" w:line="71" w:lineRule="exact"/>
        <w:rPr>
          <w:rFonts w:ascii="Times New Roman" w:cs="Times New Roman" w:eastAsia="Times New Roman" w:hAnsi="Times New Roman"/>
          <w:sz w:val="18"/>
          <w:szCs w:val="18"/>
          <w:color w:val="auto"/>
        </w:rPr>
      </w:pPr>
    </w:p>
    <w:p>
      <w:pPr>
        <w:jc w:val="both"/>
        <w:ind w:left="900" w:right="340" w:hanging="368"/>
        <w:spacing w:after="0" w:line="268"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 the commercial potential of our product candidates. </w:t>
      </w:r>
      <w:r>
        <w:rPr>
          <w:rFonts w:ascii="Times New Roman" w:cs="Times New Roman" w:eastAsia="Times New Roman" w:hAnsi="Times New Roman"/>
          <w:sz w:val="18"/>
          <w:szCs w:val="18"/>
          <w:color w:val="auto"/>
        </w:rPr>
        <w:t>We have retained all rights to our lead product candidate, and we plan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commercialize any approved product for such rare genetically defined diseases using a targeted sales infrastructure. We may in the future pursue commercialization partnerships for certain product candidates and/or markets outside the United States.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Pociredir</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are developing pociredir, which is designed to elevate the level of fetal hemoglobin, or HbF, for the treatment of people with SCD. We also believe that people with some types of ß-thalassemia may benefit from treatment with pociredir.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Sickle Cell Disease</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Sickle cell disease is a genetic disorder of RBCs. The root cause of SCD is a mutant hemoglobin that polymerizes in low oxygen conditions. This polymerization creates the abnormal, elongated, or sickle, shape of the RBC and results in, ultimately, hemolysis and vascular injury that causes major morbidities and significantly limits lifespan in people with SCD. People with SCD typically suffer from serious clinical consequences, which may include vaso-occlusive crises, anemia, pain, infections, stroke, heart disease, pulmonary hypertension, kidney failure, liver disease and reduced life expectancy. According to a study published by the American Medical Association, approximately 32.5% of adults with SCD were hospitalized three or more times per year due to pain crises. SCD is reported to shorten life expectancy by approximately 20 to 30 years. People with SCD are primarily treated by hematologists.</w:t>
      </w:r>
    </w:p>
    <w:p>
      <w:pPr>
        <w:spacing w:after="0" w:line="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7" w:name="page8"/>
    <w:bookmarkEnd w:id="7"/>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where newborn screening for SCD is mandatory, the estimated prevalence is approximately 100,000 individuals. In Europe, the estimated prevalence is approximately 50,000 individuals. According to the World Health Organization, the global incidence is estimated to be approximately 300,000 births annually. SCD is most prevalent in Africa and the Middle East.</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Several approved drug treatments for SCD focus primarily on the management and reduction of painful vaso-occlusive crises, and improvement of hemolytic anemia, as well as gene therapies for the treatment of severe SCD. Despite ongoing efforts to develop and commercialize treatments for SCD, we believe there is still a high unmet need that could be better addressed by a small molecule, oral therapy capable of increasing HbF production. See “Competition” for a more comprehensive description of the competitive landscape in SCD.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SCD Biology</w:t>
      </w:r>
    </w:p>
    <w:p>
      <w:pPr>
        <w:spacing w:after="0" w:line="11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SCD is caused by a mutation in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This gene encodes a protein that is a key component of hemoglobin, a protein complex whose function is to transport oxygen in the body. Hemoglobin in adults is a complex of four proteins, two hemoglobin ß-subunits and two hemoglobin α-subunits. In people with SCD, hemoglobin is composed of two mutant ß-subunits and two α-subunits and the result is the formation of sickle hemoglobin, or HbS. The result of the mutation is less efficient oxygen transport and the formation of RBCs that have a sickle shape. These sickle shaped cells are much less flexible than healthy cells and can block blood vessels (vaso-occlusion) or rupture (lysis), leading to pain, anemia, irreversible organ damage or even death.</w:t>
      </w:r>
    </w:p>
    <w:p>
      <w:pPr>
        <w:spacing w:after="0" w:line="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During fetal development, the major form of hemoglobin is HbF. Similar to hemoglobin in adults, HbF is also a complex of four proteins, two α-subunits and two γ-subunits. Shortly after birth, the genes encoding the γ-subunits, the </w:t>
      </w:r>
      <w:r>
        <w:rPr>
          <w:rFonts w:ascii="Times New Roman" w:cs="Times New Roman" w:eastAsia="Times New Roman" w:hAnsi="Times New Roman"/>
          <w:sz w:val="18"/>
          <w:szCs w:val="18"/>
          <w:i w:val="1"/>
          <w:iCs w:val="1"/>
          <w:color w:val="auto"/>
        </w:rPr>
        <w:t>HBG1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HBG2</w:t>
      </w:r>
      <w:r>
        <w:rPr>
          <w:rFonts w:ascii="Times New Roman" w:cs="Times New Roman" w:eastAsia="Times New Roman" w:hAnsi="Times New Roman"/>
          <w:sz w:val="18"/>
          <w:szCs w:val="18"/>
          <w:color w:val="auto"/>
        </w:rPr>
        <w:t xml:space="preserve"> genes, are silenced and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is activated. As described above, SCD is caused by a mutation in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that gives rise to mutated ß-subunits.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small subset of individuals with the sickle cell mutation continue to produce high levels of HbF due to inheritance of additional genetic mutations, which is called Hereditary Persistence of HbF, or HPFH. Individuals with elevated HbF exhibit minimal clinical manifestations of SCD. A recent analysis demonstrated that each 1% increase in HbF levels is associated with a 4%-8% annualized reduction in vaso-occlusive crises, or VOCs. Additionally, HbF levels in the mid-to-high twenties have been shown to result in a near abolition of VOCs.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5760720" cy="2425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Our Approach to Address the Root Cause of SCD</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Our strategy to address the root cause of SCD was to identify a drug mechanism that induces expression of HbF. We believe that pociredir may address the root cause of SCD through this mechanism of action.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Drug Target for SCD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conducted target identification and validation activities using human umbilical cord blood-derived erythroid progenitor 2, or HUDEP2, cells as a model to study HbF reactivation. HUDEP2 cells are immature RBCs. By screening our small molecule probe library and a CRISPR library, we identified several potential drug targets that activated the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genes and resulted in HbF elevation. Each screening approach identified the same protein complex, PRC2, which we believe plays an important role in the expression of genes responsible for the production of HbF. We conducted additional validation experiments in which we observed that inhibition of several components of this complex resulted in the desired elevation of HbF. We also observed that inhibition of these components did not adversely affect important cell health markers.</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selected a component of this protein complex, EED, for drug discovery activities following an assessment of its tractability as a drug target. The normal physiological role of EED is to facilitate a post-translational protein modification, and the goal of our medicinal chemistry program was to optimize inhibitors of EED. We developed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target engagement assays, as well as enabled X-ray crystallography, to discover and develop pociredir, a novel small molecule inhibitor of the EED subunit of PRC2.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Pociredir</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Pociredir is an oral HbF inducer that is in development for SCD. Pociredir is designed to bind to EED and inhibit the transcriptional silencing activity of PRC2. Inhibition of EED leads to potent downregulation of key fetal globin repressors, including BCL11A, thereby causing an increase in HbF. EED is a member of the PRC2 complex, which also includes EZH2. There are approved products in the EZH2 class of medications and their approved labeling outlines safety risks, including an increased risk of hematologic malignancies. We initiated our Phase 1b clinical trial of pociredir in SCD in the fourth quarter of 2021. In February 2022, the FDA granted orphan drug designation to pociredir for the treatment of SCD. In December 2022, the FDA granted fast track designation to pociredir for SCD. In February 2023, the FDA placed the IND for pociredir for the potential treatment of SCD on full clinical hold. Accordingly, we suspended enrollment and dosing in the Phase 1b trial of pociredir and withdrew our separate IND for pociredir in </w:t>
      </w:r>
      <w:r>
        <w:rPr>
          <w:rFonts w:ascii="Times New Roman" w:cs="Times New Roman" w:eastAsia="Times New Roman" w:hAnsi="Times New Roman"/>
          <w:sz w:val="18"/>
          <w:szCs w:val="18"/>
          <w:i w:val="1"/>
          <w:iCs w:val="1"/>
          <w:color w:val="auto"/>
        </w:rPr>
        <w:t>ß-</w:t>
      </w:r>
      <w:r>
        <w:rPr>
          <w:rFonts w:ascii="Times New Roman" w:cs="Times New Roman" w:eastAsia="Times New Roman" w:hAnsi="Times New Roman"/>
          <w:sz w:val="18"/>
          <w:szCs w:val="18"/>
          <w:color w:val="auto"/>
        </w:rPr>
        <w:t>thalassemia. The FDA’s clinical hold referenced the data from toxicology studies in rats and dogs that we submitted to the IND in April, October, and December 2022, as well as a response to an early February 2023 information request from the FDA about these toxicology studies that we submitted in mid-February 2023.</w:t>
      </w:r>
    </w:p>
    <w:p>
      <w:pPr>
        <w:spacing w:after="0" w:line="8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part of our pociredir development program, we have conducted numerous non-clinical toxicology studies, including studies conducted under good laboratory practice, or GLP. These toxicology studies have included repeat-dose maximum tolerated dose and dose range finding studies; 28-day, 13-week, 17-week, and 26-week studies in rats; and 28-day, 13-week, and 39-week studies in dogs. In connection with the clinical hold, the FDA noted that the profile of hematological malignancies observed in the toxicology studies of pociredir is similar to that observed with other inhibitors of PRC2 and that hematological malignancies have been reported clinically with other inhibitors of PRC2.</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August 2023, the FDA lifted the full clinical hold on the IND for pociredir for the potential treatment of SCD. The Phase 1b clinical trial has been re-initiated at the 12 mg once daily dose level, with that cohort expected to enroll approximately 10 patients, followed by an additional cohort of approximately 10 patients at the 20 mg once daily dose level. Patients are evaluated over a 12-week treatment period. The protocol was amended to revise the inclusion and exclusion criteria to target patients with higher disease severity. Key inclusion criteria includes patients with certain frequencies of vaso-occlusive crises and/or other specified measures of severity, previous experience with hydroxyurea, and previous experience with a stable dose of voxelotor, crizanlizumab, or L-glutamine or lack of access to these advanced therapies. Key exclusion criteria excludes subjects currently on or having received hydroxyurea within 60 days prior to initiating pociredir.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Phase 1b</w:t>
      </w:r>
    </w:p>
    <w:p>
      <w:pPr>
        <w:spacing w:after="0" w:line="11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January 2023, we announced Phase 1b data from subjects in the 6 mg dose cohort, as well as completion of enrollment in the 6 mg and 2 mg dose cohorts and commencement of enrollment in the 12 mg dose cohort. Until being placed on clinical hold in February 2023, the Phase 1b trial was evaluating subjects both on and off background hydroxyurea therapy.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 w:name="page10"/>
    <w:bookmarkEnd w:id="9"/>
    <w:p>
      <w:pPr>
        <w:ind w:firstLine="509"/>
        <w:spacing w:after="0" w:line="261" w:lineRule="auto"/>
        <w:rPr>
          <w:sz w:val="20"/>
          <w:szCs w:val="20"/>
          <w:color w:val="auto"/>
        </w:rPr>
      </w:pPr>
      <w:r>
        <w:rPr>
          <w:rFonts w:ascii="Times New Roman" w:cs="Times New Roman" w:eastAsia="Times New Roman" w:hAnsi="Times New Roman"/>
          <w:sz w:val="18"/>
          <w:szCs w:val="18"/>
          <w:color w:val="auto"/>
        </w:rPr>
        <w:t>Phase 1b data from subjects in the 6 mg dose cohort (n=10) showed up to 9.5% absolute HbF increases from baseline. These data suggested no difference in response in subjects on (n=3) and off (n=7) background hydroxyurea. We also observed improved biomarkers of hemolysis in evaluable subjects dosed at 6 mg. The figures below illustrate percentage HbF increase by high-performance liquid chromatography, or HPLC and absolute percentage HbF change from baseline for evaluable subjects (n=7) in the 6 mg dose cohort. Subjects with asterisks were on background hydroxyurea.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125730</wp:posOffset>
            </wp:positionV>
            <wp:extent cx="3385820" cy="3891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85820"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01" w:right="759" w:bottom="1440" w:gutter="0" w:footer="0" w:header="0"/>
        </w:sectPr>
      </w:pPr>
    </w:p>
    <w:bookmarkStart w:id="10" w:name="page11"/>
    <w:bookmarkEnd w:id="10"/>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completed enrollment and dosing in the 6 mg and 2 mg dose cohorts. Data from subjects in the 2 mg dose cohort (n=2), showed up to 4.6% absolute HbF increases from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114300</wp:posOffset>
            </wp:positionV>
            <wp:extent cx="3334385" cy="4054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34385" cy="405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1" w:name="page12"/>
    <w:bookmarkEnd w:id="11"/>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Data from subjects in the 12 mg dose cohort (n=3), prior to the suspension of the trial in February 2023, showed up to 10.0% absolute HbF increases from baseline, or total HbF of ~25.0%, after 42 days of treatment (the full three months of treatment was interrupted by the clinical hold). Subjects with asterisks were on background hydroxyurea.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123190</wp:posOffset>
            </wp:positionV>
            <wp:extent cx="3505835" cy="4088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05835" cy="408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Increases in HbF have been shown to reduce the frequency or severity of a broad range of SCD symptoms, including VOC, anemia, pain, infection, stroke and others. Based on a large body of genetic, clinical, and observational evidence showing the effects of higher levels of HbF in people with SCD, for a given patient, even small increases in total HbF are associated with clinical benefit, with levels in the upper 20% to lower 30%-range being associated with significant reductions in the manifestations of SCD. We believe the initial data showing that pociredir increases HbF levels by up to ~10.0% from baseline after as few as six weeks of therapy support its potential to become a transformative therapy for people living with SCD.</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Pociredir was generally well-tolerated through the end of 2023. There have been 23 treatment emergent adverse events, or TEAEs, reported as of the data cutoff date, eight of which were reported as possibly related to study drug (headache, lip numbness, diarrhea, fatigue, somnolence, nausea or tinnitus), none of which were severe and were deemed non-serious. There have been no discontinuations due to TEAEs as of the data cutoff date. Four of the 23 TEAEs were characterized as VOCs, and were deemed unrelated to pociredir; one of these was reported as a serious adverse event, or SAE, with acute chest syndrome in a subject who was non-adherent to study drug administration.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Clinical Trial: Phase 1 Healthy Volunteers</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the fourth quarter of 2020, we initiated a Phase 1 clinical trial of pociredir in healthy adult volunteers. The Phase 1 randomized, double-blind, placebo-controlled trial was designed to evaluate the safety, tolerability, and pharmacokinetics, or PK, of ascending doses of pociredir. In the single ascending dose, or SAD, cohorts, healthy volunteers received one dose of either placebo or 2, 4, 10, 20, 30, 40 or 60 mg of pociredir. In the multiple ascending dose, or MAD, cohorts, healthy volunteers received a once-daily dose of placebo or 2, 6, 10, 20 or 30 mg of pociredir for 14 consecutive days. Each MAD cohort had six subjects on drug and two on placebo. Food effect was also studied in a separate 20 mg dose cohort. Exploratory measures were included in the MAD cohorts to assess target engagement, changes in human hemoglobin messenger RNA, or HBG mRNA, and HbF-containing reticulocytes, or F-reticulocytes.</w:t>
      </w:r>
    </w:p>
    <w:p>
      <w:pPr>
        <w:spacing w:after="0" w:line="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reported data from the 2, 4, 10, 20, 30 and 40 mg SAD cohorts and the 2, 6 and 10 mg MAD cohorts in healthy volunteers in August 2021, and we reported data from the 60 mg SAD cohort and the 20 and 30 mg MAD cohorts in healthy volunteers, as well as data from the 20 mg cohort assessing food effect in December 2021.</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Pociredir was generally well-tolerated in healthy adult volunteers with no SAEs reported and no discontinuations due to TEAEs across all SAD and MAD cohorts. Data continued to show dose-proportional PK, with a mean half-life of approximately 6-7 hours in the MAD cohorts, supporting once-daily dosing, and no food effect was observed with pociredir. Data from the MAD cohorts continued to show robust target engagement, as evidenced by an approximately 75-95% reduction from baseline in H3K27me3 after 14 days of treatment. Based on our preclinical studies, this level of target engagement is predicted to result in robust induction of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and subsequently increase HbF production.</w:t>
      </w:r>
    </w:p>
    <w:p>
      <w:pPr>
        <w:spacing w:after="0" w:line="75"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Data from the MAD cohorts also showed time- and dose-dependent HBG mRNA induction, as shown in the chart below, demonstrating proof-of-biology. Persistent HBG mRNA induction was observed for 7-10 days after treatment. In preclinical studies of pociredir, increases in HBG mRNA have consistently translated to the same fold increases in HbF protein.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HBG mRNA Mean Fold Induction for pociredir versus Placebo</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480" w:type="dxa"/>
            <w:vAlign w:val="bottom"/>
            <w:tcBorders>
              <w:right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color w:val="auto"/>
                <w:w w:val="98"/>
              </w:rPr>
              <w:t>2 mg*</w:t>
            </w:r>
          </w:p>
        </w:tc>
        <w:tc>
          <w:tcPr>
            <w:tcW w:w="620" w:type="dxa"/>
            <w:vAlign w:val="bottom"/>
            <w:tcBorders>
              <w:top w:val="single" w:sz="8" w:color="auto"/>
              <w:bottom w:val="single" w:sz="8" w:color="auto"/>
              <w:right w:val="single" w:sz="8" w:color="auto"/>
            </w:tcBorders>
          </w:tcPr>
          <w:p>
            <w:pPr>
              <w:spacing w:after="0"/>
              <w:rPr>
                <w:sz w:val="24"/>
                <w:szCs w:val="24"/>
                <w:color w:val="auto"/>
              </w:rPr>
            </w:pPr>
          </w:p>
        </w:tc>
        <w:tc>
          <w:tcPr>
            <w:tcW w:w="1060" w:type="dxa"/>
            <w:vAlign w:val="bottom"/>
            <w:tcBorders>
              <w:top w:val="single" w:sz="8" w:color="auto"/>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color w:val="auto"/>
                <w:w w:val="93"/>
              </w:rPr>
              <w:t>6 mg*</w:t>
            </w:r>
          </w:p>
        </w:tc>
        <w:tc>
          <w:tcPr>
            <w:tcW w:w="700" w:type="dxa"/>
            <w:vAlign w:val="bottom"/>
            <w:tcBorders>
              <w:top w:val="single" w:sz="8" w:color="auto"/>
              <w:bottom w:val="single" w:sz="8" w:color="auto"/>
              <w:right w:val="single" w:sz="8" w:color="auto"/>
            </w:tcBorders>
          </w:tcPr>
          <w:p>
            <w:pPr>
              <w:spacing w:after="0"/>
              <w:rPr>
                <w:sz w:val="24"/>
                <w:szCs w:val="24"/>
                <w:color w:val="auto"/>
              </w:rPr>
            </w:pPr>
          </w:p>
        </w:tc>
        <w:tc>
          <w:tcPr>
            <w:tcW w:w="118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color w:val="auto"/>
                <w:w w:val="98"/>
              </w:rPr>
              <w:t>10 mg*</w:t>
            </w:r>
          </w:p>
        </w:tc>
        <w:tc>
          <w:tcPr>
            <w:tcW w:w="700" w:type="dxa"/>
            <w:vAlign w:val="bottom"/>
            <w:tcBorders>
              <w:top w:val="single" w:sz="8" w:color="auto"/>
              <w:bottom w:val="single" w:sz="8" w:color="auto"/>
              <w:right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gridSpan w:val="2"/>
          </w:tcPr>
          <w:p>
            <w:pPr>
              <w:ind w:left="640"/>
              <w:spacing w:after="0"/>
              <w:rPr>
                <w:sz w:val="20"/>
                <w:szCs w:val="20"/>
                <w:color w:val="auto"/>
              </w:rPr>
            </w:pPr>
            <w:r>
              <w:rPr>
                <w:rFonts w:ascii="Times New Roman" w:cs="Times New Roman" w:eastAsia="Times New Roman" w:hAnsi="Times New Roman"/>
                <w:sz w:val="16"/>
                <w:szCs w:val="16"/>
                <w:color w:val="auto"/>
              </w:rPr>
              <w:t>20 mg</w:t>
            </w:r>
          </w:p>
        </w:tc>
        <w:tc>
          <w:tcPr>
            <w:tcW w:w="1760" w:type="dxa"/>
            <w:vAlign w:val="bottom"/>
            <w:tcBorders>
              <w:top w:val="single" w:sz="8" w:color="auto"/>
              <w:bottom w:val="single" w:sz="8" w:color="auto"/>
              <w:right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color w:val="auto"/>
              </w:rPr>
              <w:t>30 mg</w:t>
            </w:r>
          </w:p>
        </w:tc>
      </w:tr>
      <w:tr>
        <w:trPr>
          <w:trHeight w:val="149"/>
        </w:trPr>
        <w:tc>
          <w:tcPr>
            <w:tcW w:w="24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ind w:left="80"/>
              <w:spacing w:after="0" w:line="148" w:lineRule="exact"/>
              <w:rPr>
                <w:sz w:val="20"/>
                <w:szCs w:val="20"/>
                <w:color w:val="auto"/>
              </w:rPr>
            </w:pPr>
            <w:r>
              <w:rPr>
                <w:rFonts w:ascii="Times New Roman" w:cs="Times New Roman" w:eastAsia="Times New Roman" w:hAnsi="Times New Roman"/>
                <w:sz w:val="16"/>
                <w:szCs w:val="16"/>
                <w:color w:val="auto"/>
              </w:rPr>
              <w:t>Mean Fold</w:t>
            </w:r>
          </w:p>
        </w:tc>
        <w:tc>
          <w:tcPr>
            <w:tcW w:w="80" w:type="dxa"/>
            <w:vAlign w:val="bottom"/>
          </w:tcPr>
          <w:p>
            <w:pPr>
              <w:spacing w:after="0"/>
              <w:rPr>
                <w:sz w:val="12"/>
                <w:szCs w:val="12"/>
                <w:color w:val="auto"/>
              </w:rPr>
            </w:pPr>
          </w:p>
        </w:tc>
        <w:tc>
          <w:tcPr>
            <w:tcW w:w="620" w:type="dxa"/>
            <w:vAlign w:val="bottom"/>
            <w:tcBorders>
              <w:right w:val="single" w:sz="8" w:color="auto"/>
            </w:tcBorders>
          </w:tcPr>
          <w:p>
            <w:pPr>
              <w:jc w:val="center"/>
              <w:ind w:right="39"/>
              <w:spacing w:after="0" w:line="148" w:lineRule="exact"/>
              <w:rPr>
                <w:sz w:val="20"/>
                <w:szCs w:val="20"/>
                <w:color w:val="auto"/>
              </w:rPr>
            </w:pPr>
            <w:r>
              <w:rPr>
                <w:rFonts w:ascii="Times New Roman" w:cs="Times New Roman" w:eastAsia="Times New Roman" w:hAnsi="Times New Roman"/>
                <w:sz w:val="16"/>
                <w:szCs w:val="16"/>
                <w:color w:val="auto"/>
              </w:rPr>
              <w:t>P-value</w:t>
            </w:r>
          </w:p>
        </w:tc>
        <w:tc>
          <w:tcPr>
            <w:tcW w:w="94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Mean Fold</w:t>
            </w:r>
          </w:p>
        </w:tc>
        <w:tc>
          <w:tcPr>
            <w:tcW w:w="120" w:type="dxa"/>
            <w:vAlign w:val="bottom"/>
          </w:tcPr>
          <w:p>
            <w:pPr>
              <w:spacing w:after="0"/>
              <w:rPr>
                <w:sz w:val="12"/>
                <w:szCs w:val="12"/>
                <w:color w:val="auto"/>
              </w:rPr>
            </w:pPr>
          </w:p>
        </w:tc>
        <w:tc>
          <w:tcPr>
            <w:tcW w:w="700" w:type="dxa"/>
            <w:vAlign w:val="bottom"/>
            <w:tcBorders>
              <w:right w:val="single" w:sz="8" w:color="auto"/>
            </w:tcBorders>
          </w:tcPr>
          <w:p>
            <w:pPr>
              <w:ind w:left="40"/>
              <w:spacing w:after="0" w:line="148" w:lineRule="exact"/>
              <w:rPr>
                <w:sz w:val="20"/>
                <w:szCs w:val="20"/>
                <w:color w:val="auto"/>
              </w:rPr>
            </w:pPr>
            <w:r>
              <w:rPr>
                <w:rFonts w:ascii="Times New Roman" w:cs="Times New Roman" w:eastAsia="Times New Roman" w:hAnsi="Times New Roman"/>
                <w:sz w:val="16"/>
                <w:szCs w:val="16"/>
                <w:color w:val="auto"/>
              </w:rPr>
              <w:t>P-value</w:t>
            </w:r>
          </w:p>
        </w:tc>
        <w:tc>
          <w:tcPr>
            <w:tcW w:w="106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Mean Fold</w:t>
            </w:r>
          </w:p>
        </w:tc>
        <w:tc>
          <w:tcPr>
            <w:tcW w:w="120" w:type="dxa"/>
            <w:vAlign w:val="bottom"/>
          </w:tcPr>
          <w:p>
            <w:pPr>
              <w:spacing w:after="0"/>
              <w:rPr>
                <w:sz w:val="12"/>
                <w:szCs w:val="12"/>
                <w:color w:val="auto"/>
              </w:rPr>
            </w:pPr>
          </w:p>
        </w:tc>
        <w:tc>
          <w:tcPr>
            <w:tcW w:w="700" w:type="dxa"/>
            <w:vAlign w:val="bottom"/>
            <w:tcBorders>
              <w:right w:val="single" w:sz="8" w:color="auto"/>
            </w:tcBorders>
          </w:tcPr>
          <w:p>
            <w:pPr>
              <w:ind w:left="20"/>
              <w:spacing w:after="0" w:line="148" w:lineRule="exact"/>
              <w:rPr>
                <w:sz w:val="20"/>
                <w:szCs w:val="20"/>
                <w:color w:val="auto"/>
              </w:rPr>
            </w:pPr>
            <w:r>
              <w:rPr>
                <w:rFonts w:ascii="Times New Roman" w:cs="Times New Roman" w:eastAsia="Times New Roman" w:hAnsi="Times New Roman"/>
                <w:sz w:val="16"/>
                <w:szCs w:val="16"/>
                <w:color w:val="auto"/>
              </w:rPr>
              <w:t>P-value</w:t>
            </w:r>
          </w:p>
        </w:tc>
        <w:tc>
          <w:tcPr>
            <w:tcW w:w="94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Mean Fold</w:t>
            </w:r>
          </w:p>
        </w:tc>
        <w:tc>
          <w:tcPr>
            <w:tcW w:w="800" w:type="dxa"/>
            <w:vAlign w:val="bottom"/>
            <w:tcBorders>
              <w:right w:val="single" w:sz="8" w:color="auto"/>
            </w:tcBorders>
          </w:tcPr>
          <w:p>
            <w:pPr>
              <w:ind w:left="140"/>
              <w:spacing w:after="0" w:line="148" w:lineRule="exact"/>
              <w:rPr>
                <w:sz w:val="20"/>
                <w:szCs w:val="20"/>
                <w:color w:val="auto"/>
              </w:rPr>
            </w:pPr>
            <w:r>
              <w:rPr>
                <w:rFonts w:ascii="Times New Roman" w:cs="Times New Roman" w:eastAsia="Times New Roman" w:hAnsi="Times New Roman"/>
                <w:sz w:val="16"/>
                <w:szCs w:val="16"/>
                <w:color w:val="auto"/>
              </w:rPr>
              <w:t>P-value</w:t>
            </w:r>
          </w:p>
        </w:tc>
        <w:tc>
          <w:tcPr>
            <w:tcW w:w="94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Mean Fold</w:t>
            </w:r>
          </w:p>
        </w:tc>
        <w:tc>
          <w:tcPr>
            <w:tcW w:w="820" w:type="dxa"/>
            <w:vAlign w:val="bottom"/>
            <w:tcBorders>
              <w:right w:val="single" w:sz="8" w:color="auto"/>
            </w:tcBorders>
          </w:tcPr>
          <w:p>
            <w:pPr>
              <w:ind w:left="140"/>
              <w:spacing w:after="0" w:line="148" w:lineRule="exact"/>
              <w:rPr>
                <w:sz w:val="20"/>
                <w:szCs w:val="20"/>
                <w:color w:val="auto"/>
              </w:rPr>
            </w:pPr>
            <w:r>
              <w:rPr>
                <w:rFonts w:ascii="Times New Roman" w:cs="Times New Roman" w:eastAsia="Times New Roman" w:hAnsi="Times New Roman"/>
                <w:sz w:val="16"/>
                <w:szCs w:val="16"/>
                <w:color w:val="auto"/>
              </w:rPr>
              <w:t>P-value</w:t>
            </w:r>
          </w:p>
        </w:tc>
      </w:tr>
      <w:tr>
        <w:trPr>
          <w:trHeight w:val="247"/>
        </w:trPr>
        <w:tc>
          <w:tcPr>
            <w:tcW w:w="24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8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820" w:type="dxa"/>
            <w:vAlign w:val="bottom"/>
            <w:tcBorders>
              <w:bottom w:val="single" w:sz="8" w:color="auto"/>
              <w:right w:val="single" w:sz="8" w:color="auto"/>
            </w:tcBorders>
          </w:tcPr>
          <w:p>
            <w:pPr>
              <w:spacing w:after="0"/>
              <w:rPr>
                <w:sz w:val="21"/>
                <w:szCs w:val="21"/>
                <w:color w:val="auto"/>
              </w:rPr>
            </w:pPr>
          </w:p>
        </w:tc>
      </w:tr>
      <w:tr>
        <w:trPr>
          <w:trHeight w:val="213"/>
        </w:trPr>
        <w:tc>
          <w:tcPr>
            <w:tcW w:w="248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Day 7</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1.28</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0.3494</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1.94</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0.0135</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2.08</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0.0063</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2.06</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0.0072</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2.29</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0.0025</w:t>
            </w:r>
          </w:p>
        </w:tc>
      </w:tr>
      <w:tr>
        <w:trPr>
          <w:trHeight w:val="210"/>
        </w:trPr>
        <w:tc>
          <w:tcPr>
            <w:tcW w:w="24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Day 14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80" w:type="dxa"/>
            <w:vAlign w:val="bottom"/>
          </w:tcPr>
          <w:p>
            <w:pPr>
              <w:spacing w:after="0"/>
              <w:rPr>
                <w:sz w:val="18"/>
                <w:szCs w:val="18"/>
                <w:color w:val="auto"/>
              </w:rPr>
            </w:pPr>
          </w:p>
        </w:tc>
        <w:tc>
          <w:tcPr>
            <w:tcW w:w="62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0.5122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2.45</w:t>
            </w:r>
          </w:p>
        </w:tc>
        <w:tc>
          <w:tcPr>
            <w:tcW w:w="120" w:type="dxa"/>
            <w:vAlign w:val="bottom"/>
          </w:tcPr>
          <w:p>
            <w:pPr>
              <w:spacing w:after="0"/>
              <w:rPr>
                <w:sz w:val="18"/>
                <w:szCs w:val="18"/>
                <w:color w:val="auto"/>
              </w:rPr>
            </w:pPr>
          </w:p>
        </w:tc>
        <w:tc>
          <w:tcPr>
            <w:tcW w:w="70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0.0025</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3.54</w:t>
            </w:r>
          </w:p>
        </w:tc>
        <w:tc>
          <w:tcPr>
            <w:tcW w:w="120" w:type="dxa"/>
            <w:vAlign w:val="bottom"/>
          </w:tcPr>
          <w:p>
            <w:pPr>
              <w:spacing w:after="0"/>
              <w:rPr>
                <w:sz w:val="18"/>
                <w:szCs w:val="18"/>
                <w:color w:val="auto"/>
              </w:rPr>
            </w:pPr>
          </w:p>
        </w:tc>
        <w:tc>
          <w:tcPr>
            <w:tcW w:w="70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&lt;0.0001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5.63</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&lt;0.0001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6.15</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&lt;0.0001</w:t>
            </w:r>
          </w:p>
        </w:tc>
      </w:tr>
      <w:tr>
        <w:trPr>
          <w:trHeight w:val="33"/>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r>
        <w:trPr>
          <w:trHeight w:val="204"/>
        </w:trPr>
        <w:tc>
          <w:tcPr>
            <w:tcW w:w="24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Safety Follow-up (Day 21-24)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w:t>
            </w:r>
          </w:p>
        </w:tc>
        <w:tc>
          <w:tcPr>
            <w:tcW w:w="80" w:type="dxa"/>
            <w:vAlign w:val="bottom"/>
          </w:tcPr>
          <w:p>
            <w:pPr>
              <w:spacing w:after="0"/>
              <w:rPr>
                <w:sz w:val="17"/>
                <w:szCs w:val="17"/>
                <w:color w:val="auto"/>
              </w:rPr>
            </w:pPr>
          </w:p>
        </w:tc>
        <w:tc>
          <w:tcPr>
            <w:tcW w:w="62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0.3736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2.75</w:t>
            </w:r>
          </w:p>
        </w:tc>
        <w:tc>
          <w:tcPr>
            <w:tcW w:w="120" w:type="dxa"/>
            <w:vAlign w:val="bottom"/>
          </w:tcPr>
          <w:p>
            <w:pPr>
              <w:spacing w:after="0"/>
              <w:rPr>
                <w:sz w:val="17"/>
                <w:szCs w:val="17"/>
                <w:color w:val="auto"/>
              </w:rPr>
            </w:pPr>
          </w:p>
        </w:tc>
        <w:tc>
          <w:tcPr>
            <w:tcW w:w="70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7"/>
              </w:rPr>
              <w:t>&lt;0.0001</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120" w:type="dxa"/>
            <w:vAlign w:val="bottom"/>
          </w:tcPr>
          <w:p>
            <w:pPr>
              <w:spacing w:after="0"/>
              <w:rPr>
                <w:sz w:val="17"/>
                <w:szCs w:val="17"/>
                <w:color w:val="auto"/>
              </w:rPr>
            </w:pPr>
          </w:p>
        </w:tc>
        <w:tc>
          <w:tcPr>
            <w:tcW w:w="70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&lt;0.0001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6.45</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&lt;0.0001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6.13</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&lt;0.0001</w:t>
            </w:r>
          </w:p>
        </w:tc>
      </w:tr>
      <w:tr>
        <w:trPr>
          <w:trHeight w:val="33"/>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Pociredir Activity in Preclinical Studies</w:t>
      </w:r>
    </w:p>
    <w:p>
      <w:pPr>
        <w:spacing w:after="0" w:line="117"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have observed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activation of the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genes in preclinical studies with pociredir. We observed that pociredir elevated levels of HbF with minimal adverse effects on important cellular health markers. As depicted in the graphic below, we also observed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upregulation of HbF in primary human CD34+ cells differentiated into RBCs from 14 donors, including nine different healthy human donors, four SCD donors and one sickle cell trait donor, after seven days of drug treatment. Pociredir showed a significant elevation of HbF over baseline in each of these 14 donor cell lines. We have conducted additional preclinical profiling in CD34+ derived cells and observed that treatment with pociredir increased HbF levels to approximately 30% of total hemoglobin, as measured by mass spectrometry, high performance liquid</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3" w:name="page14"/>
    <w:bookmarkEnd w:id="13"/>
    <w:p>
      <w:pPr>
        <w:ind w:right="260"/>
        <w:spacing w:after="0" w:line="261" w:lineRule="auto"/>
        <w:rPr>
          <w:sz w:val="20"/>
          <w:szCs w:val="20"/>
          <w:color w:val="auto"/>
        </w:rPr>
      </w:pPr>
      <w:r>
        <w:rPr>
          <w:rFonts w:ascii="Times New Roman" w:cs="Times New Roman" w:eastAsia="Times New Roman" w:hAnsi="Times New Roman"/>
          <w:sz w:val="18"/>
          <w:szCs w:val="18"/>
          <w:color w:val="auto"/>
        </w:rPr>
        <w:t>chromatography, and fast protein liquid chromatography techniques. Notably, based on a review of data from other mechanisms, HbF fold induction in CD34+ cells has translated reliably into the clinic.</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Effect of pociredir treatment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differentiated primary human CD34+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5715</wp:posOffset>
            </wp:positionV>
            <wp:extent cx="2700020" cy="1971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002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Additionally, we compared the effect of pociredir in CD34+ derived cells relative to that of hydroxyurea. We observed that hydroxyurea had a minimal impact on HbF elevation, whereas we observed that pociredir significantly elevated HbF. In cells treated with the combination of pociredir and hydroxyurea, we observed an increased effect relative to either compound alone.</w:t>
      </w:r>
    </w:p>
    <w:p>
      <w:pPr>
        <w:spacing w:after="0" w:line="68"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Additionally, we studied pociredir in a mouse model of SCD, known as the Townes mouse model. In this model, mouse globin genes have been replaced with human globin genes, thereby allowing investigations of mechanisms that may regulate human hemoglobin gene expression. The Townes mouse model has been widely used to study potential treatments for SCD. As shown in the figures below, we observed that pociredir resulted in a significant increase in HbF-expressing cells, or F-cells, and HbF protein levels after 13 days of dosing at 5 mg/kg once per day whereas hydroxyurea resulted in modest increases in F-cells and HbF.</w:t>
      </w:r>
    </w:p>
    <w:p>
      <w:pPr>
        <w:sectPr>
          <w:pgSz w:w="11900" w:h="16838" w:orient="portrait"/>
          <w:cols w:equalWidth="0" w:num="1">
            <w:col w:w="11160"/>
          </w:cols>
          <w:pgMar w:left="320" w:top="1201" w:right="419" w:bottom="1440" w:gutter="0" w:footer="0" w:header="0"/>
        </w:sectPr>
      </w:pPr>
    </w:p>
    <w:p>
      <w:pPr>
        <w:spacing w:after="0" w:line="20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Percentage of F-cells in Townes mice</w:t>
      </w:r>
    </w:p>
    <w:p>
      <w:pPr>
        <w:spacing w:after="0" w:line="4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treated with pociredir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983230" cy="1551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83230" cy="1551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HbF protein levels in Townes mice</w:t>
      </w:r>
    </w:p>
    <w:p>
      <w:pPr>
        <w:spacing w:after="0" w:line="31"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treated with pociredir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537460" cy="1680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7460" cy="1680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3920"/>
          </w:cols>
          <w:pgMar w:left="320" w:top="120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graphic on the left, we quantified the percentage of F-cells as a percentage of total cells (%F-cells) for the three treatment conditions from mouse blood, shown as a percentage of vehicle-alone-treated SCD mice. In the graphic on the right, we determined the level of human HbF protein for the three treatment conditions, quantifying HbF protein as a percentage of total hemoglobin. Each value represents the mean value from eight mice per treatment after 13 days of treatment. In these studies, we used a conventional method of assessing statistical significance known as a one-way analysis of variance, or ANOVA. The p-value for pociredir was less than 0.001 for both studies and the p-value for hydroxyurea in the study depicted on the right was less than 0.01.</w:t>
      </w:r>
    </w:p>
    <w:p>
      <w:pPr>
        <w:spacing w:after="0" w:line="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Discovery Programs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utilized our expertise to discover the target that we are pursuing with a small molecule for SCD. We are leveraging our discovery approach to discover drug targets for other rare, genetically defined diseases. We continue to advance our program for the potential treatment of inherited aplastic anemias, such as Diamond-Blackfan anemia (DBA), Shwachman-Diamond syndrome, and Fanconi anemia, and we plan to submit an IND for DBA during 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57150</wp:posOffset>
            </wp:positionV>
            <wp:extent cx="5760720" cy="1739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072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Collaborations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License Agreement with MyoKardia, a wholly-owned subsidiary of Bristol-Myers Squibb Company</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July 2020, we entered into a collaboration and license agreement with MyoKardia to identify biological targets that are capable of modulating genes of interest with relevance to certain genetically defined cardiomyopathies. Under the terms of the agreement, we granted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certain genes of interest with relevance to certain genetically defined cardiomyopathies.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Pursuant to a mutually agreed research plan, we will perform assay screening and related research activities to identify and validate up to a specified number of potential cardiomyopathy gene targets, or the Identified Targets, for further research, development, manufacture and commercialization by MyoKardia. We and MyoKardia will work together to determine how best to advance at each stage of the research activities under the research plan and to identify which of the Identified Targets, if any, meet the criteria set forth in the research plan, or the Cardiomyopathy Target Candidates. Upon completion of the research plan, the parties will work together to prepare a final data package and MyoKardia may designate certain Cardiomyopathy Target Candidates for MyoKardia’s further exploitation under the agreement, or the Cardiomyopathy Targets. If MyoKardia does not designate any Cardiomyopathy Targets during the designated period, then the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the period in which we are performing the research activities pursuant to the research plan, or the Research Term and for a specified period beyond the Research Term if MyoKardia designates a Cardiomyopathy Target, we may only use the data generated from such research activities for MyoKardia in accordance with the agreement. During the Research Term and for a specified period thereafter, we may not research, develop, manufacture, commercialize, use, or otherwise exploit any compound or product (a) that is a compound or product under the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agreement, MyoKardia made a $10.0 million upfront payment and a $2.5 million payment as prepaid research funding to us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sales-based milestones, we will be entitled to preclinical milestone payments, development milestone payments and sales-based milestone payments of up to $298.5 million in the aggregate per target for certain Identified Targets, and of up to $150.0 million in the aggregate per target for certain other Identified Targets. To date, we have achieved a $2.5 million specified preclinical milestone. MyoKardia will also pay us tiered royalties ranging from a mid single-digit percentage to a low double-digit percentage based on MyoKardia’s, and any</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5" w:name="page16"/>
    <w:bookmarkEnd w:id="15"/>
    <w:p>
      <w:pPr>
        <w:ind w:right="340"/>
        <w:spacing w:after="0" w:line="282" w:lineRule="auto"/>
        <w:rPr>
          <w:sz w:val="20"/>
          <w:szCs w:val="20"/>
          <w:color w:val="auto"/>
        </w:rPr>
      </w:pPr>
      <w:r>
        <w:rPr>
          <w:rFonts w:ascii="Times New Roman" w:cs="Times New Roman" w:eastAsia="Times New Roman" w:hAnsi="Times New Roman"/>
          <w:sz w:val="18"/>
          <w:szCs w:val="18"/>
          <w:color w:val="auto"/>
        </w:rPr>
        <w:t>of its affiliates’ and sublicensees’, annual worldwide net sales of products under the agreement directed against any Identified Target. The royalties are payable on a product-by-product basis during a specified royalty term, and may be reduced in specified circumstances.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agreement continues on a country-by-country and product-by-product basis until the expiration of the last to expire royalty term for a product, at which time the agreement expires with respect to such product in such country, unless the agreement is terminated earlier in accordance with its terms. Either party has the right to terminate the agreement if the other party has materially breached in the performance of its obligations and such breach has not been cured within the applicable cure period. MyoKardia also has the right to terminate the agreement for convenience in its entirety or on a target-by-target, product-by-product or molecule-by-molecule basis, upon prior written notice to 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CAMP4</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July 2023, we entered into a license agreement with CAMP4 pursuant to which we received a worldwide exclusive license (including the right to sublicense) from CAMP4 to rights under its DBA program, which includes certain small molecule compounds, composition of matter and method of use patent rights, and know-how for us to research, develop, manufacture, use, commercialize or otherwise exploit therapeutic products in any indication, including the grant of a sublicense under certain intellectual property rights that CAMP4 has licensed under an agreement with Children’s Medical Center Corporation, or CMCC.</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made an undisclosed upfront non-refundable, non-creditable payment to CAMP4. If we succeed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 (i) the expiration of all valid patent claims covering the compounds in such country, (ii) the expiration of all regulatory exclusivities in such country, and (iii) 10 years following the first commercial sale of in such country. We are responsible for the costs associated with the development and regulatory approvals of licensed products.</w:t>
      </w:r>
    </w:p>
    <w:p>
      <w:pPr>
        <w:spacing w:after="0" w:line="8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we will have a fully-paid up, royalty-free and perpetual license to the licensed patent rights and know-how with respect to such licensed product in such country. CAMP4 has the right to terminate the license agreement in the event of our non-payment (subject to cure periods and tolling for bona fide disputes). CAMP4 may also terminate the license agreement if we challenge certain patents sublicensed to us by CAMP4. Either party may terminate the license agreement in its entirety for the other party’s material breach if such other party fails to cure the breach. Either party may also terminate the agreement in its entirety upon certain insolvency events involving the other party. We have the right to terminate the license agreement with CAMP4 for any or no reason upon prior written notice to CAMP4.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Losmapimod Agreements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May 2024, we entered into a collaboration and license agreement Sanofi pursuant to which we granted Sanofi an exclusive license under certain intellectual property rights to commercialize losmapimod for the treatment of FSHD outside of the United States. On December 18, 2024, we received written notice of Sanofi’s election to terminate for convenience the collaboration and license agreement. In accordance with the agreement, the termination will become effective on April 17, 2025, which is 120 days following the date of receipt of the notice by us.</w:t>
      </w:r>
    </w:p>
    <w:p>
      <w:pPr>
        <w:spacing w:after="0" w:line="7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February 2019, we entered into a right of reference and license agreement with affiliates of GSK, as amended in September 2020,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See Note 10 to our consolidated financial statements included elsewhere in this Annual Report on Form 10-K for a description of license agreements with Sanofi and GSK.</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We strive to protect and enhance our discovery approach, inventions and improvements that are commercially important to the development of our business, including by seeking, maintaining and defending patent rights, whether developed internally or licensed from third parties. We also rely on trade secrets, know-how, continuing technological innovation and in-licensing opportunities to develop, strengthen and maintain our proprietary position in our field.</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future commercial success depends, in part, on our ability to: obtain and maintain patent and other proprietary protection for commercially important technology, inventions and know-how related to our business; defend and enforce in our intellectual property rights, in particular our patents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like ours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 file in the future, nor can we ensure that any of our owned or licensed patents or future patents will be commercially useful in protecting our product candidates and methods of manufacturing the same. In addition, the coverage claimed in a patent application may be significantly reduced before a patent is issued, and its scope can be reinterpreted and even challenged after issuance. As a result, we cannot guarantee that any of our products will be protected or remain protectable by enforceable patents. Moreover, any patents that we hold may be challenged, circumvented or invalidated by third parties. See “Risk Factors—Risks Related to Our Intellectual Property” for a more comprehensive description of risks related to our intellectual property.</w:t>
      </w:r>
    </w:p>
    <w:p>
      <w:pPr>
        <w:spacing w:after="0" w:line="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generally file patent applications directed to our key programs in an effort to secure our intellectual property positions vis-a-vis these programs. As of February 18, 2025, we owned or in-licensed eight U.S. patents, nine U.S. pending non-provisional patent applications and related pending foreign patent applications, and one pending U.S. provisional patent application.</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intellectual property portfolio for our most advanced programs as of February 18, 2025, is summarized below. Prosecution is a lengthy process, during which the scope of the claims initially submitted for examination by the U.S. Patent and Trademark Office may be significantly narrowed before issuance, if issued at all. We expect this may be the case with respect to some of our pending patent applications referred to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Pociredir</w:t>
      </w:r>
    </w:p>
    <w:p>
      <w:pPr>
        <w:spacing w:after="0" w:line="12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Currently, our patent portfolio related to pociredir includes three issued U.S. patents directed to composition of matter that is expected to expire in 2040, one U.S. non-provisional application and related granted patents and pending patent applications in Canada and Mexico, Europe, Africa, Australia and New Zealand, South America, and Asia that, if issued, are expected to expire between 2039 and 2040. We also own three U.S. non-provisional applications and related patent applications pending in Europe directed to solid forms and methods of using pociredir and one pending U.S. non-provisional application directed to pociredir methods of use and formulations, that, if resulting in issued patents, would be expected to expire between 2042 and 2043.</w:t>
      </w:r>
    </w:p>
    <w:p>
      <w:pPr>
        <w:spacing w:after="0" w:line="6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losmapimod and products from our intellectual property may be entitled to patent term extensions. If our use of drug candidates or the drug candidate itself receive FDA approval, we intend to apply for patent term extensions, if available, to extend the term of patents that cover the approved use or drug candidate. We also intend to seek patent term extensions in any jurisdictions where available, however, there is no guarantee that the applicable authorities, including the FDA, will agree with our assessment of whether such extensions should be granted, and even if granted, the length of such extensions.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7" w:name="page18"/>
    <w:bookmarkEnd w:id="17"/>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upon unpatented trade secrets and confidential know-how and continuing technological innovation to develop and maintain our competitive position. However, trade secrets and confidential know-how are difficult to protect. We seek to protect our proprietary information, in part, 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do not have any manufacturing facilities. We have obtained sufficient quantities of pociredir from a contract manufacturing organization to complete our Phase 1b clinical trial.</w:t>
      </w:r>
    </w:p>
    <w:p>
      <w:pPr>
        <w:spacing w:after="0" w:line="54"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rely on third parties for the manufacture of pociredir for any future clinical trials and for the manufacture of any future product candidates for preclinical and clinical testing, as well as for commercial manufacture if our product candidates receive marketing approval. Our lead product candidate is a small molecule and can be manufactured in reliable and reproducible synthetic processes from readily available starting materials. We expect to continue to develop product candidates that can be produced cost-effectively at contract manufacturing facilities.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8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therapeutic product candidates, if approved, are likely to be their efficacy, safety, convenience, price, the level of generic competition and the availability of reimbursement from government and other third-party payors.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or emergency use authorizations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7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If our lead product candidates are approved for the indications for which we are currently undertaking clinical trials, they will compete with the therapies and currently marketed drugs discussed below.</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SCD</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Several approved drug treatments for SCD focus primarily on the management and reduction of painful vaso-occlusive crises, and improvement of hemolytic anemia. The five drug treatments approved in the United States are hydroxyurea, crizanlizumab, L-glutamine, lovo-cel, and exa-cel. Hydroxyurea is approved for the treatment of SCD to reduce the frequency of painful crises and to reduce the need for blood transfusions. Hydroxyurea is available in both generic and brand name formulations including DROXIA manufactured by Bristol-Myers Squibb, and SIKLOS manufactured by Addmedica. Crizanlizumab, a fully-human monoclonal antibody p-selectin inhibitor marketed by Novartis as ADAKVEO, is approved for the reduction in the frequency of VOCs. L-glutamine, brand name ENDARI, marketed by Emmaus Life Sciences, Inc., is approved to reduce acute complications of the disorder.</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Lovo-cel and exa-cel are gene therapies approved for the treatment of severe SCD. Lovo-cel, brand name LYFGENIA, is a gene therapy designed to add functional copies of a modified form of the β-globin gene into patient’s hematopoietic stem cells (HSCs), to make normally functioning RBCs. Exa-cel, brand name CASGEVY, is a gene therapy consisting of autologous CD34+ cells edited by CRISPR/Cas9-technology to decrease BCL11A expression, resulting in increased HbF production. Gene therapies need to be administered in an in-patient procedure known as HSCT. As part of the transplant process, the patient receives myeloablative chemotherapy to remove the original unedited stem cells in the bone marrow in order to enable the genetically modified stem cells to engraft.</w:t>
      </w:r>
    </w:p>
    <w:p>
      <w:pPr>
        <w:spacing w:after="0" w:line="7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Additionally, voxelotor, brand name OXBRYTA, a hemoglobin polymerization inhibitor that was approved under accelerated approval, was voluntarily withdrawn by Pfizer Inc. from worldwide markets in September 2024.</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An additional potentially curative treatment currently approved for severe SCD populations is allo-HSCT. However, allo-HSCT is more commonly offered to pediatric individuals with an available HLA-matched sibling donor. The 5-year survival rates in this young population is quite high but for older individuals (&gt;16 years), the survival rates can be considerably lower. There are also significant risks associated with allo-HSCT including infertility and graft-versus-host disease.</w:t>
      </w:r>
    </w:p>
    <w:p>
      <w:pPr>
        <w:spacing w:after="0" w:line="72"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A supportive care option for management of SCD is red blood cell transfusion but this can potentially be complicated by alloimmunization, transfusion reactions, and iron overload.</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Pociredir could face competition from a number of different therapeutic approaches in development for people with SCD. Novo Nordisk A/S, or Novo, is evaluating NDec (decitabine-tetrahydrouridine), a combination of two small molecules designed to increase production of HbF, in a Phase 2 clinical trial. Novartis is evaluating ITU-512, a small molecule designed to increase production of HbF, in a Phase 1/2 clinical trial comprised of a Phase 1 trial in healthy volunteers and a Phase 2 trial in subjects with SCD. Bristol-Myers Squibb is evaluating BMS-986470, a small molecule designed to increase production of HbF, in a Phase 1/2a clinical trial in healthy volunteers and subjects with SCD. GSK is evaluating GSK4172239D, a small molecule designed to increase production of HbF, in a Phase 1 clinical trial in subjects with SCD. Novo is also evaluating etavopivat, a pyruvate kinase activator, or PK activator, in a Phase 2/3 clinical trial. Agios Pharmaceuticals, Inc., or Agios, is evaluating mitapivat, a PK activator, in a Phase 2/3 clinical trial in subjects with SCD. Agios also anticipates initiating a Phase 2 clinical trial in mid-2025 to evaluate tebapivat, a PK activator, in subjects with SCD. Pfizer, Inc. is evaluating osivelotor, an HbS polymerization inhibitor, in a Phase 2/3 clinical trial and inclacumab, a P-selectin inhibitor that is being evaluated in a Phase 3 clinical trial. Beam Therapeutics is evaluating BEAM-101, an autologous base edited CD34+ HSPC designed to increase production of HbF, in a Phase 1/2 clinical trial in subjects with severe SCD.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and Regulation of Drugs in the United States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process or post-approval process, may result in delays to the conduct of a study, regulatory review and approval and/or administrative or judicial sanctions.</w:t>
      </w:r>
    </w:p>
    <w:p>
      <w:pPr>
        <w:spacing w:after="0" w:line="11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drug in the United States generally must satisfactorily complete each of the following steps before the product candidate will be approved by the FDA:</w:t>
      </w:r>
    </w:p>
    <w:p>
      <w:pPr>
        <w:spacing w:after="0" w:line="54" w:lineRule="exact"/>
        <w:rPr>
          <w:sz w:val="20"/>
          <w:szCs w:val="20"/>
          <w:color w:val="auto"/>
        </w:rPr>
      </w:pPr>
    </w:p>
    <w:p>
      <w:pPr>
        <w:ind w:left="900" w:right="180" w:hanging="368"/>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including laboratory tests, animal studies and formulation studies, which must be performed in accordance with the FDA’s GLP regulations and standards;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for human clinical testing,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900" w:right="280" w:hanging="368"/>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and effectiveness of the product candidate for each proposed indication, in accordance with current good clinical practices, or GCP;</w:t>
      </w:r>
    </w:p>
    <w:p>
      <w:pPr>
        <w:spacing w:after="0" w:line="53" w:lineRule="exact"/>
        <w:rPr>
          <w:rFonts w:ascii="Times New Roman" w:cs="Times New Roman" w:eastAsia="Times New Roman" w:hAnsi="Times New Roman"/>
          <w:sz w:val="18"/>
          <w:szCs w:val="18"/>
          <w:color w:val="auto"/>
        </w:rPr>
      </w:pPr>
    </w:p>
    <w:p>
      <w:pPr>
        <w:ind w:left="900" w:right="540" w:hanging="368"/>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or if applicable;</w:t>
      </w:r>
    </w:p>
    <w:p>
      <w:pPr>
        <w:spacing w:after="0" w:line="117" w:lineRule="exact"/>
        <w:rPr>
          <w:rFonts w:ascii="Times New Roman" w:cs="Times New Roman" w:eastAsia="Times New Roman" w:hAnsi="Times New Roman"/>
          <w:sz w:val="18"/>
          <w:szCs w:val="18"/>
          <w:color w:val="auto"/>
        </w:rPr>
      </w:pPr>
    </w:p>
    <w:p>
      <w:pPr>
        <w:jc w:val="both"/>
        <w:ind w:left="900" w:right="220" w:hanging="368"/>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and clinical trial sites to assure compliance with GCP and the integrity of clinical data in support of the NDA;</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NDA to allow marketing of the new drug product; and</w:t>
      </w:r>
    </w:p>
    <w:p>
      <w:pPr>
        <w:spacing w:after="0" w:line="117"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Before an applicant begins testing a product candidate with potential therapeutic value in humans, the product candidate enters the preclinical testing stage,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IND and IRB Processes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The FDA</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60"/>
        <w:spacing w:after="0" w:line="261" w:lineRule="auto"/>
        <w:rPr>
          <w:sz w:val="20"/>
          <w:szCs w:val="20"/>
          <w:color w:val="auto"/>
        </w:rPr>
      </w:pPr>
      <w:r>
        <w:rPr>
          <w:rFonts w:ascii="Times New Roman" w:cs="Times New Roman" w:eastAsia="Times New Roman" w:hAnsi="Times New Roman"/>
          <w:sz w:val="18"/>
          <w:szCs w:val="18"/>
          <w:color w:val="auto"/>
        </w:rPr>
        <w:t>requires a 30-day waiting period after the filing of each IND before clinical trials may begin. This waiting period is designed to allow the FDA to review the IND to determine, among other things, whether human research subjects will be exposed to unreasonable health risks. At any time during this 30-day period, the FDA may raise concerns or questions about the conduct of the trials as outlined in the IND and impose a clinical hold or partial clinical hold. In these cases, the IND sponsor and the FDA must resolve any outstanding concerns before clinical trials can begin.</w:t>
      </w:r>
    </w:p>
    <w:p>
      <w:pPr>
        <w:spacing w:after="0" w:line="72"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chemistry, manufacturing, and controls areas.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notified the sponsor. The FDA will base that determination on information provided by the sponsor correcting the deficiencies previously cited or otherwise satisfying the FDA that the clinical trial can proceed.</w:t>
      </w:r>
    </w:p>
    <w:p>
      <w:pPr>
        <w:spacing w:after="0" w:line="6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including GCP requirements, of the FDA in order to use the study as support for an IND or application for marketing approval. The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the protocol, or other requirements or if the product candidate has been associated with unexpected serious harm to patients.</w:t>
      </w:r>
    </w:p>
    <w:p>
      <w:pPr>
        <w:spacing w:after="0" w:line="79"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Suspension or termination of development during any phase of clinical trials can occur for many reasons, including if the FDA, an IRB, a data safety monitoring board, or we determine that the participants or patients are being exposed to an unacceptable health risk. Other reasons for suspension or termination may be made by us based on factors such as evolving business objectives and/or the competitive environment.</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NIH for public dissemination on its ClinicalTrials.gov website. Similar requirements for posting clinical trial information are present in the European Union and other countries, as well.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Expanded Access to an Investigational Drug for Treatment Use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registrational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that do not conflict with registrational trials.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firstLine="509"/>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the FDA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7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There is no obligation for a sponsor to make its drug products available for expanded access; however, a sponsor must make its expanded access policy publicly available upon the earlier of initiation of a Phase 2 or Phase 3 clinical trial; or 15 days after the drug or biologic receives designation as a breakthrough therapy, fast track product, or regenerative medicine advanced therapy.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but the phases may overlap or be combined. Additional studies may also be required after approval.</w:t>
      </w:r>
    </w:p>
    <w:p>
      <w:pPr>
        <w:spacing w:after="0" w:line="5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in patients. During Phase 1 clinical trials, information about the investigational drug product’s PK and pharmacological effects may be obtained to permit the design of scientifically valid Phase 2 clinical trials.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 has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that is designed to deliver the data that regulatory authorities will use to decide whether or not to approve, and, if approved, how to appropriately label a drug, is referred to as “pivotal.”</w:t>
      </w:r>
    </w:p>
    <w:p>
      <w:pPr>
        <w:spacing w:after="0" w:line="7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IND annual reports detailing, among other things, the results of the clinical trials must be submitted to the FDA and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75"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2003, or PREA,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that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grant full or partial waivers from the pediatric data requirements. The FDA maintains a list of diseases that are exempt from the requirements of PREA, due to low prevalence of disease in the pediatric population, and product candidates that have received orphan drug designation are generally exempt from PREA requirements, although orphan-designated drugs intended for treatment of certain molecularly targeted cancer indications are not eligible for the exemption.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and Approval of an NDA</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order to obtain approval to market a drug product in the United States, a marketing application must be submitted to the FDA that provides sufficient data establishing the safety and effectiveness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NDA is a vehicle through which applicants formally propose that the FDA approve a new drug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The sponsor of an approved NDA is also subject to an annual program fee.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Under certain circumstances, the FDA may determine the application is not sufficiently complete to permit a substantive review and will issue a refuse to file letter.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The review process and the Prescription Drug User Fee Act, or PDUFA, goal date may be extended by the FDA to consider new information or clarification provided by the applicant, to address a deficiency identified by the FDA in the original submission, or for other reasons.</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3" w:name="page24"/>
    <w:bookmarkEnd w:id="23"/>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Breakthrough Therapy, Priority Review</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FDA has certain programs designed to expedite the development and review of product candidates intended to address an unmet medical need in the treatment of a serious or life-threatening disease or condition. These programs include Fast Track designation, Breakthrough Therapy designation, Priority Review designation and Regenerative Medicine Advanced Therapy designation. Sponsors must request these designations at appropriate points in the development process.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 with the FDA, and the FDA may initiate review of sections of a Fast Track product’s application before the application is complete, in a process called rolling review. The sponsor must also provide, and the FDA must approve, a schedule for the submission of the remaining information, and the sponsor must pay applicable user fees. However, the FDA’s PDUFA goal for reviewing a Fast Track application does not begin until the last section of the application is submitted. In addition, the Fast Track designation may be withdrawn if the FDA believes that the designation is no longer supported by data emerging in the clinical trial process or for the other reasons.</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A product that receives Breakthrough Therapy Designation is eligible for all of the features of Fast Track Designation, and additionally is eligible for intensive guidance throughout the development process and a commitment to involve senior staff.</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may designate a product for Priority Review if it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efficacy biomarker or other measure that is thought to predict clinical benefit but is not itself a measure of clinical benefit. Surrogate endpoints can often be measured more easily or more rapidly than clinical endpoints.</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Under the Food and Drug Omnibus Reform Act of 2022, or FDORA, the FDA is now permitted to require, as appropriate, that such trials be underway prior to approval or within a specific time period after the date accelerated approval is granted. Under FDORA, the FDA has increased authority for expedited procedures to withdraw approval of the product if, for example, the confirmatory trial fails to verify the predicted clinical benefit of the product. In addition, the FDA generally requires, unless otherwise informed by the agency, pre-approval of promotional materials, which could adversely impact the timing of the commercial launch of the product.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(REMS), to help ensure that the benefits of the product outweigh the potential risks. REMS programs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sponsor that obtains regulatory approval for marketing of a new product or a new indication for an existing product, will be subject to numerous post-approval regulatory requirements. The sponsor will be required to report, among other things, certain adverse reactions and manufacturing problems to the FDA, provide updated safety and efficacy information, comply with requirements concerning advertising and promotional labeling requirements, and submit NDA annual reports. Manufacturers and certain of their subcontractors, including those supplying products, ingredients and components,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to maintain compliance with cGMP regulations and other regulatory requirements.</w:t>
      </w:r>
    </w:p>
    <w:p>
      <w:pPr>
        <w:spacing w:after="0" w:line="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may result in revisions to the approved labeling to add new safety information, requirements for post-market studies or clinical trials to assess safety risks; or imposition of distribution or other restrictions under a REMS program. Other potential consequences may include:</w:t>
      </w:r>
    </w:p>
    <w:p>
      <w:pPr>
        <w:spacing w:after="0" w:line="72" w:lineRule="exact"/>
        <w:rPr>
          <w:sz w:val="20"/>
          <w:szCs w:val="20"/>
          <w:color w:val="auto"/>
        </w:rPr>
      </w:pPr>
    </w:p>
    <w:p>
      <w:pPr>
        <w:ind w:left="900" w:hanging="368"/>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900" w:right="220" w:hanging="368"/>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conditions, for a manufacturer to engage in nonpromotional, non-misleading communication regarding off-label information, such as distributing scientific or medical journal information.</w:t>
      </w:r>
    </w:p>
    <w:p>
      <w:pPr>
        <w:spacing w:after="0" w:line="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administrative and judicial enforcement by the FDA, the Department of Justice, or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manufacturers and other parties involved in the drug supply chain for prescription drug products must comply with product tracking and tracing requirements and for notify the FDA of counterfeit, diverted, stolen and intentionally adulterated products or products that are otherwise unfit for distribution in the United States.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505(b)(2) NDAs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or literature for a previously approved drug product, also known as a listed drug. Specifically, Section 505(b)(2) applies to NDAs for which certain investigations made to show whether or not the drug is safe and effective “were not conducted by or for the applicant and for which the applicant has not obtained a right of reference or use from the person by or for whom the investigations were conducted.”</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NDAs filed under Section 505(b)(2)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listed drug has been approved, subject to any regulatory exclusivities or patents for the listed drug (as further described below), as well as for any new indication or use sought by the Section 505(b)(2) applicant.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known as the reference listed drugs, or RLDs. Abbreviated new drug applications, or ANDAs, generally do not include preclinical and clinical data to demonstrate safety and effectiveness. Instead, the applicant must provide information and data showing that its proposed generic version is identical to the RLD with respect to the active ingredients, route of administration, dosage form, strength and conditions of use of the drug. The FDA must also determine whether the generic drug is bioequivalent to the RLD. Under the statute, a generic drug is bioequivalent to a RLD if “the rate and extent of absorption of the drug do not show a significant difference from the rate and extent of absorption of the listed drug.” Upon approval of an ANDA, the FDA indicates whether the</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 w:name="page27"/>
    <w:bookmarkEnd w:id="26"/>
    <w:p>
      <w:pPr>
        <w:ind w:right="160"/>
        <w:spacing w:after="0" w:line="266" w:lineRule="auto"/>
        <w:rPr>
          <w:sz w:val="20"/>
          <w:szCs w:val="20"/>
          <w:color w:val="auto"/>
        </w:rPr>
      </w:pPr>
      <w:r>
        <w:rPr>
          <w:rFonts w:ascii="Times New Roman" w:cs="Times New Roman" w:eastAsia="Times New Roman" w:hAnsi="Times New Roman"/>
          <w:sz w:val="18"/>
          <w:szCs w:val="18"/>
          <w:color w:val="auto"/>
        </w:rPr>
        <w:t>generic product is “therapeutically equivalent” to the RLD in its publication “Approved Drug Products with Therapeutic Equivalence Evaluations,” also referred to as the “Orange Book.” Depending on state laws, generic drugs that are found to be therapeutically equivalent may be automatically substituted for prescriptions for the RLD by the dispensing pharmacist, without the intervention of the prescriber.</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30-Month Stay</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w:t>
      </w:r>
    </w:p>
    <w:p>
      <w:pPr>
        <w:spacing w:after="0" w:line="3" w:lineRule="exact"/>
        <w:rPr>
          <w:sz w:val="20"/>
          <w:szCs w:val="20"/>
          <w:color w:val="auto"/>
        </w:rPr>
      </w:pPr>
    </w:p>
    <w:p>
      <w:pPr>
        <w:ind w:right="540" w:firstLine="8"/>
        <w:spacing w:after="0" w:line="26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applicant is relying on studies conducted for an already approved product, the applicant is required to certify to the FDA concerning any relevant patents listed for the approved product in the Orange Book in the same manner as an ANDA applicant.</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117" w:lineRule="exact"/>
        <w:rPr>
          <w:sz w:val="20"/>
          <w:szCs w:val="20"/>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the application will not be approved until all the listed patents claiming the referenced product have expired (other than method of use patents involving indications for which the applicant is not seeking approval).</w:t>
      </w:r>
    </w:p>
    <w:p>
      <w:pPr>
        <w:spacing w:after="0" w:line="6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If the ANDA or Section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notice. The filing of a patent infringement lawsuit within 45 days after the receipt of a Paragraph IV certification automatically prevents the FDA from approving the ANDA or 505(b)(2) application until the earlier of 30 months after the receipt of the Paragraph IV notice, the expiration of the patent, or a decision in the infringement case that is favorable to the ANDA applicant.</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a result, approval of a Section 505(b)(2) NDA or ANDA may be delayed until all the listed patents claiming the referenced product have expired, until any non-patent exclusivity, such as exclusivity for obtaining approval of a new chemical entity, listed in the Orange Book for the referenced product has expired, or, in the case of a Paragraph IV certification and subsequent patent infringement suit, until the earlier of 30 months, settlement of the lawsuit or a decision in the infringement case that is favorable to the applicant.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 existing regulatory exclusivity or certain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a product with orphan designation receives the first FDA approval for the disease or condition for which it has such designation or for an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Orphan drug exclusivity also may not bar approval of another product under certain specified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an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Law and Regulation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72" w:lineRule="exact"/>
        <w:rPr>
          <w:sz w:val="20"/>
          <w:szCs w:val="20"/>
          <w:color w:val="auto"/>
        </w:rPr>
      </w:pPr>
    </w:p>
    <w:p>
      <w:pPr>
        <w:ind w:left="900" w:right="80" w:hanging="368"/>
        <w:spacing w:after="0" w:line="258"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28" w:name="page29"/>
    <w:bookmarkEnd w:id="28"/>
    <w:p>
      <w:pPr>
        <w:ind w:left="900" w:hanging="368"/>
        <w:spacing w:after="0" w:line="25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0" w:lineRule="exact"/>
        <w:rPr>
          <w:rFonts w:ascii="Times New Roman" w:cs="Times New Roman" w:eastAsia="Times New Roman" w:hAnsi="Times New Roman"/>
          <w:sz w:val="18"/>
          <w:szCs w:val="18"/>
          <w:color w:val="auto"/>
        </w:rPr>
      </w:pPr>
    </w:p>
    <w:p>
      <w:pPr>
        <w:ind w:left="900" w:hanging="368"/>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71" w:lineRule="exact"/>
        <w:rPr>
          <w:rFonts w:ascii="Times New Roman" w:cs="Times New Roman" w:eastAsia="Times New Roman" w:hAnsi="Times New Roman"/>
          <w:sz w:val="18"/>
          <w:szCs w:val="18"/>
          <w:color w:val="auto"/>
        </w:rPr>
      </w:pPr>
    </w:p>
    <w:p>
      <w:pPr>
        <w:ind w:left="900" w:right="20" w:hanging="368"/>
        <w:spacing w:after="0" w:line="254"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83"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53" w:lineRule="exact"/>
        <w:rPr>
          <w:rFonts w:ascii="Times New Roman" w:cs="Times New Roman" w:eastAsia="Times New Roman" w:hAnsi="Times New Roman"/>
          <w:sz w:val="18"/>
          <w:szCs w:val="18"/>
          <w:color w:val="auto"/>
        </w:rPr>
      </w:pPr>
    </w:p>
    <w:p>
      <w:pPr>
        <w:jc w:val="both"/>
        <w:ind w:left="900" w:right="360" w:hanging="368"/>
        <w:spacing w:after="0" w:line="312"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31" w:lineRule="exact"/>
        <w:rPr>
          <w:rFonts w:ascii="Times New Roman" w:cs="Times New Roman" w:eastAsia="Times New Roman" w:hAnsi="Times New Roman"/>
          <w:sz w:val="17"/>
          <w:szCs w:val="17"/>
          <w:color w:val="auto"/>
        </w:rPr>
      </w:pPr>
    </w:p>
    <w:p>
      <w:pPr>
        <w:ind w:left="900" w:right="160" w:hanging="368"/>
        <w:spacing w:after="0" w:line="25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certain other licensed healthcare practitioners and teaching hospitals, as well as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53" w:lineRule="exact"/>
        <w:rPr>
          <w:rFonts w:ascii="Times New Roman" w:cs="Times New Roman" w:eastAsia="Times New Roman" w:hAnsi="Times New Roman"/>
          <w:sz w:val="18"/>
          <w:szCs w:val="18"/>
          <w:color w:val="auto"/>
        </w:rPr>
      </w:pPr>
    </w:p>
    <w:p>
      <w:pPr>
        <w:ind w:left="900" w:right="320" w:hanging="36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5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State laws also govern the privacy and security of personal information, including health information. Many state laws differ from each other in various ways, thus complicating compliance efforts. For example, the California Consumer Protection Act, or CCPA, establishes data privacy rights for individuals located in California and imposes certain requirements on how businesses can collect and use personal information about such individuals. The California Privacy Rights Act, or CPRA, which became effective on January 1, 2023, imposes additional obligations on companies covered by the legislation and significantly modifies the CCPA, including by expanding consumers’ rights with respect to certain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spacing w:after="0" w:line="254" w:lineRule="auto"/>
        <w:rPr>
          <w:sz w:val="20"/>
          <w:szCs w:val="20"/>
          <w:color w:val="auto"/>
        </w:rPr>
      </w:pPr>
      <w:r>
        <w:rPr>
          <w:rFonts w:ascii="Times New Roman" w:cs="Times New Roman" w:eastAsia="Times New Roman" w:hAnsi="Times New Roman"/>
          <w:sz w:val="18"/>
          <w:szCs w:val="18"/>
          <w:color w:val="auto"/>
        </w:rPr>
        <w:t>sensitive personal information, and establishes a state agency vested with the authority to enforce the CCPA. The CCPA catalyzed the enactment of similar, comprehensive privacy and data protection legislation in several other U.S. states, which became effective over the past couple of years, including in Virginia, Colorado, Utah, Connecticut, Montana, Oregon, Texas, Delaware, Iowa, New Hampshire, Nebraska and New Jersey. Other U.S. states have either passed or have proposed similar privacy and data protection legislation. Washington state’s My Health My Data Act, which entered into force on March 31, 2024, expands the definition of consumer health data, affords consumers with privacy rights and creates a private right of action, which could generate litigation. Although many of the existing state privacy laws exempt clinical trial information and health information governed by HIPAA, future privacy and data protection laws may be broader in scope and apply to our business. Further, data privacy and security laws and regulations in foreign jurisdictions, such as the EU’s General Data Protection Regulation, or EU GDPR, and the United Kingdom’s implementation of the same, may impose additional obligations on the collection, use and other processing of personal information, which may be more stringent or different than those in the United States.</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the December 2024 executive order Preventing Access to Americans’ Bulk Sensitive Personal Data and United States Government-Related Data by Countries of Concern as implemented by Department of Justice regulations,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Insurance Coverage and Health Care Reform</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6"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8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8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2010, the United States Congress enacted the ACA, which, among other things, included changes to the coverage and payment for drug products under government health care programs. Among the provisions of the ACA of importance to our potential product candidates are:</w:t>
      </w:r>
    </w:p>
    <w:p>
      <w:pPr>
        <w:spacing w:after="0" w:line="54" w:lineRule="exact"/>
        <w:rPr>
          <w:sz w:val="20"/>
          <w:szCs w:val="20"/>
          <w:color w:val="auto"/>
        </w:rPr>
      </w:pPr>
    </w:p>
    <w:p>
      <w:pPr>
        <w:ind w:left="900" w:right="80" w:hanging="368"/>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thereby potentially increasing a manufacturer’s Medicaid rebate liability;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900" w:right="280" w:hanging="368"/>
        <w:spacing w:after="0" w:line="261"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(later replaced effective January 1, 2025 with the Medicare Part D Manufacturer Discount Program); and</w:t>
      </w:r>
    </w:p>
    <w:p>
      <w:pPr>
        <w:spacing w:after="0" w:line="71" w:lineRule="exact"/>
        <w:rPr>
          <w:rFonts w:ascii="Times New Roman" w:cs="Times New Roman" w:eastAsia="Times New Roman" w:hAnsi="Times New Roman"/>
          <w:sz w:val="18"/>
          <w:szCs w:val="18"/>
          <w:color w:val="auto"/>
        </w:rPr>
      </w:pPr>
    </w:p>
    <w:p>
      <w:pPr>
        <w:ind w:left="900" w:right="420" w:hanging="368"/>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The Budget Control Act of 2011, among other things, created measures for spending reductions by Congress. This includes aggregate reductions of Medicare payments to providers up to 2% per fiscal year. Subsequent legislation extended the 2% which remains in effect through 2031. The American Taxpayer Relief Act of 2012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will be further reduced starting in 2025 absent further legislation.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Other legislative changes since the ACA was enacted include the American Rescue Plan Act of 2021, effective January 1, 2024, under which Medicaid statutory rebates are no longer capped at 100% of AMP (average manufacturer price).</w:t>
      </w:r>
    </w:p>
    <w:p>
      <w:pPr>
        <w:spacing w:after="0" w:line="8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are not yet known.</w:t>
      </w:r>
    </w:p>
    <w:p>
      <w:pPr>
        <w:spacing w:after="0" w:line="8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Numerous executive orders designed to reduce prescription drug costs have been issued and may be issued in the future. Although a number of these and other proposed measures may require authorization through additional legislation to become effective, and the sitting presidential administration may reverse or otherwise change these measures, it is expected that the presidential administration and Congress will continue to seek new measures to control drug costs.</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ind w:right="380"/>
        <w:spacing w:after="0" w:line="266" w:lineRule="auto"/>
        <w:rPr>
          <w:sz w:val="20"/>
          <w:szCs w:val="20"/>
          <w:color w:val="auto"/>
        </w:rPr>
      </w:pPr>
      <w:r>
        <w:rPr>
          <w:rFonts w:ascii="Times New Roman" w:cs="Times New Roman" w:eastAsia="Times New Roman" w:hAnsi="Times New Roman"/>
          <w:sz w:val="18"/>
          <w:szCs w:val="18"/>
          <w:color w:val="auto"/>
        </w:rPr>
        <w:t>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the European Union</w:t>
      </w:r>
    </w:p>
    <w:p>
      <w:pPr>
        <w:spacing w:after="0" w:line="12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ind w:right="140" w:firstLine="509"/>
        <w:spacing w:after="0" w:line="263" w:lineRule="auto"/>
        <w:rPr>
          <w:sz w:val="20"/>
          <w:szCs w:val="20"/>
          <w:color w:val="auto"/>
        </w:rPr>
      </w:pPr>
      <w:r>
        <w:rPr>
          <w:rFonts w:ascii="Times New Roman" w:cs="Times New Roman" w:eastAsia="Times New Roman" w:hAnsi="Times New Roman"/>
          <w:sz w:val="18"/>
          <w:szCs w:val="18"/>
          <w:color w:val="auto"/>
        </w:rPr>
        <w:t>In April 2014, the EU adopted the Clinical Trials Regulation, (EU) No 536/2014, which replaced the Clinical Trials Directive 2001/20/EC on January 31, 2022. The Clinical Trials Regulation is directly applicable in all EU Member States meaning no national implementing legislation in each EU Member State is required. The Clinical Trials Regulation aims to simplify and streamline the approval of clinical trials in the EU. Under the new coordinated procedure for the approval of clinical trials, the sponsor of a clinical trial is required to submit a single application for approval of a clinical trial to a reporting EU Member State through the EU portal known as the Clinical Trials Information System, or CTIS. The submission procedure is the same irrespective of whether the clinical trial is to be conducted in a single EU Member State or in more than one EU Member State.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where the marketing authorization application, or MAA, will be made through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Committee for Medicinal Products for Human Use, or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throughout the EU, and in the additional Member States of the European Economic Area: Iceland, Liechtenstein and Norway. Pursuant to Regulation (EC) No 726/2004, the centralized procedure is compulsory for specific products, including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60"/>
        <w:spacing w:after="0" w:line="256" w:lineRule="auto"/>
        <w:rPr>
          <w:sz w:val="20"/>
          <w:szCs w:val="20"/>
          <w:color w:val="auto"/>
        </w:rPr>
      </w:pPr>
      <w:r>
        <w:rPr>
          <w:rFonts w:ascii="Times New Roman" w:cs="Times New Roman" w:eastAsia="Times New Roman" w:hAnsi="Times New Roman"/>
          <w:sz w:val="18"/>
          <w:szCs w:val="18"/>
          <w:color w:val="auto"/>
        </w:rPr>
        <w:t>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We anticipate that the centralized procedure will be mandatory for the product candidates we are developing.</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evaluation might be granted by the CHMP in exceptional cases, when a medicinal product is expected to be of major interest from the point of view of public health and in particular from the viewpoint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w:t>
      </w:r>
    </w:p>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a marketing authorization under exceptional circumstances may be granted subject to certain specific obligations, which may include the following:</w:t>
      </w:r>
    </w:p>
    <w:p>
      <w:pPr>
        <w:spacing w:after="0" w:line="79" w:lineRule="exact"/>
        <w:rPr>
          <w:sz w:val="20"/>
          <w:szCs w:val="20"/>
          <w:color w:val="auto"/>
        </w:rPr>
      </w:pPr>
    </w:p>
    <w:p>
      <w:pPr>
        <w:ind w:left="900" w:right="30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3" w:lineRule="exact"/>
        <w:rPr>
          <w:rFonts w:ascii="Times New Roman" w:cs="Times New Roman" w:eastAsia="Times New Roman" w:hAnsi="Times New Roman"/>
          <w:sz w:val="18"/>
          <w:szCs w:val="18"/>
          <w:color w:val="auto"/>
        </w:rPr>
      </w:pPr>
    </w:p>
    <w:p>
      <w:pPr>
        <w:ind w:left="900" w:right="34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54"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intended for treating, preventing or diagnosing seriously debilitating or life-threatening diseases (including medicines designated as orphan medicinal products), if (i) the risk-benefit balance of the product candidate is positive, (ii) it is likely that the applicant will be in a position to provide the required comprehensive clinical trial data post-authorization,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A conditional marketing authorization can be converted into a standard centralized marketing authorization (no longer subject to specific obligations) once the marketing authorization holder fulfils the obligations imposed and the complete data confirm that the medicine’s benefits continue to outweigh its risks.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7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and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an additional two-year period of market exclusivity, a generic or biosimilar MAA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and independent data package of pharmaceutical tests, preclinical tests and clinical trials.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require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Paediatric Studies and Exclusivity</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Prior to obtaining a marketing authorization in the EU,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line="254" w:lineRule="auto"/>
        <w:rPr>
          <w:sz w:val="20"/>
          <w:szCs w:val="20"/>
          <w:color w:val="auto"/>
        </w:rPr>
      </w:pPr>
      <w:r>
        <w:rPr>
          <w:rFonts w:ascii="Times New Roman" w:cs="Times New Roman" w:eastAsia="Times New Roman" w:hAnsi="Times New Roman"/>
          <w:sz w:val="18"/>
          <w:szCs w:val="18"/>
          <w:color w:val="auto"/>
        </w:rPr>
        <w:t>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population are included in the product information, even when negative, the medicine is then eligible for an additional six-month period of qualifying patent protection through extension of the term of the Supplementary Protection Certificate or SPC, provided an application for such extension is made at the same time as filing the SPC application for the product, or at any point up to two years before the SPC expires. The incentive in the case of orphan medicinal products is that a two year extension of the orphan market exclusivity may be available. This pediatric reward is subject to specific conditions and is not automatically available when data in compliance with the PIP are developed and submitted.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Designation and Exclusivity</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product can be designated as an orphan product by the European Commission if its sponsor can establish: (1) that the product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MAA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However, a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If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54" w:lineRule="exact"/>
        <w:rPr>
          <w:sz w:val="20"/>
          <w:szCs w:val="20"/>
          <w:color w:val="auto"/>
        </w:rPr>
      </w:pPr>
    </w:p>
    <w:p>
      <w:pPr>
        <w:ind w:left="900" w:right="220" w:hanging="368"/>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53" w:lineRule="exact"/>
        <w:rPr>
          <w:rFonts w:ascii="Times New Roman" w:cs="Times New Roman" w:eastAsia="Times New Roman" w:hAnsi="Times New Roman"/>
          <w:sz w:val="18"/>
          <w:szCs w:val="18"/>
          <w:color w:val="auto"/>
        </w:rPr>
      </w:pPr>
    </w:p>
    <w:p>
      <w:pPr>
        <w:ind w:left="900" w:right="120" w:hanging="368"/>
        <w:spacing w:after="0" w:line="25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(EU) 2017/1572,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9" w:lineRule="exact"/>
        <w:rPr>
          <w:rFonts w:ascii="Times New Roman" w:cs="Times New Roman" w:eastAsia="Times New Roman" w:hAnsi="Times New Roman"/>
          <w:sz w:val="18"/>
          <w:szCs w:val="18"/>
          <w:color w:val="auto"/>
        </w:rPr>
      </w:pPr>
    </w:p>
    <w:p>
      <w:pPr>
        <w:ind w:left="900" w:right="60" w:hanging="368"/>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of the aforementioned EU rules are generally applicable in the European Economic Area, or EEA, which consists of the EU Member States, plus Norway, Liechtenstein and Iceland.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Decisions for Approved Products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8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Special pricing and reimbursement rules may apply to orphan products. Inclusion of orphan products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products, if approved in those countries.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 including personal health data, is subject to the EU GDPR, which became effective on May 25, 2018. Following the United Kingdom’s, or UK’s, withdrawal from the EU, or Brexit, the EU GDPR has been incorporated into UK laws, or UK GDPR (together with the EU GDPR,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and the UK, including the United States,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United Kingdom formally left the EU on January 31, 2020, and the EU and 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the United Kingdom has implemented EU legislation on the marketing, promotion and sale of medicinal products through the Human Medicines Regulations 2012 (as amended). Except in respect of the EU Clinical Trials Regulation, the regulatory regime in the UK therefore currently largely aligns with EU regulations, however it is possible that these regimes will diverge more significantly in future now that the UK’s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procedure that was put in place by the Medicines and Healthcare products Regulatory Agency, or MHRA, on January 1, 2024, the MHRA may take into account decisions on the approval of a marketing authorization from the EMA (and certain other regulators) when considering an application for a UK marketing authorization.</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United Kingdom. In particular, the MHRA is now responsible for approving all medicinal products destined for the UK market (i.e., Great Britain and Northern Ireland), and the EMA no longer has any role in approving medicinal products destined for Northern Ireland under the centralized procedure.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EU/UK companies to transfer personal information to third countries, including the United States), because it requires us to implement a variety of different contractual clauses approved by EU or UK regulators. There may be further divergence in the future, including with regard to administrative burdens. The UK has announced plans to reform the country’s data protection legal framework in its Data Reform Bill, which will introduce significant changes from the EU GDPR.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Mission &amp; Our Employees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launched with a bold vision to change the course of genetically defined diseases by developing small molecules to treat them at their root cause. Our approach to drug discovery generates significant insights into disease biology and allows us to think creatively about the best way to modulate and balance gene expression. Our patient-focused product discovery approach is designed to systematically identify and validate cellular drug targets that can modulate gene expression to treat the known root cause of genetically defined diseases. We take great pride in being purposeful patient partners who do this work, not just for patients, but with patients.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view our employees as one of our most valuable assets in serving our mission. We believe that our future success is dependent on attracting, motivating and retaining talented employees. We value the health and wellness of our employees and their families. We aim to create an equitable, inclusive and empowering work environment in which our employees can grow and advance their careers, with the overall goal of developing, expanding and retaining our workforce to support our current pipeline and future business goals. Our success also depends on our ability to attract, engage and retain a diverse group of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Behaviors Support Our Mission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believe success comes when we and our employees align with our mission to improve the lives of patients with genetically-defined rare diseases in areas of high unmet medical need. We are the FULcrew united around these Pillars:</w:t>
      </w:r>
    </w:p>
    <w:p>
      <w:pPr>
        <w:spacing w:after="0" w:line="54"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great pride in being Purposeful Patient Partners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culture of Trust and Transparency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7" w:name="page38"/>
    <w:bookmarkEnd w:id="37"/>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Invested in our People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Playful spirit and have fun together at work</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Fulcrum with a Bold Scientific Vision and remain committed to this journey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of Human Capital</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effectively leverage and manage our peoples, we ensure our hiring needs are directly aligned with our strategy, we invest in our people focused on their development and journey while at Fulcrum and most importantly we identify our key talent to ensure we are focused on their retention. We track and report internally on key talent metrics including a focus on overall headcount and by function, hiring metrics, career development (promotions, etc.), turnover trends, and employee demographics (including race, gender, ethnicity). Our senior executives use these metrics to make thoughtful decisions around our people including resource planning, recruitment and retention initiatives and design of compensation and benefits programs. We share these metrics quarterly with the senior executives and board of directors to assist it in fulfilling its duties to (a) establish our enterprise compensation philosophy,</w:t>
      </w:r>
    </w:p>
    <w:p>
      <w:pPr>
        <w:spacing w:after="0" w:line="5" w:lineRule="exact"/>
        <w:rPr>
          <w:sz w:val="20"/>
          <w:szCs w:val="20"/>
          <w:color w:val="auto"/>
        </w:rPr>
      </w:pPr>
    </w:p>
    <w:p>
      <w:pPr>
        <w:ind w:right="40" w:firstLine="8"/>
        <w:spacing w:after="0" w:line="260"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compensation plans, (c) evaluate the performance of our executive officers and key employees and (d) review and monitor management development and succession plans.</w:t>
      </w:r>
    </w:p>
    <w:p>
      <w:pPr>
        <w:spacing w:after="0" w:line="73"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As of February 18, 2025, we had 45 full-time employees, including a total of 13 employees with M.D. or Ph.D. degrees. Of these full-time employees, 30 employees are engaged in research and development. None of our employees are represented by labor unions or covered by collective bargaining agreements. We consider our relationship with our employees to be good.</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strongly believe in a workplace where all our employees can thrive in an inclusive environment free from discrimination, harassment, bias and prejudice. We aim to treat all individuals with respect and dignity and to provide all our employees with equal opportunity and fair treatment based on merit.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Compensation &amp; Benefits</w:t>
      </w:r>
    </w:p>
    <w:p>
      <w:pPr>
        <w:spacing w:after="0" w:line="121" w:lineRule="exact"/>
        <w:rPr>
          <w:sz w:val="20"/>
          <w:szCs w:val="20"/>
          <w:color w:val="auto"/>
        </w:rPr>
      </w:pPr>
    </w:p>
    <w:p>
      <w:pPr>
        <w:ind w:right="40" w:firstLine="509"/>
        <w:spacing w:after="0" w:line="263" w:lineRule="auto"/>
        <w:rPr>
          <w:sz w:val="20"/>
          <w:szCs w:val="20"/>
          <w:color w:val="auto"/>
        </w:rPr>
      </w:pPr>
      <w:r>
        <w:rPr>
          <w:rFonts w:ascii="Times New Roman" w:cs="Times New Roman" w:eastAsia="Times New Roman" w:hAnsi="Times New Roman"/>
          <w:sz w:val="18"/>
          <w:szCs w:val="18"/>
          <w:color w:val="auto"/>
        </w:rPr>
        <w:t>Given the highly competitive nature of our industry and the importance of recruitment and retention to our success, we strive to furnish our employees with what we believe is a very competitive and comprehensive total rewards package of compensation, benefits and services. This package includes competitive compensation, including equity compensation, and comprehensive benefits program that provides resources to help employees manage their health and well-being, finances, and life outside of work (promoting flexibility), including health insurance and dental care, vision insurance, disability insurance, paid sick leave, paid family leave, matching contributions to a 401(k) plan, employee stock purchase plan, paid time off (inclusive of vacation, holidays, focus days) and employee assistance services.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26 Landsdowne Street, Cambridge, MA 02139, and our telephone number is 617-651-8851. Our internet website address is www.fulcrumtx.com. The information contained on, or that can be accessed through, our website is not a part of this Annual Report on Form 10-K.</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Annual Report on Form 10-K for a discussion of some of the forward-looking statements that are qualified by these risk factors. Factors that could cause or contribute to such differences include those factors discussed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$9.7 million for the year ended December 31, 2024 and $97.3 million for the year ended December 31, 2023. As of December 31, 2024, we had an accumulated deficit of $519.4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1"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 and any future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the potential treatment of inherited aplastic anemias, such as DBA, Shwachman-Diamond syndrome, and Fanconi anemia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CAMP4 under our license agreement with CAMP4;</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as needed;</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any product candidate and commercialization of any of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 and</w:t>
      </w:r>
    </w:p>
    <w:p>
      <w:pPr>
        <w:spacing w:after="0" w:line="53"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any future commercialization efforts, as needed, and our operations as a public company.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for our current product candidates.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4" w:lineRule="exact"/>
        <w:rPr>
          <w:sz w:val="20"/>
          <w:szCs w:val="20"/>
          <w:color w:val="auto"/>
        </w:rPr>
      </w:pPr>
    </w:p>
    <w:p>
      <w:pPr>
        <w:ind w:left="900" w:right="64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53" w:lineRule="exact"/>
        <w:rPr>
          <w:rFonts w:ascii="Times New Roman" w:cs="Times New Roman" w:eastAsia="Times New Roman" w:hAnsi="Times New Roman"/>
          <w:sz w:val="18"/>
          <w:szCs w:val="18"/>
          <w:color w:val="auto"/>
        </w:rPr>
      </w:pPr>
    </w:p>
    <w:p>
      <w:pPr>
        <w:ind w:left="900" w:right="120" w:hanging="383"/>
        <w:spacing w:after="0" w:line="26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further delays in completing our ongoing clinical trial or otherwise in the development of any of our current or future product candidates, such as due to any further clinical holds imposed by the FDA (similar to the hold on the IND application for pociredir in SCD that was lifted in August 2023), or due to enrollment challenges (such as for our ongoing clinical trial of pociredir in light of the more stringent inclusion and exclusion criteria); or</w:t>
      </w:r>
    </w:p>
    <w:p>
      <w:pPr>
        <w:spacing w:after="0" w:line="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activities, particularly as we continue our clinical development of pociredir, continue research and development and initiate additional clinical trials of, and seek regulatory approval for, this and any other product candidates. We expect our expenses to increase substantially in connection with our ongoing activities, particularly as we advance our preclinical activities and Phase 1b clinical trial of pociredir in SCD. In addition, if we obtain regulatory approval for any of our product candidates, we expect to incur significant commercialization expenses related to product manufacturing, sales, marketing and distribution, particularly if we do not out-license our product candidate.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1b clinical trial of pociredir in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w:t>
      </w:r>
    </w:p>
    <w:p>
      <w:pPr>
        <w:spacing w:after="0" w:line="11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any of our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MyoKardia or under our license agreement with CAMP4;</w:t>
      </w:r>
    </w:p>
    <w:p>
      <w:pPr>
        <w:spacing w:after="0" w:line="117" w:lineRule="exact"/>
        <w:rPr>
          <w:rFonts w:ascii="Times New Roman" w:cs="Times New Roman" w:eastAsia="Times New Roman" w:hAnsi="Times New Roman"/>
          <w:sz w:val="18"/>
          <w:szCs w:val="18"/>
          <w:color w:val="auto"/>
        </w:rPr>
      </w:pPr>
    </w:p>
    <w:p>
      <w:pPr>
        <w:ind w:left="900" w:right="64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for commercialization;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780" w:hanging="368"/>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had cash, cash equivalents, and marketable securities of approximately $241.0 million. We believe that our cash, cash equivalents, and marketable securities as of December 31, 2024 will enable us to fund our operating expenses and capital expenditure requirements into at least 2027.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7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For example, we invested significant time and effort into developing losmapimod for FSHD but did not demonstrate a statistically significant difference between losmapimod and placebo on the primary endpoint in the Phase 3 REACH trial, for which we announced topline data in September 2024 and thereafter discontinued development. In addition, our product candidates, if approved, may not achieve commercial success. Commercial revenues, if any, will not be derived unless and until we can achieve sales of products, which we do not anticipate for several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recent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bring our product candidates to market. We may also choose to further realign our operations to achieve additional operational efficiencies beyond the recent strategic realignment effected in September 2024.</w:t>
      </w:r>
    </w:p>
    <w:p>
      <w:pPr>
        <w:spacing w:after="0" w:line="30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1" w:name="page42"/>
    <w:bookmarkEnd w:id="41"/>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and in the future anticipate we will rely,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February 2024, we established a new ATM offering program to sell shares of our common stock having an aggregate offering price of up to $100.0 million from time to time. Given the overall volatility in the capital markets,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have been focused on research and development and conducting clinical trials, which may make it difficult for stockholders to evaluate the success of our business to date and to assess our future viability.</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or arrange for a third party to do so on our behalf. Consequently, any predictions stockholders make about our future success or viability may not be as accurate as they could be if we had a history of successfully developing and commercializing products.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as our business evolves, we may encounter unforeseen expenses, difficulties, complications, delays and other known and unknown factors, such as our announcement in September 2024 that our Phase 3 REACH trial evaluating losmapimod for FSHD did not achieve its primary endpoint of change from baseline in relative surface area compared to placebo, and subsequent implementation of a plan to reprioritize research and development activities to focus on our other programs and reduction in workforce. If we are successful in moving our current pipeline programs through the clinic, we will need to transition at some point from a company with a research and development focus to a company capable of supporting commercial activities. We may not be successful in such a transition.</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under Section 174 of the U.S. Internal Revenue Code 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ind w:right="60"/>
        <w:spacing w:after="0" w:line="261" w:lineRule="auto"/>
        <w:rPr>
          <w:sz w:val="20"/>
          <w:szCs w:val="20"/>
          <w:color w:val="auto"/>
        </w:rPr>
      </w:pPr>
      <w:r>
        <w:rPr>
          <w:rFonts w:ascii="Times New Roman" w:cs="Times New Roman" w:eastAsia="Times New Roman" w:hAnsi="Times New Roman"/>
          <w:sz w:val="18"/>
          <w:szCs w:val="18"/>
          <w:color w:val="auto"/>
        </w:rPr>
        <w:t>1986, as amended, or the Code, in taxable years beginning after December 31, 2021, expenses that are incurred for research and development in the United States will be capitalized and amortized, which may have an adverse effect on our cash flow.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federal net operating loss carryforwards of $5.0 million, which may be available to offset future taxable income and do not expire, but are limited in their usage to an annual deduction equal to 80% of annual taxable income. As of December 31, 2024, we had state net operating loss carryforwards of $6.2 million, which begin to expire in 2044. As of December 31, 2024, we also had federal orphan drug credits of $2.2 million, which begin to expire in 2044. As of December 31, 2024, we also had federal and state research and development tax credit carryforwards of $2.5 million and $0.2 million, respectively, which begin to expire in 2039. These net operating loss and tax credit carryforwards could expire unused and be unavailable to offset future income tax liabilities.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of the Code to determine if historical changes in ownership would limit or otherwise restrict our ability to utilize our pre-change net operating losses and research and development tax credit carryforwards to offset future taxable income, and we determined that all net operating loss carryforwards and credits generated before September 12, 2024 are limited. As a result, the carryfowards before the ownership change date of September 12, 2024 are not available for utilization and have been written off. The carryfowards as of December 31, 2024 were generated after the ownership change on September 12, 2024. If we experience a change of control, as defined by Section 382, subsequent to December 31, 2024, utilization of the net operating loss carryforwards or research and development tax credit carryforwards would be subject to an annual limitation under Section 382.</w:t>
      </w:r>
    </w:p>
    <w:p>
      <w:pPr>
        <w:spacing w:after="0" w:line="80"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4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March 2023, a number of banks (e.g., Silicon Valley Bank, Signature Bank and Silvergate Capital Corp.) were placed into receivership, followed by First Republic Bank in May 2023. Although the Federal Deposit Insurance Corporation, or FDIC, and others have taken steps to reduce risk to uninsured depositors, borrowers under credit agreements, letters of credit and certain other financial instruments with such banks or any other financial institution that is placed into receivership by the FDIC may be unable to access undrawn amounts thereunder.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currently have one product candidate in active clinical development. If we are unable to commercialize directly or out-license to a third party any of our product candidates or experience significant delays in doing so, our business will be materially harmed.</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early in our development efforts, and we have advanced only two product candidates into clinical trials. In September 2024, we announced that REACH, our Phase 3 clinical trial of losmapimod for the treatment of FSHD, did not meet its primary endpoint and we suspended development of losmapimod. As a result, we currently only have one product candidate in active clinical development, pociredir for the treatment of SCD. We have invested substantially all of our efforts and financial resources in identifying and validating and conducting clinical trials on cellular drug targets that can potentially modulate gene expression to address the root cause of genetically-defined rare diseases. Our ability to generate product revenues, which we do not expect will occur for several years, if ever, will depend heavily on the successful development, regulatory approval and eventual commercialization of any of our product candidates. The success of any of our product candidates will depend on several factors, including the following:</w:t>
      </w:r>
    </w:p>
    <w:p>
      <w:pPr>
        <w:spacing w:after="0" w:line="81" w:lineRule="exact"/>
        <w:rPr>
          <w:sz w:val="20"/>
          <w:szCs w:val="20"/>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by the FDA or other regulatory agencies of the INDs, clinical trial applications, or CTAs, or other regulatory filings;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development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receipt of any regulatory approvals.</w:t>
      </w:r>
    </w:p>
    <w:p>
      <w:pPr>
        <w:spacing w:after="0" w:line="11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any product candidates, which would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current strategy is focused on developing small molecules to improve the lives of patients with genetically defined rare diseases.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discovery technologies or any of our research or development programs will not cause significant delays or unanticipated costs, or that such development problems can be solved. If we do not successfully identify, develop, obtain regulatory approval for and commercialize product candidates, we will not be able to generate product revenues.</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44" w:name="page45"/>
    <w:bookmarkEnd w:id="44"/>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currently only have one product candidate in active clinical development following our recent decision to suspend further development of losmapimod. The risk of failure for product candidates is high and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 in humans. We have not yet completed a pivotal clinical trial of any product candidate that demonstrated that our product candidate is safe and effective for its intended use. For example, in September 2024, we announced that REACH, our Phase 3 trial evaluating losmapimod in patients with FSHD, did not successfully achieve its primary endpoint as compared to placebo, and we suspended further development of losmapimod. Additionally, pociredir, our clinical-stage candidate to treat SCD, is an embryonic ectoderm development, or EED, inhibitor. EED is a member of the PRC2 complex, which also includes EZH2. There are approved products in the EZH2 class of medications and their approved labeling outlines safety risks, including an increased risk of malignancies. In the event that pociredir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For example, in February 2023, the FDA imposed a clinical hold on our IND for pociredir in SCD. We worked diligently to resolve the hold as soon as possible, and in August 2023, the FDA lifted the clinical hold.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86"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For example, we revised the inclusion and exclusion criteria of our clinical trial of pociredir in SCD to address the clinical hold imposed by the FDA, and are experiencing some difficulty enrolling patients who meet the updated more stringent criteria. While we are expanding our clinical trial sites, including outside the United States, to identify suitable patients that meet the new criteria, there can be no certainty as to whether we will be successful in completing the clinical trial with its revised design.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In September 2024 we suspended further development of losmapimod after topline data from the Phase 3 REACH trial indicated that it did not achieve its primary endpoint of change from baseline in relative surface area, a measure of reachable work space, compared to placebo.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5" w:name="page46"/>
    <w:bookmarkEnd w:id="45"/>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22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80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3"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such as with the recent Phase 3 REACH trial,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right="380" w:hanging="368"/>
        <w:spacing w:after="0" w:line="312"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1" w:lineRule="exact"/>
        <w:rPr>
          <w:rFonts w:ascii="Times New Roman" w:cs="Times New Roman" w:eastAsia="Times New Roman" w:hAnsi="Times New Roman"/>
          <w:sz w:val="17"/>
          <w:szCs w:val="17"/>
          <w:color w:val="auto"/>
        </w:rPr>
      </w:pPr>
    </w:p>
    <w:p>
      <w:pPr>
        <w:ind w:left="900" w:hanging="368"/>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7"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(for example, we initially experienced difficulty enrolling patients who met the updated inclusion and exclusion criteria for our trial of pociredir in SCD)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900" w:right="4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00" w:right="440" w:hanging="368"/>
        <w:spacing w:after="0" w:line="312"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6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900" w:right="68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ind w:left="900" w:right="180" w:hanging="368"/>
        <w:spacing w:after="0" w:line="25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such as the Russian invasion of Ukraine or hostilities in Israel, Lebanon and the Gaza Strip, changes in U.S. economic policy that adversely impact the U.S. economy and/or economies worldwide, or instability from an outbreak of pandemic or contagious disease in or around the countries in which we conduct our clinical trials (such as closure of clinical trial sites, like we experienced in our ReDUX4 clinical trial due to COVID-19), could delay the commencement or rate of completion of our clinical trials; and</w:t>
      </w:r>
    </w:p>
    <w:p>
      <w:pPr>
        <w:spacing w:after="0" w:line="75"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Further, in February 2023, the FDA imposed a clinical hold on our IND for pociredir in SCD, which halted our clinical trial until the FDA lifted the clinical hold in August 2023.</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such as our recent topline data from the Phase 3 REACH trial, or are only modestly positive or if there are safety concerns, we may:</w:t>
      </w:r>
    </w:p>
    <w:p>
      <w:pPr>
        <w:spacing w:after="0" w:line="68" w:lineRule="exact"/>
        <w:rPr>
          <w:sz w:val="20"/>
          <w:szCs w:val="20"/>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further development (such as with losmapimod for FSHD);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requires that we enroll a sufficient number of patients that meet both the enrollment criteria, and who remain in the trial until its conclusion. For example, in our Phase 1b trial of pociredir, although we enrolled six subjects in the initial cohort, only three subjects remained evaluable as of the initial data cutoff date. Subsequently, we modified the study protocol to monitor subject adherence. However,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We revised the design of our clinical trial of pociredir in SCD to address the clinical hold imposed by the FDA, and there can be no certainty as to whether we will be successful in completing the clinical trial with its revised design, which include updated inclusion and exclusion criteria and thus a narrower set of eligible patients, which is making enrollment difficult despite opening a number of sites for such trial. Because of our primary focus on genetically-defined rare diseases, we may have difficulty enrolling a sufficient number of eligible patients.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17" w:lineRule="exact"/>
        <w:rPr>
          <w:sz w:val="20"/>
          <w:szCs w:val="20"/>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 (such as with our trial of pociredir for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7" w:name="page48"/>
    <w:bookmarkEnd w:id="47"/>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current or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our product candidate.</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example, in February 2023, the FDA placed our IND for pociredir on clinical hold based on hematological malignancies observed in nonclinical toxicology studies. We addressed the FDA’s concern as diligently as possible, including FDA’s request for information about an SCD patient population with an appropriate benefit-risk profile for further clinical development of pociredir, and FDA's request for information to define the potential risk in any further studies that may be conducted in healthy volunteers. Although the FDA lifted the clinical hold in August 2023, we cannot make assurances that patients treated with pociredir will not develop hematological malignancies or other adverse events in the future. We also cannot make assurances that additional observations in preclinical studies of hematological malignancies or other adverse events will not occur. If such additional adverse events were to emerge, further advancement of our clinical studies could be halted or delayed and we may not receive regulatory approval for pociredir. Even if we receive regulatory approval for pociredir, our labeling may be restricted and/or market acceptance for our product may be diminished, and the commercial potential of our pociredir program may be materially and negatively impacted.</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5540" w:right="3040" w:hanging="5008"/>
        <w:spacing w:after="0" w:line="407" w:lineRule="auto"/>
        <w:tabs>
          <w:tab w:leader="none" w:pos="9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11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For example, we recently suspended further development of losmapimod after devoting significant time, effort and capital on the program but it did not meet its primary endpoint in the Phase 3 REACH trial.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9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a clinical trial of pociredir in patients with SCD in Africa, and the FDA may not accept data from trials conducted in such locations.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currently conducting a Phase 1b clinical trial of pociredir in patients with SCD in Africa. We may also conduct additional clinical trials of other product candidates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5" w:lineRule="exact"/>
        <w:rPr>
          <w:sz w:val="20"/>
          <w:szCs w:val="20"/>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117"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our product candidate may be smaller than we expect, and as a result our product revenue may be limited and it may be more difficult for us to achieve or maintain profitability.</w:t>
      </w:r>
    </w:p>
    <w:p>
      <w:pPr>
        <w:spacing w:after="0" w:line="2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0" w:name="page51"/>
    <w:bookmarkEnd w:id="50"/>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future, we may build a focused, specialty sales and marketing infrastructure to market one or more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6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We likely will have little control over such third parties, and any of them may fail to devote the necessary resources and attention to sell and market our products effectively. Further, there can be no guarantee that we will be able to successfully enter into arrangements with third parties to perform sales, marketing or distribution services. If we do not establish sales, marketing and distribution capabilities successfully, either on our own or in collaboration with third parties, we will not be successful in commercializing our product candidates.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See Item 1 “Business — Competition” for more information.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For example, in December 2023, the FDA approved CASGEVY (exagamglogene autotemcel) and LYFGENIA (lovotibeglogene autotemcel), the first ex vivo cell-based gene therapies for the treatment of SCD. CASGEVY has also been FDA-approved for the treatment of transfusion-dependent beta-thalassemia.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8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82"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Further, the pricing and reimbursement of our product candidates, if approved, is uncertain, but must be adequate to support commercial infrastructure. If we are unable to obtain adequate levels of reimbursement, our ability to successfully market and sell any approved products will be adversely affected.</w:t>
      </w:r>
    </w:p>
    <w:p>
      <w:pPr>
        <w:spacing w:after="0" w:line="280"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2" w:name="page53"/>
    <w:bookmarkEnd w:id="52"/>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 or products or such quantities at an acceptable cost or quality, which could delay, prevent or impair our development or commercialization efforts.</w:t>
      </w:r>
    </w:p>
    <w:p>
      <w:pPr>
        <w:spacing w:after="0" w:line="51"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quantities of pociredir from a CMO for the completion of our Phase 1b clinical trial for SCD, we cannot be sure we have correctly estimated our drug product requirements, which could delay, prevent or impair our development efforts.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expect to rely on third parties for the manufacture of pociredir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legislative proposals are pending that, if enacted, could negatively impact U.S. funding for certain biotechnology providers having relationships with foreign adversaries or which pose a threat to national security. The potential downstream adverse impacts on entities having commercial relationships with any impacted biotechnology providers are unknown but may include supply chain disruptions or delays. 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7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4" w:name="page55"/>
    <w:bookmarkEnd w:id="54"/>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99" w:lineRule="exact"/>
        <w:rPr>
          <w:sz w:val="20"/>
          <w:szCs w:val="20"/>
          <w:color w:val="auto"/>
        </w:rPr>
      </w:pPr>
    </w:p>
    <w:p>
      <w:pPr>
        <w:jc w:val="both"/>
        <w:ind w:left="900" w:right="300" w:hanging="368"/>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 which could include localized disputes that have a broader regional or global impact (such as the Russian invasion of Ukraine or recent hostilities in Israel, Lebanon, and the Gaza Strip);</w:t>
      </w:r>
    </w:p>
    <w:p>
      <w:pPr>
        <w:spacing w:after="0" w:line="6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17"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 (such as the recent announced tariffs by the current U.S. administration);</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32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9" w:lineRule="exact"/>
        <w:rPr>
          <w:sz w:val="20"/>
          <w:szCs w:val="20"/>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currently rely on third-party contract CROs to conduct our clinical trials.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a collaboration and license agreement with MyoKardia (for certain genetically defined cardiomyopathies). We may in the future enter into additional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These third party arrangements generally do not provide us with the ability to control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8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Collaborations that we enter into, including our collaboration with MyoKardia, may not be successful, and any success will depend heavily on the efforts and activities of such collaborators. Collaborations pose a number of risks, including the following:</w:t>
      </w:r>
    </w:p>
    <w:p>
      <w:pPr>
        <w:spacing w:after="0" w:line="54" w:lineRule="exact"/>
        <w:rPr>
          <w:sz w:val="20"/>
          <w:szCs w:val="20"/>
          <w:color w:val="auto"/>
        </w:rPr>
      </w:pPr>
    </w:p>
    <w:p>
      <w:pPr>
        <w:ind w:left="900" w:right="88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80" w:hanging="368"/>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any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ind w:left="900" w:right="12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58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14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900" w:right="56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right="60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60" w:hanging="368"/>
        <w:spacing w:after="0" w:line="261"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16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our former collaboration with Acceleron Pharma, Inc.), and, if terminated, we could be required to raise additional capital to pursue further development or commercialization of the applicable product candidates.</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our collaborator terminates its agreement with us, we may find it more difficult to attract new collaborators and our perception in the business and financial communities could be adversely affected.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For example, we entered into a collaboration and license agreement with Sanofi, granting Sanofi an exclusive license under certain intellectual property rights to commercialize losmapimod outside of the United States (which Sanofi has terminated for convenience in light of the REACH trial results). In addition,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may also be restricted under existing or future license agreements from entering into agreements on certain terms with potential collaborators.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while we are performing the research activities pursuant to the research plan and for a specified period thereafter. Further, our agreement with Sanofi included certain restrictions on our ability to research, develop, manufacture, commercialize, use, or otherwise exploit any compound or product that binds or otherwise modulates p38a/b MAPK anywhere in the world, except losmapimod in the United States.</w:t>
      </w:r>
    </w:p>
    <w:p>
      <w:pPr>
        <w:spacing w:after="0" w:line="84"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3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ind w:firstLine="50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w:t>
      </w:r>
    </w:p>
    <w:p>
      <w:pPr>
        <w:spacing w:after="0" w:line="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issued and pending U.S. non-provisional and provisional applications provide protection for the pharmaceutical compositions and methods of use for pociredir,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75"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8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0" w:name="page61"/>
    <w:bookmarkEnd w:id="60"/>
    <w:p>
      <w:pPr>
        <w:ind w:right="40"/>
        <w:spacing w:after="0" w:line="255" w:lineRule="auto"/>
        <w:rPr>
          <w:sz w:val="20"/>
          <w:szCs w:val="20"/>
          <w:color w:val="auto"/>
        </w:rPr>
      </w:pPr>
      <w:r>
        <w:rPr>
          <w:rFonts w:ascii="Times New Roman" w:cs="Times New Roman" w:eastAsia="Times New Roman" w:hAnsi="Times New Roman"/>
          <w:sz w:val="18"/>
          <w:szCs w:val="18"/>
          <w:color w:val="auto"/>
        </w:rPr>
        <w:t>product candidate receives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8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for additional information regarding patent laws and patent protection.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issued European patents could be subject to the jurisdiction of the UPC.</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to protect or enforce our patent or other intellectual property rights, we may become involved in such lawsuits, which could be expensive, time-consuming and unsuccessful.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ind w:right="20"/>
        <w:spacing w:after="0" w:line="256" w:lineRule="auto"/>
        <w:rPr>
          <w:sz w:val="20"/>
          <w:szCs w:val="20"/>
          <w:color w:val="auto"/>
        </w:rPr>
      </w:pPr>
      <w:r>
        <w:rPr>
          <w:rFonts w:ascii="Times New Roman" w:cs="Times New Roman" w:eastAsia="Times New Roman" w:hAnsi="Times New Roman"/>
          <w:sz w:val="18"/>
          <w:szCs w:val="18"/>
          <w:color w:val="auto"/>
        </w:rPr>
        <w:t>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9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party to license and funding agreements,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that we use in our discovery efforts, all of which are non-exclusive. While we still face all of the risks described herein with respect to those agreements, we cannot prevent third parties from also accessing those technologies. In addition, our licenses may place restrictions on our future business opportunities.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4" w:name="page65"/>
    <w:bookmarkEnd w:id="64"/>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discovery technology.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6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6" w:name="page67"/>
    <w:bookmarkEnd w:id="66"/>
    <w:p>
      <w:pPr>
        <w:ind w:left="900" w:right="10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w:t>
      </w:r>
    </w:p>
    <w:p>
      <w:pPr>
        <w:spacing w:after="0" w:line="53"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discovery technology are protected by trade secrets, but much is not protected by intellectual property, including patents, trade secrets and know-how, and we may not be able to develop, acquire or in-license any patentable technologies or other intellectual property related to the unprotected portions of our discovery portfolio;</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right="40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7" w:name="page68"/>
    <w:bookmarkEnd w:id="67"/>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the change in presidential administration, funding shortages or potential funding shortages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spacing w:after="0" w:line="7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clear or approve new products can be affected by a variety of factors, including government budget and funding levels, ability to hire and retain key personnel and accept the payment of user fees, shifting policy priorities as a result of changes in the Presidential administration and political appointees tasked to oversee the agency,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 Currently, federal agencies in the United States are operating under a continuing resolution that is set to expire on March 14, 2025.</w:t>
      </w:r>
    </w:p>
    <w:p>
      <w:pPr>
        <w:spacing w:after="0" w:line="7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slow the time necessary for review and approval, which could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our submissions, which could have a material adverse effect on our business and our timelines.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European Union, may designate drugs for relatively small patient populations as orphan drugs. We may seek orphan drug designation for our other current and future product candidates.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w:t>
      </w:r>
    </w:p>
    <w:p>
      <w:pPr>
        <w:spacing w:after="0" w:line="8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5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or the EMA can subsequently approve the same drug for the same condition if the FDA or the EMA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380"/>
        <w:spacing w:after="0" w:line="282" w:lineRule="auto"/>
        <w:rPr>
          <w:sz w:val="20"/>
          <w:szCs w:val="20"/>
          <w:color w:val="auto"/>
        </w:rPr>
      </w:pPr>
      <w:r>
        <w:rPr>
          <w:rFonts w:ascii="Times New Roman" w:cs="Times New Roman" w:eastAsia="Times New Roman" w:hAnsi="Times New Roman"/>
          <w:sz w:val="18"/>
          <w:szCs w:val="18"/>
          <w:color w:val="auto"/>
        </w:rPr>
        <w:t>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granted fast track designation to pociredir for the treatment of SCD, and we may seek fast track designation for some of our other product candidates as well as breakthrough therapy designation.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may require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9" w:name="page70"/>
    <w:bookmarkEnd w:id="69"/>
    <w:p>
      <w:pPr>
        <w:ind w:right="220"/>
        <w:spacing w:after="0" w:line="266" w:lineRule="auto"/>
        <w:rPr>
          <w:sz w:val="20"/>
          <w:szCs w:val="20"/>
          <w:color w:val="auto"/>
        </w:rPr>
      </w:pPr>
      <w:r>
        <w:rPr>
          <w:rFonts w:ascii="Times New Roman" w:cs="Times New Roman" w:eastAsia="Times New Roman" w:hAnsi="Times New Roman"/>
          <w:sz w:val="18"/>
          <w:szCs w:val="18"/>
          <w:color w:val="auto"/>
        </w:rPr>
        <w:t>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product candidates from being marketed abroad.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8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84"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5540" w:right="3360" w:hanging="5008"/>
        <w:spacing w:after="0" w:line="407" w:lineRule="auto"/>
        <w:tabs>
          <w:tab w:leader="none" w:pos="9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0" w:name="page71"/>
    <w:bookmarkEnd w:id="70"/>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jc w:val="both"/>
        <w:ind w:right="520" w:firstLine="509"/>
        <w:spacing w:after="0" w:line="289" w:lineRule="auto"/>
        <w:rPr>
          <w:sz w:val="20"/>
          <w:szCs w:val="20"/>
          <w:color w:val="auto"/>
        </w:rPr>
      </w:pPr>
      <w:r>
        <w:rPr>
          <w:rFonts w:ascii="Times New Roman" w:cs="Times New Roman" w:eastAsia="Times New Roman" w:hAnsi="Times New Roman"/>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9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 United Kingdom’s laws, or UK GDPR, alongside the UK Data Protection Act 2018, and together with the EU GDPR, is referred to as GDPR.</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may be further divergence in the future, including with regard to administrative burdens.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This may lead to additional compliance costs and could increase our overall risk exposure as we may no longer be able to take a unified approach across the European Union and the United Kingdom, and we will need to amend our processes and procedures to align with the new framework.</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 data protection laws are either in place or under way in the United States. There are a broad variety of privacy and data security laws and regulations that may be applicable to our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or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More than a dozen other states have implemented privacy legislation similar to the CCPA or are preparing to implement their own regulatory frameworks. For example, Washington state’s My Health My Data Act, which took effect in March 2024, expands the definition of consumer health data, affords consumers with privacy rights and creates a private right of action, which could generate litigation. A wide range of enforcement agencies at both the state and federal levels, such as the Federal Trade Commission and state Attorneys General have been increasingly aggressive in reviewing and enforcing privacy and data security-related consumer protection laws. Regulators and legislators in the U.S. are increasingly scrutinizing and restricting certain personal data transfers and transactions involving foreign countries. See Item 1 “Business –Government Regulation and Product Approvals” for more information.</w:t>
      </w:r>
    </w:p>
    <w:p>
      <w:pPr>
        <w:spacing w:after="0" w:line="8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2" w:name="page73"/>
    <w:bookmarkEnd w:id="72"/>
    <w:p>
      <w:pPr>
        <w:spacing w:after="0" w:line="282" w:lineRule="auto"/>
        <w:rPr>
          <w:sz w:val="20"/>
          <w:szCs w:val="20"/>
          <w:color w:val="auto"/>
        </w:rPr>
      </w:pPr>
      <w:r>
        <w:rPr>
          <w:rFonts w:ascii="Times New Roman" w:cs="Times New Roman" w:eastAsia="Times New Roman" w:hAnsi="Times New Roman"/>
          <w:sz w:val="18"/>
          <w:szCs w:val="18"/>
          <w:color w:val="auto"/>
        </w:rPr>
        <w:t>government investigations into these issues typically require the expenditure of significant resources and generate negative publicity, which could harm our reputation and our business.</w:t>
      </w:r>
    </w:p>
    <w:p>
      <w:pPr>
        <w:spacing w:after="0" w:line="26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 and affect the prices we may obtain for any products that are approved in the United States or foreign jurisdictions.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for more information.</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example, the Inflation Reduction Act of 2022,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B and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Inflation Reduction Act of 2022 on our business and the healthcare industry in general is not yet known.</w:t>
      </w:r>
    </w:p>
    <w:p>
      <w:pPr>
        <w:spacing w:after="0" w:line="8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3" w:name="page74"/>
    <w:bookmarkEnd w:id="73"/>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74" w:name="page75"/>
    <w:bookmarkEnd w:id="74"/>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disruption of our product development programs.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We, and our third party service providers, have experienced cyber incidents in the past, and we cannot guarantee that the measures we take to prevent, detect and respond to cyber-attacks will be effective to prevent or remediate future incidents.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w:t>
      </w:r>
    </w:p>
    <w:p>
      <w:pPr>
        <w:spacing w:after="0" w:line="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 We cannot be sure that our cyber insurance coverage will be adequate or sufficient to protect us from or to mitigate liabilities arising out of any such disruption in, or failure or security incident, breach, or compromise of our system or third-party systems.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have had recent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addition, we rely on consultants and advisors, including scientific and clinical</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6" w:name="page77"/>
    <w:bookmarkEnd w:id="76"/>
    <w:p>
      <w:pPr>
        <w:ind w:right="20"/>
        <w:spacing w:after="0" w:line="258" w:lineRule="auto"/>
        <w:rPr>
          <w:sz w:val="20"/>
          <w:szCs w:val="20"/>
          <w:color w:val="auto"/>
        </w:rPr>
      </w:pPr>
      <w:r>
        <w:rPr>
          <w:rFonts w:ascii="Times New Roman" w:cs="Times New Roman" w:eastAsia="Times New Roman" w:hAnsi="Times New Roman"/>
          <w:sz w:val="18"/>
          <w:szCs w:val="18"/>
          <w:color w:val="auto"/>
        </w:rPr>
        <w:t>advisors, to assist us in formulating our research and development and commercialization strategy. In August 2022 and September 2024, we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8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if appropriate,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As we continue to expand our pipeline, we expect that we will experience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February 18, 2025, our executive officers and directors and our stockholders who owned more than 5% of our outstanding common stock in the aggregate beneficially owned shares representing approximately 71.3%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17" w:lineRule="exact"/>
        <w:rPr>
          <w:sz w:val="20"/>
          <w:szCs w:val="20"/>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329" w:lineRule="exact"/>
        <w:rPr>
          <w:sz w:val="20"/>
          <w:szCs w:val="20"/>
          <w:color w:val="auto"/>
        </w:rPr>
      </w:pPr>
    </w:p>
    <w:p>
      <w:pPr>
        <w:jc w:val="both"/>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7" w:name="page78"/>
    <w:bookmarkEnd w:id="77"/>
    <w:p>
      <w:pPr>
        <w:ind w:left="900" w:right="440" w:hanging="368"/>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hanging="368"/>
        <w:spacing w:after="0" w:line="26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140" w:hanging="368"/>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ind w:left="900" w:right="82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products, if and when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8" w:name="page79"/>
    <w:bookmarkEnd w:id="78"/>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scaled disclosure requirements applicable to smaller reporting companies may make our common stock less attractive to investors.</w:t>
      </w:r>
    </w:p>
    <w:p>
      <w:pPr>
        <w:spacing w:after="0" w:line="5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or SRC. For so long as we remain an SRC, we are permitted and intend to rely on certain scaled disclosure requirements that are applicable to other public companies that are not SRCs. These scaled disclosure requirements include:</w:t>
      </w:r>
    </w:p>
    <w:p>
      <w:pPr>
        <w:spacing w:after="0" w:line="54" w:lineRule="exact"/>
        <w:rPr>
          <w:sz w:val="20"/>
          <w:szCs w:val="20"/>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540" w:hanging="368"/>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a public company we have incurred, and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9" w:name="page80"/>
    <w:bookmarkEnd w:id="79"/>
    <w:p>
      <w:pPr>
        <w:ind w:right="140"/>
        <w:spacing w:after="0" w:line="258" w:lineRule="auto"/>
        <w:rPr>
          <w:sz w:val="20"/>
          <w:szCs w:val="20"/>
          <w:color w:val="auto"/>
        </w:rPr>
      </w:pPr>
      <w:r>
        <w:rPr>
          <w:rFonts w:ascii="Times New Roman" w:cs="Times New Roman" w:eastAsia="Times New Roman" w:hAnsi="Times New Roman"/>
          <w:sz w:val="18"/>
          <w:szCs w:val="18"/>
          <w:color w:val="auto"/>
        </w:rPr>
        <w:t>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SRC,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6"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80"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121"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At Fulcrum Therapeutics, we recognize the importance of assessing, identifying, and managing risks from cybersecurity threats. We have implemented a cybersecurity risk management process in accordance with our risk profile and business that is informed by industry standards and is integrated into our enterprise risk management process.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leverage the support of third-party information technology and security providers, including for periodic security testing and risk assessments, as part of our risk management process, designed to identify, assess, and manage cybersecurity risks. We conduct employee cybersecurity training and maintain an incident response and notification plan designed to assist us in identifying, responding to, and recovering from cybersecurity incidents. Further, we regularly evaluate and update our existing cybersecurity policies and procedures as appropriate to continue to align them to our risk profile.</w:t>
      </w:r>
    </w:p>
    <w:p>
      <w:pPr>
        <w:spacing w:after="0" w:line="7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have a process to assess the security practices of certain third-party vendors, including through the use of vendor security questionnaires, as appropriate.</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Although risks from cybersecurity threats have to date not materially affected us, our business strategy, results of operations or financial condition, we have, from time to time, experienced threats to and breaches of our and our third party vendors’ data and systems. For more information about these risks, please refer to the section entitled “Risk Factors” in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21" w:lineRule="exact"/>
        <w:rPr>
          <w:sz w:val="20"/>
          <w:szCs w:val="20"/>
          <w:color w:val="auto"/>
        </w:rPr>
      </w:pPr>
    </w:p>
    <w:p>
      <w:pPr>
        <w:jc w:val="both"/>
        <w:ind w:right="700" w:firstLine="509"/>
        <w:spacing w:after="0" w:line="266" w:lineRule="auto"/>
        <w:rPr>
          <w:sz w:val="20"/>
          <w:szCs w:val="20"/>
          <w:color w:val="auto"/>
        </w:rPr>
      </w:pPr>
      <w:r>
        <w:rPr>
          <w:rFonts w:ascii="Times New Roman" w:cs="Times New Roman" w:eastAsia="Times New Roman" w:hAnsi="Times New Roman"/>
          <w:sz w:val="18"/>
          <w:szCs w:val="18"/>
          <w:color w:val="auto"/>
        </w:rPr>
        <w:t>Our Executive Director, IT &amp; Operations, or Executive Director, who reports to the Chief Financial Officer, is responsible for the strategic leadership and direction of our cybersecurity program. With over 15 years of experience in information technology, the Executive Director works alongside individuals across other functions, such as legal and engineering, to establish and implement our cybersecurity strategy.</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Executive Director and our Chief Legal Officer participate in periodic discussions with other members of our management, including executive leadership, regarding implementation of our cybersecurity program, program enhancements, and relevant cyber risks or threats. Our Chief Legal Officer has received the National Association of Corporate Directors CERT Certificate in Cyber-Risk Oversight.</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audit committee has oversight over cybersecurity risks. With the input of the executive team, the Executive Director provides annual presentations to the audit committee on our cyber program, including updates on security testing and assessments, cyber risks, and related cyber strategy as applicable. The management team will also update the full board of directors on matters related to cybersecurity as needed.</w:t>
      </w:r>
    </w:p>
    <w:p>
      <w:pPr>
        <w:spacing w:after="0" w:line="68"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Additionally, we have implemented an enterprise risk management process, which addresses cyber risks. This process is led by our Chief Legal Officer and includes participation by the board of directors, as appropriate. Our Chief Legal Officer reports regularly on the enterprise risk management process to executive leadership and the audit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Our principal facilities consist of office and laboratory space. We occupy approximately 28,731 square feet of office space in Cambridge, Massachusetts under a lease that currently expires in June 2028.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April 28, 2023, a class action complaint was filed in the United States District Court for the District of New Jersey against our company and current and former officers, or the Securities Action. On May 19, 2023, the Securities Action was transferred to the United States District Court for the District of Massachusetts, captioned </w:t>
      </w:r>
      <w:r>
        <w:rPr>
          <w:rFonts w:ascii="Times New Roman" w:cs="Times New Roman" w:eastAsia="Times New Roman" w:hAnsi="Times New Roman"/>
          <w:sz w:val="18"/>
          <w:szCs w:val="18"/>
          <w:i w:val="1"/>
          <w:iCs w:val="1"/>
          <w:color w:val="auto"/>
        </w:rPr>
        <w:t>Celano v. Fulcrum Therapeutics, Inc</w:t>
      </w:r>
      <w:r>
        <w:rPr>
          <w:rFonts w:ascii="Times New Roman" w:cs="Times New Roman" w:eastAsia="Times New Roman" w:hAnsi="Times New Roman"/>
          <w:sz w:val="18"/>
          <w:szCs w:val="18"/>
          <w:color w:val="auto"/>
        </w:rPr>
        <w:t>., et al., Case No. 1:23-cv-11125-IT. On July 31, 2023, the court appointed a lead plaintiff, who filed an amended complaint on September 29, 2023. The Securities Action alleges violations of Section 10(b) of the Exchange Act and Rule 10b-5 promulgated thereunder against all defendants and control person violations of Section 20(a) against the individuals, related to our February 2023 announcement that the FDA issued a clinical hold regarding the IND application for pociredir for the potential treatment of SCD.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1" w:name="page82"/>
    <w:bookmarkEnd w:id="81"/>
    <w:p>
      <w:pPr>
        <w:spacing w:after="0" w:line="266" w:lineRule="auto"/>
        <w:rPr>
          <w:sz w:val="20"/>
          <w:szCs w:val="20"/>
          <w:color w:val="auto"/>
        </w:rPr>
      </w:pPr>
      <w:r>
        <w:rPr>
          <w:rFonts w:ascii="Times New Roman" w:cs="Times New Roman" w:eastAsia="Times New Roman" w:hAnsi="Times New Roman"/>
          <w:sz w:val="18"/>
          <w:szCs w:val="18"/>
          <w:color w:val="auto"/>
        </w:rPr>
        <w:t>costs. On November 28, 2023, all defendants filed a motion to dismiss the Securities Action. Briefing was completed on the motion in February 2024, and the court held a hearing on the motion in September 2024. The motion to dismiss is currently pending. We intend to defend vigorously against this litigation.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1" w:right="45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common stock trades under the symbol “FULC” on the Nasdaq Global Market and has been publicly traded since July 18, 2019. Prior to this time,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February 18, 2025, there were approximately 11 holders of record of shares of our common stock. This number does not include stockholders for whom shares are held in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 Our clinical-stage product candidate, pociredir, is being developed for the potential treatment of sickle cell disease, or SCD.</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January 2023, we announced interim data from our Phase 1b clinical trial of pociredir in SCD. We completed enrollment in the 6 mg and 2 mg dose cohorts, and do not plan to enroll additional subjects in these cohorts. Although we commenced enrollment in the 12 mg dose cohort, in February 2023 the FDA placed a full clinical hold on the investigational new drug, or IND, application for pociredir for SCD, which was lifted in August 2023. Following the clinical hold, we amended the protocol to revise the inclusion and exclusion criteria for the Phase 1b clinical trial to target subjects with higher disease severity. We reinitiated the Phase 1b clinical trial at the 12 mg once daily dose level in the fourth quarter of 2023, with that cohort expected to enroll approximately 10 subjects, to be followed by an additional cohort of approximately 10 subjects at the 20 mg once daily dose level. Subjects are evaluated over a 12-week treatment period. We have enrolled 10 patients in the 12 mg dose cohort, and we expect to provide clinical data from the 12 mg dose cohort in mid-2025 and from the 20 mg dose cohort by the end of 2025.</w:t>
      </w:r>
    </w:p>
    <w:p>
      <w:pPr>
        <w:spacing w:after="0" w:line="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2024, we announced </w:t>
      </w:r>
      <w:r>
        <w:rPr>
          <w:rFonts w:ascii="Times New Roman" w:cs="Times New Roman" w:eastAsia="Times New Roman" w:hAnsi="Times New Roman"/>
          <w:sz w:val="18"/>
          <w:szCs w:val="18"/>
          <w:color w:val="212529"/>
        </w:rPr>
        <w:t>topline results from our Phase 3 REACH clinical trial of losmapimod in facioscapulohumeral muscular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dystrophy, or FSHD. The Phase 3 REACH trial did not achieve its primary endpoint of change from baseline in relative surface area with losmapimod compared to placebo. In addition, secondary endpoints did not achieve nominal statistical significance. The safety and tolerability profile of losmapimod was consistent with previously reported studies. We plan to share the results at an upcoming medical meeting. Based on the results of the REACH trial, we have suspended future development of losmapimod.</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September 2024, we also announced a strategic plan to reprioritize research and development activities and are now focused on advancing pociredir for the treatment of SCD, novel therapeutic agents for the potential treatment of inherited aplastic anemias, such as DBA, Shwachman-Diamond syndrome, and Fanconi anemia, and our other discovery programs. The plan reduced our workforce from 80 to 51 full-time employees, including a reduction of positions across both research and development and general and administrative functions. We estimate that this restructuring will result in annual operating expense savings of approximately $10.0 million beginning in the first quarter of 2025.</w:t>
      </w:r>
    </w:p>
    <w:p>
      <w:pPr>
        <w:spacing w:after="0" w:line="75"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7"/>
          <w:szCs w:val="17"/>
          <w:color w:val="auto"/>
        </w:rPr>
        <w:t>In addition to our product candidates, we developed a discovery approach that we employ to systematically identify and validate cellular drug targets that can potentially modulate gene expression to treat known root causes of genetically defined rare diseases. Our discovery approach led to the identification of pociredir for SCD, as well as other drug candidates. We continue to advance our program for the potential treatment of inherited aplastic anemias, such as DBA, Shwachman-Diamond syndrome, and Fanconi anemia, and we plan to submit an IND for DBA during the fourth quarter of 2025.</w:t>
      </w:r>
    </w:p>
    <w:p>
      <w:pPr>
        <w:spacing w:after="0" w:line="5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technologies,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capital stock and from upfront payments received under our collaboration and license agreements.</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$9.7 million and $97.3 million for the years ended December 31, 2024 and 2023, respectively. As of December 31, 2024, we had an accumulated deficit of $519.4 million. We expect our expenses and operating losses will increase substantially over the next several years in connection with our ongoing activities, as we:</w:t>
      </w:r>
    </w:p>
    <w:p>
      <w:pPr>
        <w:spacing w:after="0" w:line="75" w:lineRule="exact"/>
        <w:rPr>
          <w:sz w:val="20"/>
          <w:szCs w:val="20"/>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4" w:name="page85"/>
    <w:bookmarkEnd w:id="84"/>
    <w:p>
      <w:pPr>
        <w:ind w:left="900" w:right="320" w:hanging="383"/>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the potential treatment of inherited aplastic anemias, such as DBA, Shwachman-Diamond syndrome, and Fanconi anemia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CAMP4 under our license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had $241.0 million in cash, cash equivalents, and marketable securities. We believe that our existing cash, cash equivalents, and marketable securities as of December 31, 2024 will enable us to fund our operating expenses and capital expenditure requirements into at least 2027. We have based this estimate on assumptions that may prove to be wrong, and we could exhaust our available capital resources sooner than we expect. See “—Liquidity and Capital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May 2024, we entered into a collaboration and license agreement with Sanofi, pursuant to which we granted Sanofi an exclusive license under certain intellectual property rights to commercialize losmapimod, an oral small molecule for the treatment of FSHD outside of the United States.</w:t>
      </w:r>
    </w:p>
    <w:p>
      <w:pPr>
        <w:spacing w:after="0" w:line="54"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2024, we recognized $80.0 million of revenue associated with the upfront license payment. During the year ended December 31, 2024, we recorded a $8.1 million reduction in research and development expenses in connection with global development activities for losmapimod. During the year ended December 31, 2024, we recognized no revenue associated with the Sanofi territory-specific manufacturing activities for losmapimod. As a result of the suspension of </w:t>
      </w:r>
      <w:r>
        <w:rPr>
          <w:rFonts w:ascii="Times New Roman" w:cs="Times New Roman" w:eastAsia="Times New Roman" w:hAnsi="Times New Roman"/>
          <w:sz w:val="18"/>
          <w:szCs w:val="18"/>
          <w:color w:val="212529"/>
        </w:rPr>
        <w:t>future development of losmapimod, and Sanofi’s recent notification of termination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convenience, we do not expect to recognize additional revenues under the Sanofi collaboration agreement.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ind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collaboration and license agreement with MyoKardia, which we amended in April 2023 and again in July 2024,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 We satisfied our obligation to perform research services as of December 31, 2023.</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MyoKardia collaboration agreement, we received a $10.0 million upfront payment and a $2.5 million payment as prepaid research funding in July 2020. MyoKardia agreed to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8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we recognized no collaboration revenue under the MyoKardia collaboration agreement. For the year ended December 31, 2023 we recognized $2.8 million of collaboration revenue under the MyoKardia collaboration agreement. As of December 31, 2024 and December 31, 2023, we have recorded no deferred revenue associated with the MyoKardia collaboration agreement. As of December 31, 2024, we had received $7.7 million of cost reimbursement payments and $2.5 million of milestone payments under the MyoKardia collaboration agreement. As of December 31, 2024, we recorded no unbilled accounts receivable related to reimbursable research and development costs under the MyoKardia collaboration agreement for activities performed during the three months ended December 31, 2024.</w:t>
      </w:r>
    </w:p>
    <w:p>
      <w:pPr>
        <w:spacing w:after="0" w:line="7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the future, we may generate revenue from milestones and royalty payments under the MyoKardia collaboration agreement. We expect that our revenue may fluctuate from quarter-to-quarter and year-to-year as a result of the timing, amount, and achievement of milestones under the MyoKardia collaboration agreement.</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54" w:lineRule="exact"/>
        <w:rPr>
          <w:sz w:val="20"/>
          <w:szCs w:val="20"/>
          <w:color w:val="auto"/>
        </w:rPr>
      </w:pPr>
    </w:p>
    <w:p>
      <w:pPr>
        <w:ind w:left="900" w:right="76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3"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individuals involved in research and development efforts;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ind w:right="420"/>
        <w:spacing w:after="0" w:line="282" w:lineRule="auto"/>
        <w:rPr>
          <w:sz w:val="20"/>
          <w:szCs w:val="20"/>
          <w:color w:val="auto"/>
        </w:rPr>
      </w:pPr>
      <w:r>
        <w:rPr>
          <w:rFonts w:ascii="Times New Roman" w:cs="Times New Roman" w:eastAsia="Times New Roman" w:hAnsi="Times New Roman"/>
          <w:sz w:val="18"/>
          <w:szCs w:val="18"/>
          <w:color w:val="auto"/>
        </w:rPr>
        <w:t>prepaid expenses. These amounts are recognized as an expense as the goods are delivered or the related services are performed, or until it is no longer expected that the goods will be delivered or the services rendered.</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for the years ended December 31, 2024 and 2023. Pre-development candidate expenses, unallocated expenses and internal research and development expenses are classified separately. Payments to or reimbursements from Sanofi related to global development activities are accounted for as an increase to or reduction of losmapimod external expenses.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63,386</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2" w:lineRule="exact"/>
        <w:rPr>
          <w:sz w:val="20"/>
          <w:szCs w:val="20"/>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if applicable, commercialize our product candidates if and when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 (including defending and enforcing our rights);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7" w:name="page88"/>
    <w:bookmarkEnd w:id="87"/>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in future periods as we continue to implement our business strategy, which includes advancing pociredir for the treatment of SCD,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approval and commercialization. There are numerous factors associated with obtaining regulatory approval and the successful commercialization of any of our product candidates, including future trial design and various regulatory requirements, many of which cannot be determined with accuracy at this time based on our stage of development.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continued research and development activities and planned commercialization activities, including establishing a sales, marketing and distribution infrastructure to commercialize any medicines for which we may obtain marketing approval. These increases will likely include increased costs related to the hiring of additional personnel, legal, audit, filing fees, and general compliance and consulting expenses, among other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2024, we announced a plan to reprioritize research and development activities to focus on advancing pociredir for the treatment of SCD, novel therapeutic agents for the treatment of inherited aplastic anemias, such as DBA, Shwachman-Diamond syndrome, and Fanconi anemia, and our other discovery programs. The plan reduced our workforce from 80 to 51 full-time employees, including a reduction of positions across both research and development and general and administrative functions.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years ended December 31, 2024 and 2023, along with the changes in those items in dollars: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(8,415 )</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(5,220 )</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Restructuring expense</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101,897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(11,572 )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(21,897 )</w:t>
            </w:r>
          </w:p>
        </w:tc>
        <w:tc>
          <w:tcPr>
            <w:tcW w:w="3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(110,664 )</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(9,725 )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(97,335 )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-599440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-599440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-599440</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increased by $77.2 million from $2.8 million for the year ended December 31, 2023 to $80.0 million for the year ended December 31, 2024. The increase was primarily attributable to the recognition of $80.0 million of revenue associated with the upfront license payment received during the year ended December 31, 2024 under the Sanofi collaboration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2024 and 2023:</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41,179</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(4,852 )</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(754 )</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(1,973 )</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63,386</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(8,415 )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-170815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$8.4 million from $71.8 million for the year ended December 31, 2023 to $63.4 million for the year ended December 31, 2024. The decrease in research and development expense was primarily attributable to the following:</w:t>
      </w:r>
    </w:p>
    <w:p>
      <w:pPr>
        <w:spacing w:after="0" w:line="54" w:lineRule="exact"/>
        <w:rPr>
          <w:sz w:val="20"/>
          <w:szCs w:val="20"/>
          <w:color w:val="auto"/>
        </w:rPr>
      </w:pPr>
    </w:p>
    <w:p>
      <w:pPr>
        <w:ind w:left="900" w:hanging="383"/>
        <w:spacing w:after="0" w:line="266"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of decreased external research and development costs, primarily due to $8.1 million of reimbursement from the global development cost sharing under our collaboration with Sanofi for losmapimod, partially offset by increased development costs associated with the advancement of REACH, as we completed enrollment in September 2023, as well as increased costs associated with pociredir;</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decreased laboratory costs;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of decreased employee compensation costs due to decreased headcount, which reflects a partial offset of $0.9 million in increased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of decreased facilities costs;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of decreased other costs.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years ended December 31, 2024 and 2023:</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19,754</w:t>
            </w:r>
          </w:p>
        </w:tc>
        <w:tc>
          <w:tcPr>
            <w:tcW w:w="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24,809</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(5,055 )</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(1,033 )</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(5,220 )</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-24765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$5.3 million from $41.7 million for the year ended December 31, 2023 to $36.4 million for the year ended December 31, 2024. The decrease in general and administrative expenses was primarily attributable to the following:</w:t>
      </w:r>
    </w:p>
    <w:p>
      <w:pPr>
        <w:spacing w:after="0" w:line="54" w:lineRule="exact"/>
        <w:rPr>
          <w:sz w:val="20"/>
          <w:szCs w:val="20"/>
          <w:color w:val="auto"/>
        </w:rPr>
      </w:pPr>
    </w:p>
    <w:p>
      <w:pPr>
        <w:ind w:left="900" w:right="72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million of decreased employee compensation costs due to decreased headcount, including a $1.1 million decrease in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of decreased facility costs primarily as a result of the expiration of our lease agreement for office space at 125 Sidney Street;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in decreased other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$1.0 million in increased professional services costs, primarily due to increased legal and commercial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Other income, net decreased by $1.1 million from $13.3 million for the year ended December 31, 2023 to $12.2 million for the year ended December 31, 2024. The decrease in other income, net was primarily attributable to a decrease in our average cash, cash equivalents, and marketable securities balance.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December 31, 2024, we have funded our operations primarily with aggregate gross proceeds of $792.5 million from the sale of shares of our capital stock and from upfront payments received under our collaboration and license agreements. As of December 31, 2024, we had cash, cash equivalents, and marketable securities of $241.0 million.</w:t>
      </w:r>
    </w:p>
    <w:p>
      <w:pPr>
        <w:spacing w:after="0" w:line="86"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8"/>
          <w:szCs w:val="18"/>
          <w:color w:val="auto"/>
        </w:rPr>
        <w:t>In February 2024,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agreement with Cantor Fitzgerald &amp; Co. and Stifel, Nicolaus &amp; Company, Incorporated, as agents, with respect to an at-the-market offering program pursuant to which we may offer and sell, from time to time in our sole discretion, shares of our common stock, par value $0.001 per share, having an aggregate offering price of up to $100.0 million through the agents. As of December 31, 2024, we have not issued or sold any shares of common stock under the at-the-market offering program.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2024 and 2023:</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(2,218 )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(90,965 )</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(36,692 )</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32,758</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(9,535 )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-170815</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$2.2 million during the year ended December 31, 2024 compared to $91.0 million during the year ended December 31, 2023. The decrease in net cash used in operating activities of $88.8 million was primarily due to the receipt of the $80.0 million upfront license payment during the year ended December 31, 2024 under the Sanofi collaboration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$32.2 million during the year ended December 31, 2024 compared to net cash used in investing activities of $36.7 million during the year ended December 31, 2023. The increase in net cash provided by investing activities of $68.9 million was primarily due to net maturities of marketable securities during the year ended December 31, 2024, as compared to net purchases of marketable securities during the year ended December 31,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$2.7 million during the year ended December 31, 2024 compared to $118.1 million during the year ended December 31, 2023. Net cash provided by financing activities during the year ended December 31, 2024 consisted of net proceeds of $2.7 million from the issuance of common stock under our benefit plans. Net cash provided by financing activities during the year ended December 31, 2023 primarily consisted of net proceeds of $117.3 million from the January 2023 public offering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some of which are in the discovery stage of development. In addition, we expect to incur additional costs to support the growth of our organization when appropriate. As a result, we expect to incur substantial operating losses and negative operating cash flows for the foreseeable future.</w:t>
      </w:r>
    </w:p>
    <w:p>
      <w:pPr>
        <w:spacing w:after="0" w:line="72"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December 31, 2024 will enable us to fund our operating expenses and capital expenditure requirements into at least 2027. However, we have based this estimate on assumptions that may prove to be wrong and we could exhaust our capital resources sooner than we expect.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pociredir;</w:t>
      </w:r>
    </w:p>
    <w:p>
      <w:pPr>
        <w:spacing w:after="0" w:line="117"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 including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91" w:name="page92"/>
    <w:bookmarkEnd w:id="91"/>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MyoKardia;</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to a third party;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11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w:t>
      </w:r>
    </w:p>
    <w:p>
      <w:pPr>
        <w:spacing w:after="0" w:line="80"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discussed below are critical to understanding our historical and future performance, as these policies relate to the most significant areas involving management’s judgments and estimates. See Note 2 to our consolidated financial statements included elsewhere in this Annual Report on Form 10-K for a description of our other significant accounting policies.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we analyze our collaboration arrangements to assess whether such arrangements involve joint operating activities performed by parties that are both active participants in the activities and are exposed to significant risks and rewards dependent on the commercial success of such activities, and therefore within the scope of the Financial Accounting Standards Board Accounting Standards Codification, or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This assessment is performed on an ongoing basis throughout the collaboration based on changes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responsibilities of the parties in the arrangement. For collaboration arrangements within the scope of ASC 808 that contain multiple elements, we first determine which elements of the collaboration are deemed to be within the scope of ASC 808 and which elements of the collaboration are more reflective of a vendor-customer relationship and are therefore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w:t>
      </w:r>
    </w:p>
    <w:p>
      <w:pPr>
        <w:spacing w:after="0" w:line="8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We evaluate the income statement classification for presentation of amounts due from or owed to collaborators associated with multiple activities in a collaboration arrangement based on the nature of each separate activity. We have made an accounting policy election to account for research and development reimbursements received from our collaboration partner that are outside of the scope of ASC 606 as a reduction of research and development expenses to best reflect the economics and nature of the transaction in the context of the unit-of-account.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account for revenue recognition under ASC 606. We recognize revenue pursuant to ASC 606 when our customer obtains control of promised goods or services in an amount that reflects the consideration which we expect to receive in exchange for those goods or services.</w:t>
      </w:r>
    </w:p>
    <w:p>
      <w:pPr>
        <w:spacing w:after="0" w:line="5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we assess the goods or services promised within the contract and determine those that are performance obligations. We then determine the transaction price and allocate it to the identified performance obligations. As part of the accounting for these arrangements, we must use significant judgment to determine the number of performance obligations and the transaction price, including the determination of whether milestones or other variable consideration should be included in the transaction price.</w:t>
      </w:r>
    </w:p>
    <w:p>
      <w:pPr>
        <w:spacing w:after="0" w:line="72"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We use judgment to determine whether milestones or other variable consideration should be included in the transaction price. As part of management’s evaluation of the transaction price, we consider numerous factors, including whether the achievement of the milestones is outside of our control, contingent upon the efforts of others or subject to the risks of success. If we conclude it is probable that a significant revenue reversal would not occur, the associated milestone payment is included in the transaction price. Milestone payments that are based on the occurrence of events not within our control, such as regulatory approvals, are generally not considered probable of being achieved until the underlying events occur or the associated approvals are received. At the end of each reporting period, we re-evaluate the estimated variable consideration included in the transaction price and any related constraint, and if necessary, adjust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6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recognize as revenue the amount of the transaction price that is allocated to the respective performance obligation when (or as) the performance obligation is satisfied, either at a point in time or over time. If the performance obligation is satisfied over time, we recognize revenue based on the use of either an output or input method. The estimation of measure of progress is complex, involves significant judgment, and is affected by our estimates of the total costs required to complete the performance obligations, including the total internal personnel costs and external costs to be incurred. Changes in these estimates can have a material effect on our revenue recognition. If the entity does not satisfy a performance obligation over time, the related performance obligation is satisfied at a point in time by transferring the control of a promised good or service to a customer.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expenses as of each balance sheet date. This process involves reviewing open contracts and purchase orders, communicating</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93" w:name="page94"/>
    <w:bookmarkEnd w:id="93"/>
    <w:p>
      <w:pPr>
        <w:ind w:right="80"/>
        <w:spacing w:after="0" w:line="256" w:lineRule="auto"/>
        <w:rPr>
          <w:sz w:val="20"/>
          <w:szCs w:val="20"/>
          <w:color w:val="auto"/>
        </w:rPr>
      </w:pPr>
      <w:r>
        <w:rPr>
          <w:rFonts w:ascii="Times New Roman" w:cs="Times New Roman" w:eastAsia="Times New Roman" w:hAnsi="Times New Roman"/>
          <w:sz w:val="18"/>
          <w:szCs w:val="18"/>
          <w:color w:val="auto"/>
        </w:rPr>
        <w:t>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8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measure stock-based compensation expense related to all restricted stock awards, restricted stock units, and stock options based on the fair value of the award on the date of grant. We recognize compensation expense for these awards over the requisite service period, which is generally the vesting period of the respective award. Generally, we issue awards with only service-based vesting conditions and record the expense for these awards using the straight-line method. We have also granted certain stock-based awards with performance-based vesting conditions. We recognize compensation expense for awards with performance-based vesting conditions over the remaining service period using an accelerated attribution method when management determines that achievement of the performance condition is probable. At each reporting date, we evaluate if the achievement of a performance-based milestone is probable based on the expected satisfaction of the performance conditions.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determine the fair value of restricted stock awards and restricted stock units based on the estimated fair value of our common stock on the date of grant, less any applicable purchase price. We estimate the fair value of stock options granted using the Black-Scholes option-pricing model. The determination of the grant date fair value of stock options using an option pricing model is affected principally by our estimated fair value of our common stock and requires management to make a number of other assumptions, including the expected term of the option, the estimated volatility of the underlying shares, the risk-free interest rate, and expected dividends. The assumptions used in the determination of the grant date fair value of stock options represent management’s best estimates at the time of measurement. Given the lack of public market for our common stock prior to the closing of our IPO and a lack of company-specific historical and implied volatility data, we based the estimate of expected volatility on the historical volatility of a representative group of publicly traded companies for which historical information is available. The historical volatility is calculated based on a period of time commensurate with the assumption used for the expected term. We use the simplified method to calculate the expected term for all stock options. We utilize this method as we do not have sufficient historical exercise data to provide a reasonable basis upon which to estimate the expected term. The risk-free interest rate is based on a U.S. treasury instrument whose term is consistent with the expected term of the stock options. The expected dividend yield is assumed to be zero as we have never paid dividends and do not have current plans to pay any dividends on common stock.</w:t>
      </w:r>
    </w:p>
    <w:p>
      <w:pPr>
        <w:spacing w:after="0" w:line="8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future periods, we expect stock-based compensation expense to increase, due in part to our existing unrecognized stock-based compensation expense and as we grant additional stock-based awards to continue to attract and retain our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ind w:right="80"/>
        <w:spacing w:after="0" w:line="266" w:lineRule="auto"/>
        <w:rPr>
          <w:sz w:val="20"/>
          <w:szCs w:val="20"/>
          <w:color w:val="auto"/>
        </w:rPr>
      </w:pPr>
      <w:r>
        <w:rPr>
          <w:rFonts w:ascii="Times New Roman" w:cs="Times New Roman" w:eastAsia="Times New Roman" w:hAnsi="Times New Roman"/>
          <w:sz w:val="18"/>
          <w:szCs w:val="18"/>
          <w:color w:val="auto"/>
        </w:rPr>
        <w:t>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audited consolidated financial statements appearing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and our investments are in short-term marketable securities, such as corporate bonds and commercial paper. As of December 31, 2024, we had cash, cash equivalents, and marketable securities of $241.0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75"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December 31, 2024, we had minimal or no liabilities denominated in foreign currencies.</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independent registered public accounting firm report thereon, are presented beginning on page F-1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of December 31, 2024.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2024, our Chief Executive Officer and our Chief Financial Officer concluded that, as of such date, our disclosure controls and procedures were effective at the reasonable assurance level.</w:t>
      </w:r>
    </w:p>
    <w:p>
      <w:pPr>
        <w:spacing w:after="0" w:line="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the company.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5" w:lineRule="exact"/>
        <w:rPr>
          <w:sz w:val="20"/>
          <w:szCs w:val="20"/>
          <w:color w:val="auto"/>
        </w:rPr>
      </w:pPr>
    </w:p>
    <w:p>
      <w:pPr>
        <w:ind w:left="1260" w:right="820" w:hanging="368"/>
        <w:spacing w:after="0" w:line="282"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53" w:lineRule="exact"/>
        <w:rPr>
          <w:rFonts w:ascii="Times New Roman" w:cs="Times New Roman" w:eastAsia="Times New Roman" w:hAnsi="Times New Roman"/>
          <w:sz w:val="18"/>
          <w:szCs w:val="18"/>
          <w:color w:val="auto"/>
        </w:rPr>
      </w:pPr>
    </w:p>
    <w:p>
      <w:pPr>
        <w:ind w:left="1260" w:right="120" w:hanging="368"/>
        <w:spacing w:after="0" w:line="266"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a company’s management and directors; and</w:t>
      </w:r>
    </w:p>
    <w:p>
      <w:pPr>
        <w:spacing w:after="0" w:line="67" w:lineRule="exact"/>
        <w:rPr>
          <w:rFonts w:ascii="Times New Roman" w:cs="Times New Roman" w:eastAsia="Times New Roman" w:hAnsi="Times New Roman"/>
          <w:sz w:val="18"/>
          <w:szCs w:val="18"/>
          <w:color w:val="auto"/>
        </w:rPr>
      </w:pPr>
    </w:p>
    <w:p>
      <w:pPr>
        <w:ind w:left="1260" w:right="380" w:hanging="368"/>
        <w:spacing w:after="0" w:line="282"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 company’s assets that could have a material effect on the financial statements.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2024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three months ended December 31, 2024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900" w:hanging="518"/>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and Officer Trading Plans and Arrangements.</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December 26, 2024, Alex C. Sapir, our President and Chief Executive Officer, adopted a trading plan for the potential sale of up to 360,000 shares of our common stock and for the potential exercise of vested stock options and the associated sale of up to 360,000 shares of our common stock. The trading plan is intended to satisfy the affirmative defense conditions of Rule 10b5-1(c) under the Exchange Act and was expected to remain in effect until December 31, 2025. On January 16, 2025, Mr. Sapir modified such 10b5-1(c) plan, which extended the date from which sales may commence and the price at which sales may be made, as well as the expiration date, which is now May 15, 2026, as so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Except to the extent provided below, the information required by this Item 10 will be included in our Definitive Proxy Statement to be filed with the SEC, with respect to our 2025 Annual Meeting of Stockholders and is incorporated herein by reference.</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post our Code of Business Conduct and Ethics, which applies to our directors, officers and employees, including our principal executive officer, principal financial officer, principal accounting officer or controller, or persons performing similar functions, in the “Corporate Governance” sub-section of the “Investor Relations” section (ir.fulcrumtx.com) of our corporate website at www.fulcrumtx.com. We intend to disclose on our website any amendments to, or waivers from, the Code of Business Conduct and Ethics that are required to be disclosed pursuant to the disclosure requirements of Item 5.05 of Form 8-K.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2025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2025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2025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2025 Annual Meeting of Stockholders and is incorporated herein by reference.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7" w:name="page98"/>
    <w:bookmarkEnd w:id="9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F-31 attached hereto and are filed as part of this Annual Report on Form 10-K.</w:t>
      </w: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103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340" w:type="dxa"/>
            <w:vAlign w:val="bottom"/>
            <w:gridSpan w:val="8"/>
            <w:vMerge w:val="continue"/>
          </w:tcPr>
          <w:p>
            <w:pPr>
              <w:spacing w:after="0"/>
              <w:rPr>
                <w:sz w:val="14"/>
                <w:szCs w:val="14"/>
                <w:color w:val="auto"/>
              </w:rPr>
            </w:pPr>
          </w:p>
        </w:tc>
        <w:tc>
          <w:tcPr>
            <w:tcW w:w="760" w:type="dxa"/>
            <w:vAlign w:val="bottom"/>
          </w:tcPr>
          <w:p>
            <w:pPr>
              <w:ind w:left="500"/>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6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76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76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consolidated financial statements or the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 w:type="dxa"/>
            <w:vAlign w:val="bottom"/>
          </w:tcPr>
          <w:p>
            <w:pPr>
              <w:spacing w:after="0"/>
              <w:rPr>
                <w:sz w:val="15"/>
                <w:szCs w:val="15"/>
                <w:color w:val="auto"/>
              </w:rPr>
            </w:pPr>
          </w:p>
        </w:tc>
        <w:tc>
          <w:tcPr>
            <w:tcW w:w="103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0380" w:type="dxa"/>
            <w:vAlign w:val="bottom"/>
            <w:gridSpan w:val="7"/>
            <w:vMerge w:val="continue"/>
          </w:tcPr>
          <w:p>
            <w:pPr>
              <w:spacing w:after="0"/>
              <w:rPr>
                <w:sz w:val="14"/>
                <w:szCs w:val="14"/>
                <w:color w:val="auto"/>
              </w:rPr>
            </w:pPr>
          </w:p>
        </w:tc>
        <w:tc>
          <w:tcPr>
            <w:tcW w:w="700" w:type="dxa"/>
            <w:vAlign w:val="bottom"/>
          </w:tcPr>
          <w:p>
            <w:pPr>
              <w:ind w:left="440"/>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0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0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0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70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0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70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0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70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0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0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F-8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0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F-1</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9" w:name="page100"/>
    <w:bookmarkEnd w:id="99"/>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Fulcrum Therapeutics,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Fulcrum Therapeutics, Inc. (the Company) as of December 31, 2024 and 2023,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the years then ended,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Contract Costs</w:t>
      </w:r>
    </w:p>
    <w:p>
      <w:pPr>
        <w:spacing w:after="0" w:line="227" w:lineRule="exact"/>
        <w:rPr>
          <w:sz w:val="20"/>
          <w:szCs w:val="20"/>
          <w:color w:val="auto"/>
        </w:rPr>
      </w:pPr>
    </w:p>
    <w:p>
      <w:pPr>
        <w:ind w:left="20"/>
        <w:spacing w:after="0"/>
        <w:tabs>
          <w:tab w:leader="none" w:pos="19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of December 31, 2024, the Company had recognized $3.6 million of Accrued external research and development expenses.</w:t>
      </w:r>
    </w:p>
    <w:p>
      <w:pPr>
        <w:spacing w:after="0" w:line="29" w:lineRule="exact"/>
        <w:rPr>
          <w:sz w:val="20"/>
          <w:szCs w:val="20"/>
          <w:color w:val="auto"/>
        </w:rPr>
      </w:pPr>
    </w:p>
    <w:p>
      <w:pPr>
        <w:ind w:left="1920" w:right="100" w:hanging="1899"/>
        <w:spacing w:after="0" w:line="253" w:lineRule="auto"/>
        <w:tabs>
          <w:tab w:leader="none" w:pos="19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Included within this amount were accrued costs for clinical and contract research organization activities. As discussed in Note 2 to the consolidated financial statements, the Company accrues external costs for clinical trial activities based upon estimates of the services received and related expenses incurred through the balance sheet date that have yet to be invoiced by research institutions and other vendors.</w:t>
      </w:r>
    </w:p>
    <w:p>
      <w:pPr>
        <w:spacing w:after="0" w:line="189" w:lineRule="exact"/>
        <w:rPr>
          <w:sz w:val="20"/>
          <w:szCs w:val="20"/>
          <w:color w:val="auto"/>
        </w:rPr>
      </w:pPr>
    </w:p>
    <w:p>
      <w:pPr>
        <w:ind w:left="1920" w:right="140"/>
        <w:spacing w:after="0" w:line="258" w:lineRule="auto"/>
        <w:rPr>
          <w:sz w:val="20"/>
          <w:szCs w:val="20"/>
          <w:color w:val="auto"/>
        </w:rPr>
      </w:pPr>
      <w:r>
        <w:rPr>
          <w:rFonts w:ascii="Times New Roman" w:cs="Times New Roman" w:eastAsia="Times New Roman" w:hAnsi="Times New Roman"/>
          <w:sz w:val="18"/>
          <w:szCs w:val="18"/>
          <w:color w:val="auto"/>
        </w:rPr>
        <w:t>Auditing the Company’s accruals for clinical trials is challenging due to the fact that information necessary to estimate the accruals is accumulated from multiple sources. In addition, in certain circumstances, the determination of the nature and extent of services that have been received during the reporting period requires judgment because the timing and pattern of vendor invoicing does not correspond to the progress of the studies or extent of services provided and there may be delays in invoicing from vendors.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0" w:name="page101"/>
    <w:bookmarkEnd w:id="100"/>
    <w:p>
      <w:pPr>
        <w:ind w:left="20"/>
        <w:spacing w:after="0" w:line="267"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To evaluate the accrual for clinical expenses, our audit procedures included, among others, testing the completeness and accuracy of the underlying data used by management to determine the estimate. We corroborated the progress of research and development activities associated with clinical trials through discussion with the Company’s research and development personnel that oversee the research and development activities. We inspected contracts, amendments and change orders with clinical research organizations, tested the completeness and accuracy of invoicing activity associated with the Company’s contractual obligations, and compared management’s data and assumptions to information received directly from third parties. In addition, we performed analytics over fluctuations in accruals and prepaids by vendor throughout the period subject to audit and compared subsequent invoices received from third parties to amounts accrued.</w:t>
      </w:r>
    </w:p>
    <w:p>
      <w:pPr>
        <w:spacing w:after="0" w:line="200" w:lineRule="exact"/>
        <w:rPr>
          <w:sz w:val="20"/>
          <w:szCs w:val="20"/>
          <w:color w:val="auto"/>
        </w:rPr>
      </w:pPr>
    </w:p>
    <w:p>
      <w:pPr>
        <w:sectPr>
          <w:pgSz w:w="11900" w:h="16838" w:orient="portrait"/>
          <w:cols w:equalWidth="0" w:num="2">
            <w:col w:w="1440" w:space="480"/>
            <w:col w:w="9300"/>
          </w:cols>
          <w:pgMar w:left="320" w:top="1091" w:right="359" w:bottom="1440" w:gutter="0" w:footer="0" w:header="0"/>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ectPr>
          <w:pgSz w:w="11900" w:h="16838" w:orient="portrait"/>
          <w:cols w:equalWidth="0" w:num="1">
            <w:col w:w="11220"/>
          </w:cols>
          <w:pgMar w:left="320" w:top="1091" w:right="35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type w:val="continuous"/>
        </w:sectPr>
      </w:pPr>
    </w:p>
    <w:bookmarkStart w:id="101" w:name="page102"/>
    <w:bookmarkEnd w:id="10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210,658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249,923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242,199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260,718</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257,694</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53,968,303 and 61,915,367 shares</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December 31, 2024 and December 31, 2023,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744,940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(519,398 )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(509,673 )</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243,034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260,718</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257,694</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-2836545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-1979930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-1979930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2" w:name="page103"/>
    <w:bookmarkEnd w:id="10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0"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101,897</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113,469</w:t>
            </w:r>
          </w:p>
        </w:tc>
        <w:tc>
          <w:tcPr>
            <w:tcW w:w="100" w:type="dxa"/>
            <w:vAlign w:val="bottom"/>
            <w:tcBorders>
              <w:top w:val="single" w:sz="8" w:color="CFF0FC"/>
            </w:tcBorders>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(21,897 )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(110,664 )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(9,725 )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(97,335 )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940" w:type="dxa"/>
            <w:vAlign w:val="bottom"/>
          </w:tcPr>
          <w:p>
            <w:pPr>
              <w:jc w:val="right"/>
              <w:ind w:right="7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(0.16 )</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(1.59 )</w:t>
            </w: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61,984</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61,310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(9,725 )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(97,335 )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 comprehensive gain</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(9,459 )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(96,674 )</w:t>
            </w: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-1927860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-1353820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-1336675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-1028065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-1010920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3" w:name="page104"/>
    <w:bookmarkEnd w:id="10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100" w:type="dxa"/>
            <w:vAlign w:val="bottom"/>
            <w:gridSpan w:val="3"/>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210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w:t>
            </w: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0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52,099,211</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612,025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(797 )</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(412,338 )</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offering, net of issuance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9,615,384</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plans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182,628</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(97,335 )</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(97,335 )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61,915,367</w:t>
            </w:r>
          </w:p>
        </w:tc>
        <w:tc>
          <w:tcPr>
            <w:tcW w:w="220" w:type="dxa"/>
            <w:vAlign w:val="bottom"/>
          </w:tcPr>
          <w:p>
            <w:pPr>
              <w:spacing w:after="0"/>
              <w:rPr>
                <w:sz w:val="18"/>
                <w:szCs w:val="18"/>
                <w:color w:val="auto"/>
              </w:rPr>
            </w:pPr>
          </w:p>
        </w:tc>
        <w:tc>
          <w:tcPr>
            <w:tcW w:w="82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744,940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(509,673 )</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40" w:type="dxa"/>
            <w:vAlign w:val="bottom"/>
            <w:shd w:val="clear" w:color="auto" w:fill="CFF0FC"/>
          </w:tcPr>
          <w:p>
            <w:pPr>
              <w:ind w:left="200"/>
              <w:spacing w:after="0" w:line="178" w:lineRule="exact"/>
              <w:rPr>
                <w:sz w:val="20"/>
                <w:szCs w:val="20"/>
                <w:color w:val="auto"/>
              </w:rPr>
            </w:pPr>
            <w:r>
              <w:rPr>
                <w:rFonts w:ascii="Times New Roman" w:cs="Times New Roman" w:eastAsia="Times New Roman" w:hAnsi="Times New Roman"/>
                <w:sz w:val="18"/>
                <w:szCs w:val="18"/>
                <w:color w:val="auto"/>
              </w:rPr>
              <w:t>Issuance of common stock under employee</w:t>
            </w: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plans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530,610</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Issuance of pre-funded warrants in exchange</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 common stock</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(9,350,000 )</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Issuance of common stock pursuant to pre-</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funded warrant exercise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(9,725 )</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(9,725 )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53,968,303</w:t>
            </w:r>
          </w:p>
        </w:tc>
        <w:tc>
          <w:tcPr>
            <w:tcW w:w="220" w:type="dxa"/>
            <w:vAlign w:val="bottom"/>
          </w:tcPr>
          <w:p>
            <w:pPr>
              <w:spacing w:after="0"/>
              <w:rPr>
                <w:sz w:val="18"/>
                <w:szCs w:val="18"/>
                <w:color w:val="auto"/>
              </w:rPr>
            </w:pPr>
          </w:p>
        </w:tc>
        <w:tc>
          <w:tcPr>
            <w:tcW w:w="82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762,248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(519,398 )</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-1713865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-1713865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-1713865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-1713865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-1713865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-1713865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-170815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-170815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-170815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0"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9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(9,725 )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(97,335 )</w:t>
            </w: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14,554</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14,802</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tc>
        <w:tc>
          <w:tcPr>
            <w:tcW w:w="9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(4,392 )</w:t>
            </w:r>
          </w:p>
        </w:tc>
        <w:tc>
          <w:tcPr>
            <w:tcW w:w="36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(5,991 )</w:t>
            </w:r>
          </w:p>
        </w:tc>
      </w:tr>
      <w:tr>
        <w:trPr>
          <w:trHeight w:val="20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9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(1,559 )</w:t>
            </w:r>
          </w:p>
        </w:tc>
        <w:tc>
          <w:tcPr>
            <w:tcW w:w="36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(308 )</w:t>
            </w:r>
          </w:p>
        </w:tc>
      </w:tr>
      <w:tr>
        <w:trPr>
          <w:trHeight w:val="20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(1,365 )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(1,072 )</w:t>
            </w: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9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(700 )</w:t>
            </w:r>
          </w:p>
        </w:tc>
        <w:tc>
          <w:tcPr>
            <w:tcW w:w="36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(715 )</w:t>
            </w:r>
          </w:p>
        </w:tc>
      </w:tr>
      <w:tr>
        <w:trPr>
          <w:trHeight w:val="20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(1,593 )</w:t>
            </w:r>
          </w:p>
        </w:tc>
        <w:tc>
          <w:tcPr>
            <w:tcW w:w="36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(853 )</w:t>
            </w:r>
          </w:p>
        </w:tc>
      </w:tr>
      <w:tr>
        <w:trPr>
          <w:trHeight w:val="20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(1,032 )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(825 )</w:t>
            </w: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(934 )</w:t>
            </w:r>
          </w:p>
        </w:tc>
      </w:tr>
      <w:tr>
        <w:trPr>
          <w:trHeight w:val="20"/>
        </w:trPr>
        <w:tc>
          <w:tcPr>
            <w:tcW w:w="7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4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(2,218 )</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(90,965 )</w:t>
            </w: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98"/>
              </w:rPr>
              <w:t>(178,594 )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(194,892 )</w:t>
            </w: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211,102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158,708</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(278 )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(508 )</w:t>
            </w:r>
          </w:p>
        </w:tc>
      </w:tr>
      <w:tr>
        <w:trPr>
          <w:trHeight w:val="20"/>
        </w:trPr>
        <w:tc>
          <w:tcPr>
            <w:tcW w:w="77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(36,692 )</w:t>
            </w: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public offerings, net of issuance costs</w:t>
            </w:r>
          </w:p>
        </w:tc>
        <w:tc>
          <w:tcPr>
            <w:tcW w:w="9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117,345</w:t>
            </w:r>
          </w:p>
        </w:tc>
        <w:tc>
          <w:tcPr>
            <w:tcW w:w="100" w:type="dxa"/>
            <w:vAlign w:val="bottom"/>
          </w:tcPr>
          <w:p>
            <w:pPr>
              <w:spacing w:after="0"/>
              <w:rPr>
                <w:sz w:val="17"/>
                <w:szCs w:val="17"/>
                <w:color w:val="auto"/>
              </w:rPr>
            </w:pPr>
          </w:p>
        </w:tc>
      </w:tr>
      <w:tr>
        <w:trPr>
          <w:trHeight w:val="20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118,122</w:t>
            </w:r>
          </w:p>
        </w:tc>
        <w:tc>
          <w:tcPr>
            <w:tcW w:w="100" w:type="dxa"/>
            <w:vAlign w:val="bottom"/>
          </w:tcPr>
          <w:p>
            <w:pPr>
              <w:spacing w:after="0"/>
              <w:rPr>
                <w:sz w:val="17"/>
                <w:szCs w:val="17"/>
                <w:color w:val="auto"/>
              </w:rPr>
            </w:pPr>
          </w:p>
        </w:tc>
      </w:tr>
      <w:tr>
        <w:trPr>
          <w:trHeight w:val="19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32,758</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(9,535 )</w:t>
            </w: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36,190</w:t>
            </w:r>
          </w:p>
        </w:tc>
        <w:tc>
          <w:tcPr>
            <w:tcW w:w="100" w:type="dxa"/>
            <w:vAlign w:val="bottom"/>
          </w:tcPr>
          <w:p>
            <w:pPr>
              <w:spacing w:after="0"/>
              <w:rPr>
                <w:sz w:val="17"/>
                <w:szCs w:val="17"/>
                <w:color w:val="auto"/>
              </w:rPr>
            </w:pPr>
          </w:p>
        </w:tc>
      </w:tr>
      <w:tr>
        <w:trPr>
          <w:trHeight w:val="23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40" w:type="dxa"/>
            <w:vAlign w:val="bottom"/>
            <w:tcBorders>
              <w:bottom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59,413</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94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-1344930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-822325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-281940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-264795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58,212</w:t>
            </w:r>
          </w:p>
        </w:tc>
        <w:tc>
          <w:tcPr>
            <w:tcW w:w="5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25,563</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100" w:type="dxa"/>
            <w:vAlign w:val="bottom"/>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59,413</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Fulcrum Therapeutics, Inc. (the “Company” or “Fulcrum”) was incorporated in Delaware on August 18, 2015. The Company is focused on developing small molecules to improve the lives of patients with genetically-defined rare diseases in areas of high unmet medical need.</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January 2023, the Company completed a public offering of its common stock and issued and sold 9,615,384 shares of common stock at a public offering price of $13.00 per share, resulting in net proceeds of $117.3 million after deducting underwriting discounts and commissions and offering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December 31, 2024, the Company had an accumulated deficit of $519.4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subsidiary, Fulcrum Therapeutics Securities Corp., which is a Massachusetts subsidiary created to buy, sell, and hold securities. All intercompany transactions and balances have been eliminated.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collaborative arrangements, revenue from contracts with customers,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Cash equivalents are highly liquid investments that are readily convertible into cash with original maturities of three months or less when purchased. Cash equivalents include investments in money market funds that invest in U.S. Treasury obligations, and commercial paper. The Company maintains its bank accounts at major financial institutions.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represents cash held to secure a letter of credit associated with the Company’s facility lease for its corporate headquarters.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9"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54" w:lineRule="exact"/>
        <w:rPr>
          <w:sz w:val="20"/>
          <w:szCs w:val="20"/>
          <w:color w:val="auto"/>
        </w:rPr>
      </w:pPr>
    </w:p>
    <w:p>
      <w:pPr>
        <w:ind w:left="520" w:right="54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color w:val="auto"/>
        </w:rPr>
        <w:t>Level 3: Unobservable inputs based on the Company’s assessment of the assumptions that market participants would use in pricing the asset or liability.</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carried at fair value and are classified according to the fair value hierarchy described above (Note 3). The cash equivalents and marketable securities are initially valued at the transaction price, and subsequently revalued at the end of each reporting period, utilizing third-party pricing services. The pricing services utilize industry standard valuation models, including both income and market-based approaches, to determine fair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classifies securities with a remaining maturity when purchased of greater than three months as marketable securities. As of December 31, 2024, the Company’s marketable securities consisted of investments in U.S. Treasury securities, government agency securities, and corporate bonds. Marketable securities are classified as current assets on the consolidated balance sheets if the marketable securities are available to be converted into cash to fund current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ind w:firstLine="509"/>
        <w:spacing w:after="0" w:line="258" w:lineRule="auto"/>
        <w:rPr>
          <w:sz w:val="20"/>
          <w:szCs w:val="20"/>
          <w:color w:val="auto"/>
        </w:rPr>
      </w:pPr>
      <w:r>
        <w:rPr>
          <w:rFonts w:ascii="Times New Roman" w:cs="Times New Roman" w:eastAsia="Times New Roman" w:hAnsi="Times New Roman"/>
          <w:sz w:val="18"/>
          <w:szCs w:val="18"/>
          <w:color w:val="auto"/>
        </w:rPr>
        <w:t>Marketable debt securities classified as available-for-sale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w:t>
      </w:r>
    </w:p>
    <w:p>
      <w:pPr>
        <w:spacing w:after="0" w:line="18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209"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r>
      <w:tr>
        <w:trPr>
          <w:trHeight w:val="21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1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1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1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1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Shorter of useful life or remaining lease term</w:t>
            </w:r>
          </w:p>
        </w:tc>
      </w:tr>
    </w:tbl>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2024 and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At the inception of a contract, the Company determines whether the arrangement is or contains a lease based on the unique facts and circumstances present in the arrangement. Leases with a term greater than twelve months are recognized on the balance sheet as right-of-use assets and current and non-current lease liabilities, as applicable. The Company does not recognize leases with terms of twelve months or less on the balance sheet. Options to renew a lease are not included in the Company’s initial lease term assessment unless there is reasonable certainty that the Company will renew the lease.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w:t>
      </w:r>
    </w:p>
    <w:p>
      <w:pPr>
        <w:spacing w:after="0" w:line="27" w:lineRule="exact"/>
        <w:rPr>
          <w:sz w:val="20"/>
          <w:szCs w:val="20"/>
          <w:color w:val="auto"/>
        </w:rPr>
      </w:pPr>
    </w:p>
    <w:p>
      <w:pPr>
        <w:ind w:right="20" w:firstLine="8"/>
        <w:spacing w:after="0" w:line="255" w:lineRule="auto"/>
        <w:tabs>
          <w:tab w:leader="none" w:pos="2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of these criteria.</w:t>
      </w:r>
    </w:p>
    <w:p>
      <w:pPr>
        <w:spacing w:after="0" w:line="7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For all operating leases, a lease liability and corresponding right-of-use asset are recognized. The lease liability represents the present value of the lease payments over the expected remaining lease term, discounted using the interest rate implicit in the lease or, if that rate cannot be readily determined, the Company’s incremental borrowing rate, which reflects the fixed rate at which the Company could borrow on a collateralized basis the amount of the lease payments in the same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08" w:name="page109"/>
    <w:bookmarkEnd w:id="108"/>
    <w:p>
      <w:pPr>
        <w:ind w:right="220"/>
        <w:spacing w:after="0" w:line="261" w:lineRule="auto"/>
        <w:rPr>
          <w:sz w:val="20"/>
          <w:szCs w:val="20"/>
          <w:color w:val="auto"/>
        </w:rPr>
      </w:pPr>
      <w:r>
        <w:rPr>
          <w:rFonts w:ascii="Times New Roman" w:cs="Times New Roman" w:eastAsia="Times New Roman" w:hAnsi="Times New Roman"/>
          <w:sz w:val="18"/>
          <w:szCs w:val="18"/>
          <w:color w:val="auto"/>
        </w:rPr>
        <w:t>currency, for a similar term, in a similar economic environment. To estimate the Company’s incremental borrowing rate, a credit rating applicable to the Company is estimated using a synthetic credit rating and yield curve analysis, since the Company does not have a rating agency-based credit rating. The right-of-use asset represents the right to use the leased asset for the lease term. The right-of-use asset is initially measured at cost, which primarily comprises the initial amount of the lease liability, plus any initial direct costs incurred if any, less any lease incentives received.</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(i) the fixed noncancelable lease payments, (ii) payments for optional renewal periods where it is reasonably certain the renewal period will be exercised, and (iii) payments for early termination options unless it is reasonably certain the lease will not be terminated early. Lease expense for operating leases consists of the lease payments plus any initial direct costs,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The Company accounts for lease and non-lease components together as a single lease component.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common stock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w:t>
      </w:r>
      <w:r>
        <w:rPr>
          <w:rFonts w:ascii="Times New Roman" w:cs="Times New Roman" w:eastAsia="Times New Roman" w:hAnsi="Times New Roman"/>
          <w:sz w:val="18"/>
          <w:szCs w:val="18"/>
          <w:color w:val="auto"/>
        </w:rPr>
        <w:t>(ASC 815). The assessment considers whether the warrants are freestanding financial instruments pursuant to ASC 480, whether the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8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remeasured each balance sheet date thereafter. Changes in the estimated fair value of the liability-classified warrants are recognized as a non-cash gain or loss in the accompanying consolidated statements of operations and comprehensive loss.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arrangements to assess whether such arrangements involve joint operating activities performed by parties that are both active participants in the activities and are exposed to significant risks and rewards dependent on the commercial success of such activities, and therefore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on an ongoing basis throughout the collaboration based on changes in the responsibilities of the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are therefore within the scope of ASC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collaborators associated with multiple activities in a collaboration arrangement based on the nature of each separate activity. The Company made an accounting policy election to account for research and development reimbursements received from its collaboration partner that are outside of the scope of ASC 606 as a reduction of research and development expenses to best reflect the economics and nature of the transaction in the context of the unit-of-account.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that the entity expects to receive in exchange for those goods or services. In applying ASC 606, the Company performs the following five steps: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 Identify the contract with the customer</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 Identify the promises and performance obligations in the contract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w:t>
      </w:r>
    </w:p>
    <w:p>
      <w:pPr>
        <w:spacing w:after="0" w:line="7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the performance obligations in the contract</w:t>
      </w:r>
    </w:p>
    <w:p>
      <w:pPr>
        <w:spacing w:after="0" w:line="119"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0" w:name="page111"/>
    <w:bookmarkEnd w:id="110"/>
    <w:p>
      <w:pPr>
        <w:ind w:right="440"/>
        <w:spacing w:after="0" w:line="282" w:lineRule="auto"/>
        <w:rPr>
          <w:sz w:val="20"/>
          <w:szCs w:val="20"/>
          <w:color w:val="auto"/>
        </w:rPr>
      </w:pPr>
      <w:r>
        <w:rPr>
          <w:rFonts w:ascii="Times New Roman" w:cs="Times New Roman" w:eastAsia="Times New Roman" w:hAnsi="Times New Roman"/>
          <w:sz w:val="18"/>
          <w:szCs w:val="18"/>
          <w:color w:val="auto"/>
        </w:rPr>
        <w:t>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5) Recognize revenue when or as the Company satisfies a performance obligation</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Contract Costs and Accruals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 Company records accruals for estimated ongoing research costs that have not yet been invoiced. When evaluating the adequacy of the accrued liabilities, the Company analyzes progress of the studies or trials or the extent of services provided during the reporting periods, including invoices received and contracted costs. Significant judgments and estimates made in determining the accrued balances at each reporting period include the estimates of the time period over which services will be performed and the level of effort to be expended in each period that have yet to be invoiced by the vendors. Actual results could differ from the Company’s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Patent-Related Costs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Patent-related costs incurred in connection with patent applications are expensed as incurred due to the uncertainty about the recovery of the expenditure. Amounts incurred are classified as general and administrative expenses in the accompanying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w:t>
      </w:r>
    </w:p>
    <w:p>
      <w:pPr>
        <w:spacing w:after="0" w:line="176"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expected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1" w:name="page112"/>
    <w:bookmarkEnd w:id="111"/>
    <w:p>
      <w:pPr>
        <w:ind w:right="80"/>
        <w:spacing w:after="0" w:line="255" w:lineRule="auto"/>
        <w:rPr>
          <w:sz w:val="20"/>
          <w:szCs w:val="20"/>
          <w:color w:val="auto"/>
        </w:rPr>
      </w:pPr>
      <w:r>
        <w:rPr>
          <w:rFonts w:ascii="Times New Roman" w:cs="Times New Roman" w:eastAsia="Times New Roman" w:hAnsi="Times New Roman"/>
          <w:sz w:val="18"/>
          <w:szCs w:val="18"/>
          <w:color w:val="auto"/>
        </w:rPr>
        <w:t>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8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as they occur. The Company classifies stock-based compensation expense in its statements of operations in the same manner in which the award recipient’s payroll or service costs are classified.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records costs and liabilities associated with exit and disposal activities in accordance with Accounting Standards Codification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Such costs are based on estimates of fair value in the period liabilities are incurred. The Company evaluates and adjusts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costs as appropriate for changes in circumstances as additional information becomes available.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For the years ended December 31, 2024 and 2023, comprehensive loss consists of net loss and unrealized gains on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by the weighted average number of shares of common stock outstanding for the period. Diluted net income (loss) per share is computed by dividing net income (loss) by the weighted average number of shares of common stock outstanding for the period, including potential dilutive common shares. For purpose of this calculation, outstanding options to purchase common stock and unvested restricted stock awards are considered potential dilutive common shares. The Company has generated a net loss in all periods presented, and therefore the basic and diluted net loss per share are the same as the inclusion of the potentially dilutive securities would be anti-dilutive.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12" w:name="page113"/>
    <w:bookmarkEnd w:id="112"/>
    <w:p>
      <w:pPr>
        <w:ind w:right="140"/>
        <w:spacing w:after="0" w:line="261" w:lineRule="auto"/>
        <w:rPr>
          <w:sz w:val="20"/>
          <w:szCs w:val="20"/>
          <w:color w:val="auto"/>
        </w:rPr>
      </w:pPr>
      <w:r>
        <w:rPr>
          <w:rFonts w:ascii="Times New Roman" w:cs="Times New Roman" w:eastAsia="Times New Roman" w:hAnsi="Times New Roman"/>
          <w:sz w:val="18"/>
          <w:szCs w:val="18"/>
          <w:color w:val="auto"/>
        </w:rPr>
        <w:t>securities, and U.S. Treasury securities. The Company’s marketable securities consist of U.S. Treasury securities, government agency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financial information is available for evaluation by the chief operating decision-maker in making decisions regarding resource allocation and assessing performance. The Company and the Company’s chief operating decision-maker, the Company’s chief executive officer, view the Company’s operations and manage its business as a single operating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Pronouncements—Adopted</w:t>
      </w:r>
    </w:p>
    <w:p>
      <w:pPr>
        <w:spacing w:after="0" w:line="11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standard updates reportable segment disclosure requirements, primarily through enhanced disclosures about significant segment expenses and information used to assess segment performance and requires companies to disclose all annual disclosures about segments in interim periods. The standard also requires companies with a single reportable segment to provide all disclosures required by Topic 280 – Segment Reporting. The new standard became effective for the Company on January 1, 2025. The adoption of this standard did not have a material impact on the Company’s consolidated financial position and results of operations. See Note 16, “Segment Information”, for further information regarding the adoption of this standard.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December 31, 2024 and 2023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241,021</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195,299</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7"/>
        </w:trPr>
        <w:tc>
          <w:tcPr>
            <w:tcW w:w="5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5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236,221</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210,658</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-1757045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-1757045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-1757045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-1757045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years ended December 31, 2024 and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December 31, 2024 and December 31, 2023 (in thousands):</w:t>
      </w:r>
    </w:p>
    <w:p>
      <w:pPr>
        <w:spacing w:after="0" w:line="246"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jc w:val="center"/>
        <w:ind w:left="5660"/>
        <w:spacing w:after="0"/>
        <w:rPr>
          <w:sz w:val="20"/>
          <w:szCs w:val="20"/>
          <w:color w:val="auto"/>
        </w:rPr>
      </w:pPr>
      <w:r>
        <w:rPr>
          <w:rFonts w:ascii="Times New Roman" w:cs="Times New Roman" w:eastAsia="Times New Roman" w:hAnsi="Times New Roman"/>
          <w:sz w:val="14"/>
          <w:szCs w:val="14"/>
          <w:b w:val="1"/>
          <w:bCs w:val="1"/>
          <w:color w:val="auto"/>
        </w:rPr>
        <w:t>December 31, 2024</w:t>
      </w:r>
    </w:p>
    <w:tbl>
      <w:tblPr>
        <w:tblLayout w:type="fixed"/>
        <w:tblInd w:w="0" w:type="dxa"/>
        <w:tblCellMar>
          <w:top w:w="0" w:type="dxa"/>
          <w:left w:w="0" w:type="dxa"/>
          <w:bottom w:w="0" w:type="dxa"/>
          <w:right w:w="0" w:type="dxa"/>
        </w:tblCellMar>
      </w:tblPr>
      <w:tr>
        <w:trPr>
          <w:trHeight w:val="117"/>
        </w:trPr>
        <w:tc>
          <w:tcPr>
            <w:tcW w:w="58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6"/>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20"/>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182,681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240,891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210,794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(267 )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236,357</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-3093720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-3093720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-3093720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-3093720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-2245360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-2245360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-2245360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-2245360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-1010920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-1010920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-1010920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were no sales of marketable securities during the year ended December 31, 2024. As of December 31, 2024, the Company held 14 debt securities that were in an unrealized loss position for less than 12 months with an aggregate fair value of $40.0 million. As of December 31, 2024, the Company held no debt securities that were in an unrealized loss position for greater than 12 months. As of December 31, 2024, the aggregate fair value of marketable securities with a remaining contractual maturity of greater than one year was $5.8 million.</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 intent and ability to hold its debt securities until recovery. As a result, the Company did not record any charges for credit-related impairments for its marketable securities for the year ended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(14,257 )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(12,760 )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-453390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$1.6 million and $2.2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Prepaid sign-on bonuses subject to vesting provisions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-1533525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-1533525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5,000,000 shares of undesignated preferred stock were authorized. No shares of preferred stock were issued or outstanding as of December 31, 2024 and 2023.</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and 2023, 200,000,000 shares of common stock, $0.001 par value per share, were authorized.</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ind w:left="520"/>
        <w:spacing w:after="0"/>
        <w:rPr>
          <w:sz w:val="20"/>
          <w:szCs w:val="20"/>
          <w:color w:val="auto"/>
        </w:rPr>
      </w:pPr>
      <w:r>
        <w:rPr>
          <w:rFonts w:ascii="Times New Roman" w:cs="Times New Roman" w:eastAsia="Times New Roman" w:hAnsi="Times New Roman"/>
          <w:sz w:val="18"/>
          <w:szCs w:val="18"/>
          <w:color w:val="auto"/>
        </w:rPr>
        <w:t>As of December 31, 2024 and 2023, the Company has reserved for future issuance the following number of shares of common stock:</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9,354,699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9,972,217</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75,017</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Stock Incentive 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5,207,362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3,157,537</w:t>
            </w:r>
          </w:p>
        </w:tc>
        <w:tc>
          <w:tcPr>
            <w:tcW w:w="80" w:type="dxa"/>
            <w:vAlign w:val="bottom"/>
            <w:shd w:val="clear" w:color="auto" w:fill="CFF0FC"/>
          </w:tcPr>
          <w:p>
            <w:pPr>
              <w:spacing w:after="0"/>
              <w:rPr>
                <w:sz w:val="18"/>
                <w:szCs w:val="18"/>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future issuance under the 2019 Employee Stock</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1,671,843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1,346,125</w:t>
            </w:r>
          </w:p>
        </w:tc>
        <w:tc>
          <w:tcPr>
            <w:tcW w:w="80" w:type="dxa"/>
            <w:vAlign w:val="bottom"/>
          </w:tcPr>
          <w:p>
            <w:pPr>
              <w:spacing w:after="0"/>
              <w:rPr>
                <w:sz w:val="20"/>
                <w:szCs w:val="20"/>
                <w:color w:val="auto"/>
              </w:rPr>
            </w:pPr>
          </w:p>
        </w:tc>
      </w:tr>
      <w:tr>
        <w:trPr>
          <w:trHeight w:val="198"/>
        </w:trPr>
        <w:tc>
          <w:tcPr>
            <w:tcW w:w="5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future issuance under the 2022 Inducement Stock</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1,896,209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837,877</w:t>
            </w:r>
          </w:p>
        </w:tc>
        <w:tc>
          <w:tcPr>
            <w:tcW w:w="80" w:type="dxa"/>
            <w:vAlign w:val="bottom"/>
            <w:shd w:val="clear" w:color="auto" w:fill="CFF0FC"/>
          </w:tcPr>
          <w:p>
            <w:pPr>
              <w:spacing w:after="0"/>
              <w:rPr>
                <w:sz w:val="20"/>
                <w:szCs w:val="20"/>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for pre-funded warrants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5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26,673,185</w:t>
            </w: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15,388,773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August 2024, the Company entered into separate exchange agreements with RA Capital Healthcare Fund, L.P. (“RA Capital”) and another existing institutional stockholder, pursuant to which (i) RA Capital exchanged 8,500,000 shares of the Company's common stock for a pre-funded warrant to acquire 8,500,000 shares of the 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As of December 31, 2024, 850,000 pre-funded warrants have been exercised.</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pre-funded warrants have an exercise price of $0.001 per underlying share of common stock, are immediately exercisable and have no expiration date. The number of shares of the Company’s common stock issuable upon exercise of each pre-funded warrant is subject to adjustment upon certain corporate events, including certain stock dividends and splits, combinations, reclassifications, and certain other events. The pre-funded warrants include a beneficial ownership blocker that provides that the holder may not exercise (nor may we allow the exercise) if upon giving effect to such exercise, it would cause the aggregate number of shares of the Company’s common stock beneficially owned by the holder (together with affiliates and any other persons whose beneficial ownership of the Company’s common stock would be aggregated for the purposes of Section 13(d) of the Securities Exchange Act of 1934, as amended) to exceed 9.99% of the total number of then issued and outstanding shares of the Company’s common stock as determined in accordance with the terms of the pre-funded warrant. This threshold may be increased or decreased upon 61 days’ prior notice at the discretion of RA Capital, but not in excess of 19.99% or, with respect to the other existing institutional stockholder’s pre-funded warrants, not in excess of 9.99%.</w:t>
      </w:r>
    </w:p>
    <w:p>
      <w:pPr>
        <w:spacing w:after="0" w:line="10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assessed the pre-funded warrants for appropriate classification as either equity or liability pursuant to the Company’s accounting policy described in Note 2, “Summary of Significant Accounting Policies.” The Company determined the pre-funded warrants are freestanding instruments that do not meet the definition of a liability pursuant to ASC 480 and do not meet the definition of a derivative pursuant to ASC 815. The pre-funded warrants are indexed to the Company’s common stock and meet all other conditions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2024 and 2023, no shares remained available for future issuance under the 2016 Plan. Any options or other awards outstanding under the 2016 Plan remain outstanding and effective.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As of December 31, 2024, there were 5,207,362 shares available for future issuance under the 2019 Plan. On January 1, 2025, the number of shares reserved for issuance under the 2019 Plan was increased by 2,000,000 shares.</w:t>
      </w:r>
    </w:p>
    <w:p>
      <w:pPr>
        <w:spacing w:after="0" w:line="84"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December 31, 2024, there were 1,896,209 shares available for future issuance under the Inducement Plan.</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 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year ended December 31,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9,972,217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15,114,074</w:t>
            </w: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4,226,008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(427,757 )</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(4,415,769 )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80" w:type="dxa"/>
            <w:vAlign w:val="bottom"/>
          </w:tcPr>
          <w:p>
            <w:pPr>
              <w:spacing w:after="0"/>
              <w:rPr>
                <w:sz w:val="21"/>
                <w:szCs w:val="21"/>
                <w:color w:val="auto"/>
              </w:rPr>
            </w:pPr>
          </w:p>
        </w:tc>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9,354,699</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5,353,463</w:t>
            </w:r>
          </w:p>
        </w:tc>
        <w:tc>
          <w:tcPr>
            <w:tcW w:w="8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080" w:type="dxa"/>
            <w:vAlign w:val="bottom"/>
          </w:tcPr>
          <w:p>
            <w:pPr>
              <w:spacing w:after="0"/>
              <w:rPr>
                <w:sz w:val="17"/>
                <w:szCs w:val="17"/>
                <w:color w:val="auto"/>
              </w:rPr>
            </w:pPr>
          </w:p>
        </w:tc>
        <w:tc>
          <w:tcPr>
            <w:tcW w:w="36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4,349,742</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9.06</w:t>
            </w:r>
          </w:p>
        </w:tc>
        <w:tc>
          <w:tcPr>
            <w:tcW w:w="1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7.35</w:t>
            </w:r>
          </w:p>
        </w:tc>
        <w:tc>
          <w:tcPr>
            <w:tcW w:w="4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2,045,339</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F-19</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-1096645</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-1079500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years ended December 31, 2024 and 2023 was $6.31 per share and $4.64 per share, respectively. The total intrinsic value of stock options exercised in the years ended December 31, 2024 and 2023 was $1.4 million and $0.2 million, respectively.</w:t>
      </w:r>
    </w:p>
    <w:p>
      <w:pPr>
        <w:spacing w:after="0" w:line="6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years ended December 31, 2024 and 2023 has been calculated on the date of grant using the following weighted average assumptions:</w:t>
      </w:r>
    </w:p>
    <w:p>
      <w:pPr>
        <w:spacing w:after="0" w:line="17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48"/>
        </w:trPr>
        <w:tc>
          <w:tcPr>
            <w:tcW w:w="516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516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5"/>
                <w:szCs w:val="15"/>
                <w:color w:val="auto"/>
              </w:rPr>
            </w:pPr>
          </w:p>
        </w:tc>
      </w:tr>
      <w:tr>
        <w:trPr>
          <w:trHeight w:val="20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FF0FC"/>
          </w:tcPr>
          <w:p>
            <w:pPr>
              <w:spacing w:after="0"/>
              <w:rPr>
                <w:sz w:val="18"/>
                <w:szCs w:val="18"/>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103.3 %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98.6 %</w:t>
            </w:r>
          </w:p>
        </w:tc>
      </w:tr>
    </w:tbl>
    <w:p>
      <w:pPr>
        <w:spacing w:after="0" w:line="3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year ended December 31, 2024:</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8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88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75,017</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(22,326 )</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(80,064 )</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-24765</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596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514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all restricted stock units and restricted stock awards that vested during the years ended December 31, 2024 and 2023 was $0.2 million and $0.1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p>
    <w:p>
      <w:pPr>
        <w:spacing w:after="0" w:line="18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8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2"/>
        </w:trPr>
        <w:tc>
          <w:tcPr>
            <w:tcW w:w="53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80" w:type="dxa"/>
            <w:vAlign w:val="bottom"/>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an aggregate of $21.6 million of unrecognized stock-based compensation expense, which is expected to be recognized over a weighted average period of 2.4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8" w:name="page119"/>
    <w:bookmarkEnd w:id="118"/>
    <w:p>
      <w:pPr>
        <w:ind w:right="80"/>
        <w:spacing w:after="0" w:line="266" w:lineRule="auto"/>
        <w:rPr>
          <w:sz w:val="20"/>
          <w:szCs w:val="20"/>
          <w:color w:val="auto"/>
        </w:rPr>
      </w:pPr>
      <w:r>
        <w:rPr>
          <w:rFonts w:ascii="Times New Roman" w:cs="Times New Roman" w:eastAsia="Times New Roman" w:hAnsi="Times New Roman"/>
          <w:sz w:val="18"/>
          <w:szCs w:val="18"/>
          <w:color w:val="auto"/>
        </w:rPr>
        <w:t>stock, (ii) 1% of the number of shares of the Company’s common stock outstanding on the first day of each such year or (iii) an amount determined by the Company’s board of directors. As of December 31, 2024, there were 1,671,843 shares available for future issuance under the ESPP. On January 1, 2025, the number of shares reserved for issuance under the 2019 ESPP was increased by 428,571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May 2024, the Company entered into a collaboration and license agreement (the “Sanofi Agreement”) with Genzyme Corporation (“Sanofi”) pursuant to which the Company granted Sanofi an exclusive license under certain intellectual property rights to commercialize losmapimod, an oral small molecule for the treatment of facioscapulohumeral muscular dystrophy (“FSHD”), outside of the United States. On December 18, 2024, the Company received written notice of Sanofi’s election to terminate for convenience the collaboration and license agreement. In accordance with the agreement, the termination will become effective on April 17, 2025, which is 120 days following the date of receipt of the notice by the Company.</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Until the termination of the agreement, the parties will continue to perform their respective obligations under the agreement. As of the termination date, the agreement will be terminated in its entirety, following which the Company will not be entitled to receive any further milestone payments, royalties, or global development cost reimbursement.</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agreement, pursuant to a mutually agreed global development plan, the Company continued the Phase 3 clinical trial for losmapimod for the treatment of FSHD, and the Company and Sanofi agreed to equally share global development costs. In addition to potential future activities conducted under a mutually agreed global development plan, Sanofi had the right to conduct certain development activities that were solely intended to support obtaining or maintaining regulatory approval outside of the United States. The Company had the sole right to manufacture for its activities under the global development plan and for commercialization in the United States and, subject to the terms of a supply agreement, the Company was to have supplied Sanofi’s clinical and commercial supply requirements of losmapimod until Sanofi elected to take over such manufacturing responsibilities.</w:t>
      </w:r>
    </w:p>
    <w:p>
      <w:pPr>
        <w:spacing w:after="0" w:line="7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Per the terms of the agreement, Sanofi made an upfront payment of $80.0 million to the Company. The Company was also eligible to receive up to an additional $975.0 million in specified regulatory and sales-based milestones, and Sanofi agreed to pay the Company tiered royalties ranging from low-teens to mid-twenties based on Sanofi’s and any of its affiliates’ and sublicensees’ annual net sales of losmapimod outside the United States. The royalties were payable on a product-by-product basis during a specified royalty term, and could have been reduced in specified circumstances.</w:t>
      </w:r>
    </w:p>
    <w:p>
      <w:pPr>
        <w:spacing w:after="0" w:line="7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During the term of the Sanofi Agreement, the Company may not research, develop, manufacture, commercialize, use, or otherwise exploit any compound or product that binds or otherwise modulates p38a/b MAPK anywhere in the world, other than losmapimod in the United States.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was to continue on a country-by-country and product-by-product basis until the last to expire royalty term for a product in a country, at which time the Sanofi Agreement expires with respect to such product in such country. Either party had the right to terminate the Sanofi Agreement if the other party had materially breached its obligations under the Sanofi Agreement and such breach had not been cured within the applicable cure period. Sanofi also had the right to terminate the Sanofi Agreement for convenience in its entirety, which it exercised on December 18, 2024. The Company had the right to terminate the Sanofi Agreement if Sanofi terminated all bona fide material development and commercialization activities for a specified period and such cessation is not the result of certain agreed upon reasons.</w:t>
      </w:r>
    </w:p>
    <w:p>
      <w:pPr>
        <w:spacing w:after="0" w:line="7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that the Sanofi Agreement contained three material promises: (i) the license granted to Sanofi to develop and commercialize losmapimod outside of the United States (the “losmapimod license”); (ii) the parties’ joint global development activities for losmapimod; and (iii) the Sanofi territory-specific manufacturing activities for losmapimod, subject to the terms of a supply agreement. The Company considered the guidance in ASC 606 to determine which, if any, of the components of the losmapimod agreement are performance obligations with a customer and concluded that the losmapimod license and the Sanofi territory-specific manufacturing activities are within the scope of ASC 606 because Sanofi is the Company’s customer in those transactions.</w:t>
      </w:r>
    </w:p>
    <w:p>
      <w:pPr>
        <w:spacing w:after="0" w:line="79"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the losmapimod license under ASC 606 and concluded that the losmapimod license is a functional intellectual property license and is a distinct performance obligation. The Company determined that Sanofi benefited from the losmapimod license at the time of grant, and therefore the related performance obligation is satisfied at a point in time.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19" w:name="page120"/>
    <w:bookmarkEnd w:id="119"/>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evaluated the Sanofi territory-specific manufacturing activities under ASC 606 and identified one material promise associated with manufacturing activities related to development and commercial supply of losmapimod. Given that Sanofi is not obligated to purchase any minimum amount or quantities of the development and commercial supply from the Company, the Company concluded that, for the purpose of ASC 606, the provision of manufacturing activities related to development and commercial supply of losmapimod in the Sanofi territory was an option but not a performance obligation of the Company at the inception of the Sanofi agreement and would be accounted for if and when exercised. The Company also concluded that there is no separate material right in connection with the development and commercial supply of losmapimod, as the expected pricing was not issued at a significant and incremental discount. Therefore, the manufacturing activities were excluded as a performance obligation at the outset of the arrangement. Additionally, the Company was entitled to sales milestones and royalties from Sanofi upon future sales of losmapimod in the Sanofi territory, and revenue would have been recognized when the related sales occur. Costs that are incurred associated with the Sanofi territory-specific manufacturing activities are reimbursable from Sanofi and will be recognized as revenue.</w:t>
      </w:r>
    </w:p>
    <w:p>
      <w:pPr>
        <w:spacing w:after="0" w:line="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the purposes of ASC 606, the transaction price of the Sanofi Agreement as of the outset of the arrangement consists of the upfront cash payment of $80.0 million, which was allocated to the performance obligation related to the losmapimod license. The other potential milestone payments that the Company is eligible to receive under the Sanofi agreement have been excluded from the transaction price, as all the remaining milestone amounts were fully constrained based on the probability of achievement. During the year ended December 31, 2024, the Company recognized $80.0 million of revenue associated with the upfront license payment.</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the parties’ participation in global development for losmapimod, the Company concluded that those activities and cost-sharing payments related to such activities are within the scope of ASC 808, as both parties are active participants in the development activities and are exposed to significant risks and rewards of those activities under the Sanofi agreement. The Company assessed its relationship with Sanofi, the economics and nature of the global development activities, and the contractual terms of the Sanofi Agreement and concluded that, in accordance with its policy, payments to or reimbursements from Sanofi related to the global development activities will be accounted for as an increase to or reduction of research and development expenses. During the year ended December 31, 2024, the Company recorded a reduction in research and development expenses in connection with global development activities for losmapimod of $8.1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GSK Agreement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Under the GSK Agreement, the Company issued 12,500,000 shares of Series B Preferred Stock to GSK (all of which converted to common stock in connection with the Company’s 2019 initial public offering). In addition, the Company may owe GSK up to $37.5 million in certain specified clinical and regulatory milestones, including a $5.0 million milestone that was achieved during 2022 and a $2.5 million milestone that was achieved 2019, and up to $60.0 million in certain specified sales milestones. The Company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w:t>
      </w:r>
    </w:p>
    <w:p>
      <w:pPr>
        <w:spacing w:after="0" w:line="7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clinical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MyoKardia Agreement</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Pursuant to a mutually agreed research plan, the Company performed assay screening and related research activities to identify and validate up to a specified number of potential cardiomyopathy gene targets (“Identified Targets”) for further research, development, manufacture and commercialization by MyoKardia. The Company and MyoKardia worked together to determine how best to advance at each stage of the research activities under the research plan and to identify which of the Identified Targets, if any, met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7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During the period in which the Company performed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MyoKardia Collaboration Agreement, MyoKardia made a $10.0 million upfront payment and a $2.5 million payment as prepaid research funding to the Company in July 2020. MyoKardia also reimbursed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July 2024, the Company entered into an amendment to the MyoKardia Collaboration Agreement, pursuant to which the Company and MyoKardia agreed to extend the Research Term.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assessed the MyoKardia Collaboration Agreement and concluded that it represents a contract with a customer within the scope of ASC 606.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ind w:left="520"/>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8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54" w:lineRule="exact"/>
        <w:rPr>
          <w:sz w:val="20"/>
          <w:szCs w:val="20"/>
          <w:color w:val="auto"/>
        </w:rPr>
      </w:pPr>
    </w:p>
    <w:p>
      <w:pPr>
        <w:jc w:val="both"/>
        <w:ind w:right="840" w:firstLine="509"/>
        <w:spacing w:after="0" w:line="266" w:lineRule="auto"/>
        <w:rPr>
          <w:sz w:val="20"/>
          <w:szCs w:val="20"/>
          <w:color w:val="auto"/>
        </w:rPr>
      </w:pPr>
      <w:r>
        <w:rPr>
          <w:rFonts w:ascii="Times New Roman" w:cs="Times New Roman" w:eastAsia="Times New Roman" w:hAnsi="Times New Roman"/>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year ended December 31, 2024.</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 The Company satisfied its obligation to perform research services as of December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22" w:name="page123"/>
    <w:bookmarkEnd w:id="122"/>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no collaboration revenue associated with the MyoKardia Collaboration Agreement. During the year ended December 31, 2023, the Company recognized $2.8 million of collaboration revenue associated with the MyoKardia Collaboration Agreement, which includes $0.9 million of revenue recognized that was included in deferred revenue as of December 31, 2022. As of December 31, 2024 and December 31, 2023, the Company recorded no deferred revenue associated with the MyoKardia Collaboration Agreement. As of December 31, 2024, the Company had received $7.7 million of cost reimbursement payments under the MyoKardia Collaboration Agreement and $2.5 million associated with the achievement of a preclinical milestone, respectively. As of December 31, 2023, the Company had received $7.2 million of cost reimbursement payments under the MyoKardia Collaboration Agreement and $2.5 million associated with the achievement of a preclinical milestone, respectively. As of December 31, 2024, the Company recorded no unbilled accounts receivable related to reimbursable research and development costs under the MyoKardia Collaboration Agreement for activities performed during the three months ended December 31, 2024. As of December 31, 2023, the Company recorded unbilled accounts receivable of $0.5 million related to reimbursable research and development costs under the MyoKardia Collaboration Agreement for activities performed during the three months ended December 31, 2023. As of December 31, 2024 and 2023, the Company recorded no accounts receivable under the MyoKardia Collaboration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CAMP4 Agreement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a license agreement (the “CAMP4 Agreement”) with CAMP4 Therapeutics Corporation (“CAMP4”) pursuant to which the Company received a worldwide exclusive license (including the right to sublicense) from CAMP4 to rights under its Diamond 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w:t>
      </w:r>
    </w:p>
    <w:p>
      <w:pPr>
        <w:spacing w:after="0" w:line="3" w:lineRule="exact"/>
        <w:rPr>
          <w:sz w:val="20"/>
          <w:szCs w:val="20"/>
          <w:color w:val="auto"/>
        </w:rPr>
      </w:pPr>
    </w:p>
    <w:p>
      <w:pPr>
        <w:ind w:left="220" w:hanging="212"/>
        <w:spacing w:after="0"/>
        <w:tabs>
          <w:tab w:leader="none" w:pos="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all valid patent claims covering the compounds in such country, (ii) the expiration of all regulatory exclusivities in such country, and</w:t>
      </w:r>
    </w:p>
    <w:p>
      <w:pPr>
        <w:spacing w:after="0" w:line="9" w:lineRule="exact"/>
        <w:rPr>
          <w:rFonts w:ascii="Times New Roman" w:cs="Times New Roman" w:eastAsia="Times New Roman" w:hAnsi="Times New Roman"/>
          <w:sz w:val="18"/>
          <w:szCs w:val="18"/>
          <w:color w:val="auto"/>
        </w:rPr>
      </w:pPr>
    </w:p>
    <w:p>
      <w:pPr>
        <w:ind w:right="40" w:firstLine="8"/>
        <w:spacing w:after="0" w:line="260" w:lineRule="auto"/>
        <w:tabs>
          <w:tab w:leader="none" w:pos="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following the first commercial sale in such country. The Company is responsible for the costs associated with the development and regulatory approvals of licensed products.</w:t>
      </w:r>
    </w:p>
    <w:p>
      <w:pPr>
        <w:spacing w:after="0" w:line="7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w:t>
      </w:r>
    </w:p>
    <w:p>
      <w:pPr>
        <w:spacing w:after="0" w:line="84" w:lineRule="exact"/>
        <w:rPr>
          <w:sz w:val="20"/>
          <w:szCs w:val="20"/>
          <w:color w:val="auto"/>
        </w:rPr>
      </w:pPr>
    </w:p>
    <w:p>
      <w:pPr>
        <w:ind w:right="80" w:firstLine="509"/>
        <w:spacing w:after="0" w:line="313" w:lineRule="auto"/>
        <w:rPr>
          <w:sz w:val="20"/>
          <w:szCs w:val="20"/>
          <w:color w:val="auto"/>
        </w:rPr>
      </w:pPr>
      <w:r>
        <w:rPr>
          <w:rFonts w:ascii="Times New Roman" w:cs="Times New Roman" w:eastAsia="Times New Roman" w:hAnsi="Times New Roman"/>
          <w:sz w:val="18"/>
          <w:szCs w:val="18"/>
          <w:color w:val="auto"/>
        </w:rPr>
        <w:t>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3" w:name="page124"/>
    <w:bookmarkEnd w:id="123"/>
    <w:p>
      <w:pPr>
        <w:ind w:right="40"/>
        <w:spacing w:after="0" w:line="255" w:lineRule="auto"/>
        <w:rPr>
          <w:sz w:val="20"/>
          <w:szCs w:val="20"/>
          <w:color w:val="auto"/>
        </w:rPr>
      </w:pPr>
      <w:r>
        <w:rPr>
          <w:rFonts w:ascii="Times New Roman" w:cs="Times New Roman" w:eastAsia="Times New Roman" w:hAnsi="Times New Roman"/>
          <w:sz w:val="18"/>
          <w:szCs w:val="18"/>
          <w:color w:val="auto"/>
        </w:rPr>
        <w:t>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2024 and December 31, 2023. Operating lease and variable lease expense associated with this lease for the years ended December 31, 2024 and 2023 was approximately $1.9 million and $0.9 million, respectively.</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December 31, 2024,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18"/>
                <w:szCs w:val="18"/>
                <w:color w:val="auto"/>
              </w:rPr>
            </w:pP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(986 )</w:t>
            </w:r>
          </w:p>
        </w:tc>
      </w:tr>
      <w:tr>
        <w:trPr>
          <w:trHeight w:val="24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80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125 Sidney Street</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November 2021, the Company entered into a lease agreement comprising approximately 12,196 square feet of office space at 125 Sidney Street in Cambridge, Massachusetts, commencing November 2021. The Company began recognizing rent expense associated with this lease during November 2021. The lease ended on March 31, 2024. The Company had the option to extend the term of the lease for two successive one-year periods, at the market rate, by giving the landlord written notice of its election to exercise the extension at least nine months prior to the original expiration of the lease term. The lease had a total commitment of $1.7 million over the initial term, and included escalating rent payments. Operating lease expense associated with this lease for the year ended December 31, 2024 was approximately $0.2 million. No variable lease expense was recorded associated with this lease for the year ended December 31, 2024.</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future minimum lease payments associated with this lease as of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2024 or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April 28, 2023, a class action complaint was filed in the United States District Court for the District of New Jersey against the Company and current and former officers (the “Securities Action”). On May 19, 2023, the Securities Action was transferred to the United States District Court for the District of Massachusetts, captioned Celano v. Fulcrum Therapeutics, Inc., et al., Case No. 1:23-cv-11125-IT. On July 31, 2023, the court appointed a lead plaintiff, who filed an amended complaint on September 29, 2023. The Securities Action alleges violations of Section 10(b) of the Securities Exchange Act of 1934, as amended, and Rule 10b-5 promulgated thereunder against all defendants and control person violations of Section 20(a) against the individuals, related to the Company’s February 2023 announcement that the U.S. Food and Drug Administration issued a clinical hold regarding the investigational new drug application for pociredir for the potential treatment of sickle cell disease. The Securities Action alleges that the defendants made misleading statements and omitted to disclose material information related to the clinical hold and seeks, among other things, compensatory damages in connection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4" w:name="page125"/>
    <w:bookmarkEnd w:id="124"/>
    <w:p>
      <w:pPr>
        <w:ind w:right="340"/>
        <w:spacing w:after="0" w:line="266" w:lineRule="auto"/>
        <w:rPr>
          <w:sz w:val="20"/>
          <w:szCs w:val="20"/>
          <w:color w:val="auto"/>
        </w:rPr>
      </w:pPr>
      <w:r>
        <w:rPr>
          <w:rFonts w:ascii="Times New Roman" w:cs="Times New Roman" w:eastAsia="Times New Roman" w:hAnsi="Times New Roman"/>
          <w:sz w:val="18"/>
          <w:szCs w:val="18"/>
          <w:color w:val="auto"/>
        </w:rPr>
        <w:t>with an allegedly inflated stock price between March 3, 2022, and March 8, 2023, as well as attorneys’ fees and costs. On November 28, 2023, all defendants filed a motion to dismiss the Securities Action. Briefing was completed on the motion in February 2024, and the court held a hearing on the motion in September 2024. The Company intends to defend vigorously against this litigation.</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the Securities Action, no such costs have been incurred during the year ended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492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21.00 %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(0.90 )</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(0.04 )</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and state research and development credits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Federal orphan drug credits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(incentive stock options)</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(6.23 )</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(0.68 )</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 cancellations</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(17.71 )</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(0.18 )</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Officers' compensation</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(5.11 )</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(1.06 )</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ownership change</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(1,283.66 )</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Deferred rate change</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(6.78 )</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(0.02 )</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1,196.94</w:t>
            </w:r>
          </w:p>
        </w:tc>
        <w:tc>
          <w:tcPr>
            <w:tcW w:w="2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(35.93 )</w:t>
            </w:r>
          </w:p>
        </w:tc>
      </w:tr>
      <w:tr>
        <w:trPr>
          <w:trHeight w:val="20"/>
        </w:trPr>
        <w:tc>
          <w:tcPr>
            <w:tcW w:w="49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1200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1200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5"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incurred book and tax losses and, because it maintains a full valuation allowance on its net deferred tax assets, did not recognize federal or state income tax expense or benefit.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deferred tax assets and liabilities consist of the following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30,019</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85,622</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Orphan drug credit carryforwards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166,942</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(51,753 )</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(164,483 )</w:t>
            </w: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(2,900 )</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(2,459 )</w:t>
            </w:r>
          </w:p>
        </w:tc>
      </w:tr>
      <w:tr>
        <w:trPr>
          <w:trHeight w:val="250"/>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9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5" w:name="page126"/>
    <w:bookmarkEnd w:id="125"/>
    <w:p>
      <w:pPr>
        <w:ind w:right="40"/>
        <w:spacing w:after="0" w:line="258" w:lineRule="auto"/>
        <w:rPr>
          <w:sz w:val="20"/>
          <w:szCs w:val="20"/>
          <w:color w:val="auto"/>
        </w:rPr>
      </w:pPr>
      <w:r>
        <w:rPr>
          <w:rFonts w:ascii="Times New Roman" w:cs="Times New Roman" w:eastAsia="Times New Roman" w:hAnsi="Times New Roman"/>
          <w:sz w:val="18"/>
          <w:szCs w:val="18"/>
          <w:color w:val="auto"/>
        </w:rPr>
        <w:t>realize the benefits of the net deferred tax assets. Accordingly, a full valuation allowance has been established against the net deferred tax assets as of December 31, 2024 and 2023. The valuation allowance decreased by $112.7 million during the year ended December 31, 2024, which is primarily attributable to a limitation under Section 382 of the Internal Revenue Code of 1986, as amended (the “Internal Revenue Code”), related to the Company's net operating loss carryforwards and research and development tax credit carryforwards, as discussed further below. The Company reevaluates the positive and negative evidence at each reporting period.</w:t>
      </w:r>
    </w:p>
    <w:p>
      <w:pPr>
        <w:spacing w:after="0" w:line="7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federal net operating loss carryforwards of approximately $5.0 million, which may be available to offset future taxable income and do not expire, but are limited in their usage to an annual deduction equal to 80% of annual taxable income. As of December 31, 2024, the Company also had state net operating loss carryforwards of approximately $6.2 million, which begin to expire in 2044.</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federal orphan drug credits of approximately $2.2 million, which begin to expire in 2044. As of December 31, 2024, the Company had federal research and development tax credit carryforwards of approximately $0.3 million, which begin to expire in 2039. As of December 31, 2024, the Company also had state research and development tax credit carryforwards of approximately $0.2 million, which begin to expire in 2039.</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Utilization of the net operating loss carryforwards and research and development tax credit carryforwards may be subject to an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completed a study to assess whether an ownership change has occurred under Section 382, and determined that all net operating loss carryforwards and credits generated before September 12, 2024 are limited. As a result, the carryforwards before the ownership change date of September 12, 2024 are not available for utilization and have been written off. The carryforwards as of December 31, 2024 were generated after the ownership change on September 12, 2024. If the Company experiences a change of control, as defined by Section 382, subsequent to December 31, 2024, utilization of the net operating loss carryforwards or research and development tax credit carryforwards would be subject to an annual limitation under Section 382.</w:t>
      </w:r>
    </w:p>
    <w:p>
      <w:pPr>
        <w:spacing w:after="0" w:line="7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2024, the Company’s tax years are still open under statute from 2016 to the present.</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the provision for income taxes. As of December 31, 2024 and 2023, the Company had no accrued interest or penalties related to uncertain tax positions and no amounts have been recognized in the Company’s statements of operations. For the year ended December 31, 2024, 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Defined Contribution Plan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$0.6 million and $0.7 million in contributions to the 401(k) Plan for the years ended December 31, 2024 and 2023, respectively.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periods indicated because including them would have had an anti-dilutive effect:</w:t>
      </w:r>
    </w:p>
    <w:p>
      <w:pPr>
        <w:spacing w:after="0" w:line="18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2"/>
        </w:trPr>
        <w:tc>
          <w:tcPr>
            <w:tcW w:w="4340" w:type="dxa"/>
            <w:vAlign w:val="bottom"/>
          </w:tcPr>
          <w:p>
            <w:pPr>
              <w:spacing w:after="0"/>
              <w:rPr>
                <w:sz w:val="12"/>
                <w:szCs w:val="12"/>
                <w:color w:val="auto"/>
              </w:rPr>
            </w:pPr>
          </w:p>
        </w:tc>
        <w:tc>
          <w:tcPr>
            <w:tcW w:w="164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9,354,699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9,972,217</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43,072</w:t>
            </w:r>
          </w:p>
        </w:tc>
        <w:tc>
          <w:tcPr>
            <w:tcW w:w="1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75,017</w:t>
            </w:r>
          </w:p>
        </w:tc>
        <w:tc>
          <w:tcPr>
            <w:tcW w:w="80" w:type="dxa"/>
            <w:vAlign w:val="bottom"/>
          </w:tcPr>
          <w:p>
            <w:pPr>
              <w:spacing w:after="0"/>
              <w:rPr>
                <w:sz w:val="18"/>
                <w:szCs w:val="18"/>
                <w:color w:val="auto"/>
              </w:rPr>
            </w:pPr>
          </w:p>
        </w:tc>
      </w:tr>
      <w:tr>
        <w:trPr>
          <w:trHeight w:val="250"/>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9,397,771</w:t>
            </w:r>
          </w:p>
        </w:tc>
        <w:tc>
          <w:tcPr>
            <w:tcW w:w="16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10,047,234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Activities</w:t>
      </w:r>
    </w:p>
    <w:p>
      <w:pPr>
        <w:spacing w:after="0" w:line="121"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In September 2024, the Company announced a plan to reprioritize research and development activities to focus on advancing pociredir for the treatment of sickle cell disease, novel therapeutic agents for the treatment of DBA, and the Company's early discovery programs. The plan reduced the Company’s workforce from 80 to 51 full-time employees, including a reduction of positions across both research and development and general and administrative functions. During the year ended December 31, 2024, the Company recorded aggregate restructuring charges of $2.1 million related to severance and other employee-related costs, all of which were paid during the year ended December 31,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restructuring charges as of December 31, 2023</w:t>
            </w:r>
          </w:p>
        </w:tc>
        <w:tc>
          <w:tcPr>
            <w:tcW w:w="76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 incurred during the period</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7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(1,686 )</w:t>
            </w:r>
          </w:p>
        </w:tc>
      </w:tr>
      <w:tr>
        <w:trPr>
          <w:trHeight w:val="210"/>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restructuring charges as of December 31, 2024</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Related-Party Transactions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August 2024, the Company entered into an exchange agreement with RA Capital, one of the Company's principal stockholders and a related party in accordance with </w:t>
      </w:r>
      <w:r>
        <w:rPr>
          <w:rFonts w:ascii="Times New Roman" w:cs="Times New Roman" w:eastAsia="Times New Roman" w:hAnsi="Times New Roman"/>
          <w:sz w:val="18"/>
          <w:szCs w:val="18"/>
          <w:color w:val="212529"/>
        </w:rPr>
        <w:t>ASC 850,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xml:space="preserve"> pursuant to which RA Capital exchanged 8,500,000 shares of the Company's common stock, par value $0.001 per share, or common stock, for a pre-funded warrant to acquire 8,500,000 shares of the Company's common stock. No cash was exchanged related to the transaction. See Note 8, "Common Stock", for additional details of the transaction.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and the CODM primarily utilize the segment's consolidated net income (loss), disaggregated between (a) research and development and (b) general and administrative, as the key indicator to assess the segment's performance and for allocating resources.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reportable segment revenue, operating expenses, and net loss for the years ended December 31, 2024 and December 31, 2023 are as follows:</w:t>
      </w:r>
    </w:p>
    <w:p>
      <w:pPr>
        <w:spacing w:after="0" w:line="182"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3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 compensation expenses (excluding stock-based compensation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10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101,897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113,469</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(21,897 )</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(110,664 )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(9,725 )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(97,335 )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40" w:type="dxa"/>
            <w:vAlign w:val="bottom"/>
            <w:vMerge w:val="restart"/>
          </w:tcPr>
          <w:p>
            <w:pPr>
              <w:ind w:left="4540"/>
              <w:spacing w:after="0"/>
              <w:rPr>
                <w:sz w:val="20"/>
                <w:szCs w:val="20"/>
                <w:color w:val="auto"/>
              </w:rPr>
            </w:pPr>
            <w:r>
              <w:rPr>
                <w:rFonts w:ascii="Times New Roman" w:cs="Times New Roman" w:eastAsia="Times New Roman" w:hAnsi="Times New Roman"/>
                <w:sz w:val="18"/>
                <w:szCs w:val="18"/>
                <w:color w:val="auto"/>
              </w:rPr>
              <w:t>F-30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92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-1431290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-1431290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-1148080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-1148080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60" w:type="dxa"/>
            <w:vAlign w:val="bottom"/>
            <w:gridSpan w:val="34"/>
          </w:tcPr>
          <w:p>
            <w:pPr>
              <w:ind w:left="36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60" w:type="dxa"/>
            <w:vAlign w:val="bottom"/>
            <w:gridSpan w:val="34"/>
            <w:vMerge w:val="restart"/>
          </w:tcPr>
          <w:p>
            <w:pPr>
              <w:ind w:left="4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60" w:type="dxa"/>
            <w:vAlign w:val="bottom"/>
            <w:tcBorders>
              <w:bottom w:val="single" w:sz="8" w:color="auto"/>
            </w:tcBorders>
            <w:gridSpan w:val="3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Restated Certificate of Incorporation of the Registrant (incorporated by reference to Exhibit 3.1 to the Registrant’s Current Report on Form</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8-K filed with the Securities and Exchange Commission on July 22, 2019).</w:t>
              </w:r>
            </w:hyperlink>
          </w:p>
        </w:tc>
        <w:tc>
          <w:tcPr>
            <w:tcW w:w="20" w:type="dxa"/>
            <w:vAlign w:val="bottom"/>
            <w:tcBorders>
              <w:bottom w:val="single" w:sz="8" w:color="0000EE"/>
            </w:tcBorders>
          </w:tcPr>
          <w:p>
            <w:pPr>
              <w:spacing w:after="0"/>
              <w:rPr>
                <w:sz w:val="17"/>
                <w:szCs w:val="17"/>
                <w:color w:val="auto"/>
              </w:rPr>
            </w:pPr>
          </w:p>
        </w:tc>
        <w:tc>
          <w:tcPr>
            <w:tcW w:w="472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Certificate of Amendment of the Restated Certificate of Incorporation of the Registrant (incorporated by reference to Exhibit 3.1 to the</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Current Report on Form 8-K filed with the Securities and Exchange Commission on June 9, 2023).</w:t>
              </w:r>
            </w:hyperlink>
          </w:p>
        </w:tc>
        <w:tc>
          <w:tcPr>
            <w:tcW w:w="20" w:type="dxa"/>
            <w:vAlign w:val="bottom"/>
            <w:tcBorders>
              <w:bottom w:val="single" w:sz="8" w:color="0000EE"/>
            </w:tcBorders>
          </w:tcPr>
          <w:p>
            <w:pPr>
              <w:spacing w:after="0"/>
              <w:rPr>
                <w:sz w:val="17"/>
                <w:szCs w:val="17"/>
                <w:color w:val="auto"/>
              </w:rPr>
            </w:pPr>
          </w:p>
        </w:tc>
        <w:tc>
          <w:tcPr>
            <w:tcW w:w="30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Amended and Restated Bylaws of the Registrant (incorporated by reference to Exhibit 3.2 to the Registrant’s Current Report on Form 8-K</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Specimen Stock Certificate evidencing shares of common stock (incorporated by reference to Exhibit 4.1 to the Registrant’s Registration</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Description of the Registrant’s Securities Registered under Section 12 of the Exchange Act (incorporated by reference to Exhibit 4.2 to the</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Registrant’s Annual Report on Form 10-K filed with the Securities and Exchange Commission on March 5, 2020).</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2016 Stock Incentive Plan, as amended (incorporated by reference to Exhibit 10.2 to the Registrant’s Registration Statement on Form S-1</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Form of Incentive Stock Option Agreement under the 2016 Stock Incentive Plan (incorporated by reference to Exhibit 10.3 to the</w:t>
              </w:r>
            </w:hyperlink>
          </w:p>
        </w:tc>
        <w:tc>
          <w:tcPr>
            <w:tcW w:w="7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Registrant’s Registration Statement on Form S-1 (File No. 333-232260) filed with the Securities and Exchange Commission on June 21,</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20" w:type="dxa"/>
            <w:vAlign w:val="bottom"/>
            <w:gridSpan w:val="4"/>
          </w:tcPr>
          <w:p>
            <w:pPr>
              <w:ind w:left="120"/>
              <w:spacing w:after="0" w:line="196" w:lineRule="exact"/>
              <w:rPr>
                <w:rFonts w:ascii="Times New Roman" w:cs="Times New Roman" w:eastAsia="Times New Roman" w:hAnsi="Times New Roman"/>
                <w:sz w:val="18"/>
                <w:szCs w:val="18"/>
                <w:color w:val="0000FF"/>
                <w:w w:val="98"/>
              </w:rPr>
            </w:pPr>
            <w:hyperlink r:id="rId294">
              <w:r>
                <w:rPr>
                  <w:rFonts w:ascii="Times New Roman" w:cs="Times New Roman" w:eastAsia="Times New Roman" w:hAnsi="Times New Roman"/>
                  <w:sz w:val="18"/>
                  <w:szCs w:val="18"/>
                  <w:color w:val="0000FF"/>
                  <w:w w:val="98"/>
                </w:rPr>
                <w:t>2019).</w:t>
              </w:r>
            </w:hyperlink>
          </w:p>
        </w:tc>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Form of Non-Statutory Stock Option Agreement under the 2016 Stock Incentive Plan (incorporated by reference to Exhibit 10.4 to the</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Registrant’s Registration Statement on Form S-1 (File No. 333-232260) filed with the Securities and Exchange Commission on June 21,</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20" w:type="dxa"/>
            <w:vAlign w:val="bottom"/>
            <w:gridSpan w:val="4"/>
          </w:tcPr>
          <w:p>
            <w:pPr>
              <w:ind w:left="120"/>
              <w:spacing w:after="0" w:line="196" w:lineRule="exact"/>
              <w:rPr>
                <w:rFonts w:ascii="Times New Roman" w:cs="Times New Roman" w:eastAsia="Times New Roman" w:hAnsi="Times New Roman"/>
                <w:sz w:val="18"/>
                <w:szCs w:val="18"/>
                <w:color w:val="0000FF"/>
                <w:w w:val="98"/>
              </w:rPr>
            </w:pPr>
            <w:hyperlink r:id="rId295">
              <w:r>
                <w:rPr>
                  <w:rFonts w:ascii="Times New Roman" w:cs="Times New Roman" w:eastAsia="Times New Roman" w:hAnsi="Times New Roman"/>
                  <w:sz w:val="18"/>
                  <w:szCs w:val="18"/>
                  <w:color w:val="0000FF"/>
                  <w:w w:val="98"/>
                </w:rPr>
                <w:t>2019).</w:t>
              </w:r>
            </w:hyperlink>
          </w:p>
        </w:tc>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Form of Restricted Stock Agreement under the 2016 Stock Incentive Plan (incorporated by reference to Exhibit 10.5 to the Registrant’s</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Registration 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2019 Stock Incentive Plan (incorporated by reference to Exhibit 10.6 to Amendment No. 1 to Registrant’s Registration Statement on Form</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S-1 (File No. 333-232260) filed with the Securities and Exchange Commission on July 8, 2019).</w:t>
              </w:r>
            </w:hyperlink>
          </w:p>
        </w:tc>
        <w:tc>
          <w:tcPr>
            <w:tcW w:w="32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Form of Stock Option Agreement under the 2019 Stock Incentive Plan (incorporated by reference to Exhibit 10.7 to Amendment No. 1 to</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Registrant’s Registration Statement on Form S-1 (File No. 333-232260) filed with the Securities and Exchange Commission on July 8,</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20" w:type="dxa"/>
            <w:vAlign w:val="bottom"/>
            <w:gridSpan w:val="4"/>
          </w:tcPr>
          <w:p>
            <w:pPr>
              <w:ind w:left="120"/>
              <w:spacing w:after="0" w:line="196" w:lineRule="exact"/>
              <w:rPr>
                <w:rFonts w:ascii="Times New Roman" w:cs="Times New Roman" w:eastAsia="Times New Roman" w:hAnsi="Times New Roman"/>
                <w:sz w:val="18"/>
                <w:szCs w:val="18"/>
                <w:color w:val="0000FF"/>
                <w:w w:val="98"/>
              </w:rPr>
            </w:pPr>
            <w:hyperlink r:id="rId298">
              <w:r>
                <w:rPr>
                  <w:rFonts w:ascii="Times New Roman" w:cs="Times New Roman" w:eastAsia="Times New Roman" w:hAnsi="Times New Roman"/>
                  <w:sz w:val="18"/>
                  <w:szCs w:val="18"/>
                  <w:color w:val="0000FF"/>
                  <w:w w:val="98"/>
                </w:rPr>
                <w:t>2019).</w:t>
              </w:r>
            </w:hyperlink>
          </w:p>
        </w:tc>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Form of Non-Statutory Stock Option Agreement (incorporated by reference to Exhibit 10.1 to the Registrant’s Quarterly Report on Form</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10-Q filed with the Securities and Exchange Commission on November 4, 2021).</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Form of Restricted Stock Unit Agreement under the 2019 Stock Incentive Plan (incorporated by reference to Exhibit 10.10 to the</w:t>
              </w:r>
            </w:hyperlink>
          </w:p>
        </w:tc>
        <w:tc>
          <w:tcPr>
            <w:tcW w:w="8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Registrant’s Annual Report on Form 10-K filed with the Securities and Exchange Commission on March 3, 2022).</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2019 Employee Stock Purchase Plan (incorporated by reference to Exhibit 10.8 to Amendment No. 1 to Registrant’s Registration Statement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on Form S-1 (File No. 333-232260) filed with the Securities and Exchange Commission on July 8, 2019).</w:t>
              </w:r>
            </w:hyperlink>
          </w:p>
        </w:tc>
        <w:tc>
          <w:tcPr>
            <w:tcW w:w="25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2022 Inducement Stock Incentive Plan (incorporated by reference to Exhibit 10.12 to the Registrant’s Annual Report on Form 10-K filed</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with the Securities and Exchange Commission on March 3, 2022).</w:t>
              </w:r>
            </w:hyperlink>
          </w:p>
        </w:tc>
        <w:tc>
          <w:tcPr>
            <w:tcW w:w="20" w:type="dxa"/>
            <w:vAlign w:val="bottom"/>
            <w:tcBorders>
              <w:bottom w:val="single" w:sz="8" w:color="0000EE"/>
            </w:tcBorders>
          </w:tcPr>
          <w:p>
            <w:pPr>
              <w:spacing w:after="0"/>
              <w:rPr>
                <w:sz w:val="17"/>
                <w:szCs w:val="17"/>
                <w:color w:val="auto"/>
              </w:rPr>
            </w:pPr>
          </w:p>
        </w:tc>
        <w:tc>
          <w:tcPr>
            <w:tcW w:w="53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First Amendment to 2022 Inducement Stock Incentive Plan (incorporated by reference to Exhibit 10.13 to the Registrant’s Annual Report</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03">
              <w:r>
                <w:rPr>
                  <w:rFonts w:ascii="Times New Roman" w:cs="Times New Roman" w:eastAsia="Times New Roman" w:hAnsi="Times New Roman"/>
                  <w:sz w:val="18"/>
                  <w:szCs w:val="18"/>
                  <w:color w:val="0000FF"/>
                  <w:w w:val="99"/>
                </w:rPr>
                <w:t>on Form 10-K filed with the Securities and Exchange Commission on March 9, 2023).</w:t>
              </w:r>
            </w:hyperlink>
          </w:p>
        </w:tc>
        <w:tc>
          <w:tcPr>
            <w:tcW w:w="20" w:type="dxa"/>
            <w:vAlign w:val="bottom"/>
            <w:tcBorders>
              <w:bottom w:val="single" w:sz="8" w:color="0000EE"/>
            </w:tcBorders>
          </w:tcPr>
          <w:p>
            <w:pPr>
              <w:spacing w:after="0"/>
              <w:rPr>
                <w:sz w:val="17"/>
                <w:szCs w:val="17"/>
                <w:color w:val="auto"/>
              </w:rPr>
            </w:pPr>
          </w:p>
        </w:tc>
        <w:tc>
          <w:tcPr>
            <w:tcW w:w="39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Second Amendment to 2022 Inducement Stock Incentive Plan (incorporated by reference to Exhibit 10.12 to the Registrant’s Annual Report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on Form 10-K filed with the Securities and Exchange Commission on February 27, 2024).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00" w:type="dxa"/>
            <w:vAlign w:val="bottom"/>
            <w:tcBorders>
              <w:right w:val="single" w:sz="8" w:color="0000EE"/>
            </w:tcBorders>
            <w:gridSpan w:val="11"/>
            <w:shd w:val="clear" w:color="auto" w:fill="0000FF"/>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1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Third Amendment to 2022 Inducement Stock Incentive Plan, effective as of June 17, 2024 (incorporated by reference to Exhibit 10.2 to the</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Registrant’s Quarterly Report on Form 10-Q filed with the Securities and Exchange Commission on July 31, 2024).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20" w:type="dxa"/>
            <w:vAlign w:val="bottom"/>
            <w:gridSpan w:val="18"/>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Form of Non-Statutory Stock Option Agreement under 2022 Inducement Stock Incentive Plan (incorporated by reference to Exhibit 10.13 to</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top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the Registrant’s Annual Report on Form 10-K filed with the Securities and Exchange Commission on March 3,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20" w:type="dxa"/>
            <w:vAlign w:val="bottom"/>
            <w:tcBorders>
              <w:top w:val="single" w:sz="8" w:color="0000FF"/>
            </w:tcBorders>
            <w:gridSpan w:val="17"/>
          </w:tcPr>
          <w:p>
            <w:pPr>
              <w:ind w:left="3880"/>
              <w:spacing w:after="0"/>
              <w:rPr>
                <w:sz w:val="20"/>
                <w:szCs w:val="20"/>
                <w:color w:val="auto"/>
              </w:rPr>
            </w:pPr>
            <w:r>
              <w:rPr>
                <w:rFonts w:ascii="Times New Roman" w:cs="Times New Roman" w:eastAsia="Times New Roman" w:hAnsi="Times New Roman"/>
                <w:sz w:val="18"/>
                <w:szCs w:val="18"/>
                <w:color w:val="auto"/>
              </w:rPr>
              <w:t>F-31</w:t>
            </w:r>
          </w:p>
        </w:tc>
        <w:tc>
          <w:tcPr>
            <w:tcW w:w="16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9" w:name="page130"/>
    <w:bookmarkEnd w:id="129"/>
    <w:p>
      <w:pPr>
        <w:ind w:left="960" w:right="140" w:hanging="976"/>
        <w:spacing w:after="0" w:line="26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309">
        <w:r>
          <w:rPr>
            <w:rFonts w:ascii="Times New Roman" w:cs="Times New Roman" w:eastAsia="Times New Roman" w:hAnsi="Times New Roman"/>
            <w:sz w:val="18"/>
            <w:szCs w:val="18"/>
            <w:u w:val="single" w:color="auto"/>
            <w:color w:val="0000FF"/>
          </w:rPr>
          <w:t>Form of Restricted Stock Unit Agreement under 2022 Inducement Stock Incentive Plan (incorporated by reference to Exhibit 10.14 to the</w:t>
        </w:r>
      </w:hyperlink>
      <w:r>
        <w:rPr>
          <w:rFonts w:ascii="Times New Roman" w:cs="Times New Roman" w:eastAsia="Times New Roman" w:hAnsi="Times New Roman"/>
          <w:sz w:val="18"/>
          <w:szCs w:val="18"/>
          <w:u w:val="single" w:color="auto"/>
          <w:color w:val="0000FF"/>
        </w:rPr>
        <w:t xml:space="preserve"> </w:t>
      </w:r>
      <w:hyperlink r:id="rId309">
        <w:r>
          <w:rPr>
            <w:rFonts w:ascii="Times New Roman" w:cs="Times New Roman" w:eastAsia="Times New Roman" w:hAnsi="Times New Roman"/>
            <w:sz w:val="18"/>
            <w:szCs w:val="18"/>
            <w:u w:val="single" w:color="auto"/>
            <w:color w:val="0000FF"/>
          </w:rPr>
          <w:t>Registrant’s Annual Report on Form 10-K filed with the Securities and Exchange Commission on March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-161925</wp:posOffset>
            </wp:positionV>
            <wp:extent cx="63296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0">
                      <a:extLst>
                        <a:ext uri="{28A0092B-C50C-407E-A947-70E740481C1C}"/>
                      </a:extLst>
                    </a:blip>
                    <a:srcRect/>
                    <a:stretch>
                      <a:fillRect/>
                    </a:stretch>
                  </pic:blipFill>
                  <pic:spPr bwMode="auto">
                    <a:xfrm>
                      <a:off x="0" y="0"/>
                      <a:ext cx="632968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-24765</wp:posOffset>
            </wp:positionV>
            <wp:extent cx="52419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1">
                      <a:extLst>
                        <a:ext uri="{28A0092B-C50C-407E-A947-70E740481C1C}"/>
                      </a:extLst>
                    </a:blip>
                    <a:srcRect/>
                    <a:stretch>
                      <a:fillRect/>
                    </a:stretch>
                  </pic:blipFill>
                  <pic:spPr bwMode="auto">
                    <a:xfrm>
                      <a:off x="0" y="0"/>
                      <a:ext cx="5241925" cy="8255"/>
                    </a:xfrm>
                    <a:prstGeom prst="rect">
                      <a:avLst/>
                    </a:prstGeom>
                    <a:noFill/>
                  </pic:spPr>
                </pic:pic>
              </a:graphicData>
            </a:graphic>
          </wp:anchor>
        </w:drawing>
      </w: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u w:val="single" w:color="auto"/>
          <w:color w:val="0000FF"/>
        </w:rPr>
        <w:t>Summary of Non-Employee Director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-19050</wp:posOffset>
            </wp:positionV>
            <wp:extent cx="28428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extLst>
                        <a:ext uri="{28A0092B-C50C-407E-A947-70E740481C1C}"/>
                      </a:extLst>
                    </a:blip>
                    <a:srcRect/>
                    <a:stretch>
                      <a:fillRect/>
                    </a:stretch>
                  </pic:blipFill>
                  <pic:spPr bwMode="auto">
                    <a:xfrm>
                      <a:off x="0" y="0"/>
                      <a:ext cx="2842895" cy="8890"/>
                    </a:xfrm>
                    <a:prstGeom prst="rect">
                      <a:avLst/>
                    </a:prstGeom>
                    <a:noFill/>
                  </pic:spPr>
                </pic:pic>
              </a:graphicData>
            </a:graphic>
          </wp:anchor>
        </w:drawing>
      </w:r>
    </w:p>
    <w:p>
      <w:pPr>
        <w:ind w:left="960" w:right="180" w:hanging="976"/>
        <w:spacing w:after="0" w:line="250"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313">
        <w:r>
          <w:rPr>
            <w:rFonts w:ascii="Times New Roman" w:cs="Times New Roman" w:eastAsia="Times New Roman" w:hAnsi="Times New Roman"/>
            <w:sz w:val="18"/>
            <w:szCs w:val="18"/>
            <w:u w:val="single" w:color="auto"/>
            <w:color w:val="0000FF"/>
          </w:rPr>
          <w:t>Form of Employment Agreement for Executive Officers (incorporated by reference to Exhibit 10.12 to Amendment No. 1 to Registrant’s</w:t>
        </w:r>
      </w:hyperlink>
      <w:r>
        <w:rPr>
          <w:rFonts w:ascii="Times New Roman" w:cs="Times New Roman" w:eastAsia="Times New Roman" w:hAnsi="Times New Roman"/>
          <w:sz w:val="18"/>
          <w:szCs w:val="18"/>
          <w:u w:val="single" w:color="auto"/>
          <w:color w:val="0000FF"/>
        </w:rPr>
        <w:t xml:space="preserve"> </w:t>
      </w:r>
      <w:hyperlink r:id="rId313">
        <w:r>
          <w:rPr>
            <w:rFonts w:ascii="Times New Roman" w:cs="Times New Roman" w:eastAsia="Times New Roman" w:hAnsi="Times New Roman"/>
            <w:sz w:val="18"/>
            <w:szCs w:val="18"/>
            <w:u w:val="single" w:color="auto"/>
            <w:color w:val="0000FF"/>
          </w:rPr>
          <w:t>Registration Statement on Form S-1 (File No. 333-232260) filed with the Securities and Exchange Commission on July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-161925</wp:posOffset>
            </wp:positionV>
            <wp:extent cx="63042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630428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-24765</wp:posOffset>
            </wp:positionV>
            <wp:extent cx="59055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5905500" cy="8255"/>
                    </a:xfrm>
                    <a:prstGeom prst="rect">
                      <a:avLst/>
                    </a:prstGeom>
                    <a:noFill/>
                  </pic:spPr>
                </pic:pic>
              </a:graphicData>
            </a:graphic>
          </wp:anchor>
        </w:drawing>
      </w:r>
    </w:p>
    <w:p>
      <w:pPr>
        <w:ind w:left="960" w:right="180" w:hanging="976"/>
        <w:spacing w:after="0" w:line="250"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316">
        <w:r>
          <w:rPr>
            <w:rFonts w:ascii="Times New Roman" w:cs="Times New Roman" w:eastAsia="Times New Roman" w:hAnsi="Times New Roman"/>
            <w:sz w:val="18"/>
            <w:szCs w:val="18"/>
            <w:u w:val="single" w:color="auto"/>
            <w:color w:val="0000FF"/>
          </w:rPr>
          <w:t>Employment Agreement, dated May 12, 2023, by and between Registrant and Alex C. Sapir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316">
        <w:r>
          <w:rPr>
            <w:rFonts w:ascii="Times New Roman" w:cs="Times New Roman" w:eastAsia="Times New Roman" w:hAnsi="Times New Roman"/>
            <w:sz w:val="18"/>
            <w:szCs w:val="18"/>
            <w:u w:val="single" w:color="auto"/>
            <w:color w:val="0000FF"/>
          </w:rPr>
          <w:t>the Registrant’s Quarterly Report on Form 10-Q filed with the Securities and Exchange Commission on August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-161925</wp:posOffset>
            </wp:positionV>
            <wp:extent cx="63138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631380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-24765</wp:posOffset>
            </wp:positionV>
            <wp:extent cx="55435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5543550" cy="8255"/>
                    </a:xfrm>
                    <a:prstGeom prst="rect">
                      <a:avLst/>
                    </a:prstGeom>
                    <a:noFill/>
                  </pic:spPr>
                </pic:pic>
              </a:graphicData>
            </a:graphic>
          </wp:anchor>
        </w:drawing>
      </w:r>
    </w:p>
    <w:p>
      <w:pPr>
        <w:spacing w:after="0"/>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319">
        <w:r>
          <w:rPr>
            <w:rFonts w:ascii="Times New Roman" w:cs="Times New Roman" w:eastAsia="Times New Roman" w:hAnsi="Times New Roman"/>
            <w:sz w:val="18"/>
            <w:szCs w:val="18"/>
            <w:u w:val="single" w:color="auto"/>
            <w:color w:val="0000FF"/>
          </w:rPr>
          <w:t>Employment Agreement, dated August 7, 2023, by and between the Registrant and Alan A. Musso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-19050</wp:posOffset>
            </wp:positionV>
            <wp:extent cx="62693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6269355" cy="8890"/>
                    </a:xfrm>
                    <a:prstGeom prst="rect">
                      <a:avLst/>
                    </a:prstGeom>
                    <a:noFill/>
                  </pic:spPr>
                </pic:pic>
              </a:graphicData>
            </a:graphic>
          </wp:anchor>
        </w:drawing>
      </w:r>
    </w:p>
    <w:p>
      <w:pPr>
        <w:ind w:left="960"/>
        <w:spacing w:after="0"/>
        <w:rPr>
          <w:rFonts w:ascii="Times New Roman" w:cs="Times New Roman" w:eastAsia="Times New Roman" w:hAnsi="Times New Roman"/>
          <w:sz w:val="18"/>
          <w:szCs w:val="18"/>
          <w:u w:val="single" w:color="auto"/>
          <w:color w:val="0000FF"/>
        </w:rPr>
      </w:pPr>
      <w:hyperlink r:id="rId319">
        <w:r>
          <w:rPr>
            <w:rFonts w:ascii="Times New Roman" w:cs="Times New Roman" w:eastAsia="Times New Roman" w:hAnsi="Times New Roman"/>
            <w:sz w:val="18"/>
            <w:szCs w:val="18"/>
            <w:u w:val="single" w:color="auto"/>
            <w:color w:val="0000FF"/>
          </w:rPr>
          <w:t>10.2 to the Registrant’s Quarterly Report on Form 10-Q filed with the Securities and Exchange Commission on November 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-19050</wp:posOffset>
            </wp:positionV>
            <wp:extent cx="60420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6042025" cy="8255"/>
                    </a:xfrm>
                    <a:prstGeom prst="rect">
                      <a:avLst/>
                    </a:prstGeom>
                    <a:noFill/>
                  </pic:spPr>
                </pic:pic>
              </a:graphicData>
            </a:graphic>
          </wp:anchor>
        </w:drawing>
      </w:r>
    </w:p>
    <w:p>
      <w:pPr>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322">
        <w:r>
          <w:rPr>
            <w:rFonts w:ascii="Times New Roman" w:cs="Times New Roman" w:eastAsia="Times New Roman" w:hAnsi="Times New Roman"/>
            <w:sz w:val="17"/>
            <w:szCs w:val="17"/>
            <w:u w:val="single" w:color="auto"/>
            <w:color w:val="0000FF"/>
          </w:rPr>
          <w:t>Employment Agreement, dated October 29, 2020, by and between the Registrant and Curtis Oltmans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-19050</wp:posOffset>
            </wp:positionV>
            <wp:extent cx="63646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6364605" cy="8255"/>
                    </a:xfrm>
                    <a:prstGeom prst="rect">
                      <a:avLst/>
                    </a:prstGeom>
                    <a:noFill/>
                  </pic:spPr>
                </pic:pic>
              </a:graphicData>
            </a:graphic>
          </wp:anchor>
        </w:drawing>
      </w:r>
    </w:p>
    <w:p>
      <w:pPr>
        <w:ind w:left="960"/>
        <w:spacing w:after="0"/>
        <w:rPr>
          <w:rFonts w:ascii="Times New Roman" w:cs="Times New Roman" w:eastAsia="Times New Roman" w:hAnsi="Times New Roman"/>
          <w:sz w:val="18"/>
          <w:szCs w:val="18"/>
          <w:u w:val="single" w:color="auto"/>
          <w:color w:val="0000FF"/>
        </w:rPr>
      </w:pPr>
      <w:hyperlink r:id="rId322">
        <w:r>
          <w:rPr>
            <w:rFonts w:ascii="Times New Roman" w:cs="Times New Roman" w:eastAsia="Times New Roman" w:hAnsi="Times New Roman"/>
            <w:sz w:val="18"/>
            <w:szCs w:val="18"/>
            <w:u w:val="single" w:color="auto"/>
            <w:color w:val="0000FF"/>
          </w:rPr>
          <w:t>10.16 to the Registrant’s Annual Report on Form 10-K filed with the Securities and Exchange Commission on March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-19050</wp:posOffset>
            </wp:positionV>
            <wp:extent cx="58134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5813425" cy="8255"/>
                    </a:xfrm>
                    <a:prstGeom prst="rect">
                      <a:avLst/>
                    </a:prstGeom>
                    <a:noFill/>
                  </pic:spPr>
                </pic:pic>
              </a:graphicData>
            </a:graphic>
          </wp:anchor>
        </w:drawing>
      </w:r>
    </w:p>
    <w:p>
      <w:pPr>
        <w:ind w:left="960" w:right="20" w:hanging="976"/>
        <w:spacing w:after="0" w:line="250"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325">
        <w:r>
          <w:rPr>
            <w:rFonts w:ascii="Times New Roman" w:cs="Times New Roman" w:eastAsia="Times New Roman" w:hAnsi="Times New Roman"/>
            <w:sz w:val="18"/>
            <w:szCs w:val="18"/>
            <w:u w:val="single" w:color="auto"/>
            <w:color w:val="0000FF"/>
          </w:rPr>
          <w:t>Employment Agreement, dated March 18, 2024, by and between the Registrant and Patrick Horn (incorporated by reference to Exhibit 10.1</w:t>
        </w:r>
      </w:hyperlink>
      <w:r>
        <w:rPr>
          <w:rFonts w:ascii="Times New Roman" w:cs="Times New Roman" w:eastAsia="Times New Roman" w:hAnsi="Times New Roman"/>
          <w:sz w:val="18"/>
          <w:szCs w:val="18"/>
          <w:u w:val="single" w:color="auto"/>
          <w:color w:val="0000FF"/>
        </w:rPr>
        <w:t xml:space="preserve"> </w:t>
      </w:r>
      <w:hyperlink r:id="rId325">
        <w:r>
          <w:rPr>
            <w:rFonts w:ascii="Times New Roman" w:cs="Times New Roman" w:eastAsia="Times New Roman" w:hAnsi="Times New Roman"/>
            <w:sz w:val="18"/>
            <w:szCs w:val="18"/>
            <w:u w:val="single" w:color="auto"/>
            <w:color w:val="0000FF"/>
          </w:rPr>
          <w:t>to the Registrant’s Quarterly Report on Form 10-Q filed with the Securities and Exchange Commission on May 13,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-161925</wp:posOffset>
            </wp:positionV>
            <wp:extent cx="641540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641540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-24765</wp:posOffset>
            </wp:positionV>
            <wp:extent cx="55975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ind w:left="960" w:right="100" w:hanging="976"/>
        <w:spacing w:after="0" w:line="250"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328">
        <w:r>
          <w:rPr>
            <w:rFonts w:ascii="Times New Roman" w:cs="Times New Roman" w:eastAsia="Times New Roman" w:hAnsi="Times New Roman"/>
            <w:sz w:val="18"/>
            <w:szCs w:val="18"/>
            <w:u w:val="single" w:color="auto"/>
            <w:color w:val="0000FF"/>
          </w:rPr>
          <w:t>Form of Indemnification Agreement between the Registrant and each of its Executive Officers and Directors (incorporated by reference to</w:t>
        </w:r>
      </w:hyperlink>
      <w:r>
        <w:rPr>
          <w:rFonts w:ascii="Times New Roman" w:cs="Times New Roman" w:eastAsia="Times New Roman" w:hAnsi="Times New Roman"/>
          <w:sz w:val="18"/>
          <w:szCs w:val="18"/>
          <w:u w:val="single" w:color="auto"/>
          <w:color w:val="0000FF"/>
        </w:rPr>
        <w:t xml:space="preserve"> </w:t>
      </w:r>
      <w:hyperlink r:id="rId328">
        <w:r>
          <w:rPr>
            <w:rFonts w:ascii="Times New Roman" w:cs="Times New Roman" w:eastAsia="Times New Roman" w:hAnsi="Times New Roman"/>
            <w:sz w:val="18"/>
            <w:szCs w:val="18"/>
            <w:u w:val="single" w:color="auto"/>
            <w:color w:val="0000FF"/>
          </w:rPr>
          <w:t>Exhibit 10.15 to Registrant’s Registration Statement on Form S-1 (File No. 333-232260) filed with the Securities and Exchange</w:t>
        </w:r>
      </w:hyperlink>
      <w:r>
        <w:rPr>
          <w:rFonts w:ascii="Times New Roman" w:cs="Times New Roman" w:eastAsia="Times New Roman" w:hAnsi="Times New Roman"/>
          <w:sz w:val="18"/>
          <w:szCs w:val="18"/>
          <w:u w:val="single" w:color="auto"/>
          <w:color w:val="0000FF"/>
        </w:rPr>
        <w:t xml:space="preserve"> </w:t>
      </w:r>
      <w:hyperlink r:id="rId328">
        <w:r>
          <w:rPr>
            <w:rFonts w:ascii="Times New Roman" w:cs="Times New Roman" w:eastAsia="Times New Roman" w:hAnsi="Times New Roman"/>
            <w:sz w:val="18"/>
            <w:szCs w:val="18"/>
            <w:u w:val="single" w:color="auto"/>
            <w:color w:val="0000FF"/>
          </w:rPr>
          <w:t>Commission on June 21,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614680</wp:posOffset>
            </wp:positionH>
            <wp:positionV relativeFrom="paragraph">
              <wp:posOffset>-298450</wp:posOffset>
            </wp:positionV>
            <wp:extent cx="635444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-161290</wp:posOffset>
            </wp:positionV>
            <wp:extent cx="58769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587692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-24130</wp:posOffset>
            </wp:positionV>
            <wp:extent cx="14535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ind w:left="960" w:hanging="976"/>
        <w:spacing w:after="0" w:line="250"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rFonts w:ascii="Times New Roman" w:cs="Times New Roman" w:eastAsia="Times New Roman" w:hAnsi="Times New Roman"/>
          <w:sz w:val="14"/>
          <w:szCs w:val="14"/>
          <w:color w:val="auto"/>
        </w:rPr>
        <w:t>†</w:t>
      </w:r>
      <w:r>
        <w:rPr>
          <w:sz w:val="20"/>
          <w:szCs w:val="20"/>
          <w:color w:val="auto"/>
        </w:rPr>
        <w:tab/>
      </w:r>
      <w:hyperlink r:id="rId332">
        <w:r>
          <w:rPr>
            <w:rFonts w:ascii="Times New Roman" w:cs="Times New Roman" w:eastAsia="Times New Roman" w:hAnsi="Times New Roman"/>
            <w:sz w:val="18"/>
            <w:szCs w:val="18"/>
            <w:u w:val="single" w:color="auto"/>
            <w:color w:val="0000FF"/>
          </w:rPr>
          <w:t>Collaboration and License Agreement, dated as of July 20, 2020, by and between the Registrant and MyoKardia, Inc, a wholly-owned</w:t>
        </w:r>
      </w:hyperlink>
      <w:r>
        <w:rPr>
          <w:rFonts w:ascii="Times New Roman" w:cs="Times New Roman" w:eastAsia="Times New Roman" w:hAnsi="Times New Roman"/>
          <w:sz w:val="18"/>
          <w:szCs w:val="18"/>
          <w:u w:val="single" w:color="auto"/>
          <w:color w:val="0000FF"/>
        </w:rPr>
        <w:t xml:space="preserve"> </w:t>
      </w:r>
      <w:hyperlink r:id="rId332">
        <w:r>
          <w:rPr>
            <w:rFonts w:ascii="Times New Roman" w:cs="Times New Roman" w:eastAsia="Times New Roman" w:hAnsi="Times New Roman"/>
            <w:sz w:val="18"/>
            <w:szCs w:val="18"/>
            <w:u w:val="single" w:color="auto"/>
            <w:color w:val="0000FF"/>
          </w:rPr>
          <w:t>subsidiary of Bristol-Myers Squibb Company (incorporated by reference to Exhibit 10.1 to the Registrant’s Quarterly Report on Form 10-Q</w:t>
        </w:r>
      </w:hyperlink>
      <w:r>
        <w:rPr>
          <w:rFonts w:ascii="Times New Roman" w:cs="Times New Roman" w:eastAsia="Times New Roman" w:hAnsi="Times New Roman"/>
          <w:sz w:val="18"/>
          <w:szCs w:val="18"/>
          <w:u w:val="single" w:color="auto"/>
          <w:color w:val="0000FF"/>
        </w:rPr>
        <w:t xml:space="preserve"> </w:t>
      </w:r>
      <w:hyperlink r:id="rId332">
        <w:r>
          <w:rPr>
            <w:rFonts w:ascii="Times New Roman" w:cs="Times New Roman" w:eastAsia="Times New Roman" w:hAnsi="Times New Roman"/>
            <w:sz w:val="18"/>
            <w:szCs w:val="18"/>
            <w:u w:val="single" w:color="auto"/>
            <w:color w:val="0000FF"/>
          </w:rPr>
          <w:t>(File No. 001-38978) filed with the Securities and Exchange Commission on November 10,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614680</wp:posOffset>
            </wp:positionH>
            <wp:positionV relativeFrom="paragraph">
              <wp:posOffset>-298450</wp:posOffset>
            </wp:positionV>
            <wp:extent cx="61582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615823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-161290</wp:posOffset>
            </wp:positionV>
            <wp:extent cx="64223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64223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-24130</wp:posOffset>
            </wp:positionV>
            <wp:extent cx="45186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4518660" cy="8890"/>
                    </a:xfrm>
                    <a:prstGeom prst="rect">
                      <a:avLst/>
                    </a:prstGeom>
                    <a:noFill/>
                  </pic:spPr>
                </pic:pic>
              </a:graphicData>
            </a:graphic>
          </wp:anchor>
        </w:drawing>
      </w:r>
    </w:p>
    <w:p>
      <w:pPr>
        <w:jc w:val="both"/>
        <w:ind w:left="960" w:right="80" w:hanging="976"/>
        <w:spacing w:after="0" w:line="250"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rFonts w:ascii="Times New Roman" w:cs="Times New Roman" w:eastAsia="Times New Roman" w:hAnsi="Times New Roman"/>
          <w:sz w:val="14"/>
          <w:szCs w:val="14"/>
          <w:color w:val="auto"/>
        </w:rPr>
        <w:t>†</w:t>
      </w:r>
      <w:r>
        <w:rPr>
          <w:sz w:val="20"/>
          <w:szCs w:val="20"/>
          <w:color w:val="auto"/>
        </w:rPr>
        <w:tab/>
      </w:r>
      <w:hyperlink r:id="rId336">
        <w:r>
          <w:rPr>
            <w:rFonts w:ascii="Times New Roman" w:cs="Times New Roman" w:eastAsia="Times New Roman" w:hAnsi="Times New Roman"/>
            <w:sz w:val="18"/>
            <w:szCs w:val="18"/>
            <w:u w:val="single" w:color="auto"/>
            <w:color w:val="0000FF"/>
          </w:rPr>
          <w:t>First Amendment to Collaboration and License Agreement, effective as of April 20, 2023, by and between the Registrant and MyoKardia,</w:t>
        </w:r>
      </w:hyperlink>
      <w:r>
        <w:rPr>
          <w:rFonts w:ascii="Times New Roman" w:cs="Times New Roman" w:eastAsia="Times New Roman" w:hAnsi="Times New Roman"/>
          <w:sz w:val="18"/>
          <w:szCs w:val="18"/>
          <w:u w:val="single" w:color="auto"/>
          <w:color w:val="0000FF"/>
        </w:rPr>
        <w:t xml:space="preserve"> </w:t>
      </w:r>
      <w:hyperlink r:id="rId336">
        <w:r>
          <w:rPr>
            <w:rFonts w:ascii="Times New Roman" w:cs="Times New Roman" w:eastAsia="Times New Roman" w:hAnsi="Times New Roman"/>
            <w:sz w:val="18"/>
            <w:szCs w:val="18"/>
            <w:u w:val="single" w:color="auto"/>
            <w:color w:val="0000FF"/>
          </w:rPr>
          <w:t>Inc, a wholly-owned subsidiary of Bristol-Myers Squibb Company (incorporated by reference to Exhibit 10.1 to the Registrant’s Quarterly</w:t>
        </w:r>
      </w:hyperlink>
      <w:r>
        <w:rPr>
          <w:rFonts w:ascii="Times New Roman" w:cs="Times New Roman" w:eastAsia="Times New Roman" w:hAnsi="Times New Roman"/>
          <w:sz w:val="18"/>
          <w:szCs w:val="18"/>
          <w:u w:val="single" w:color="auto"/>
          <w:color w:val="0000FF"/>
        </w:rPr>
        <w:t xml:space="preserve"> </w:t>
      </w:r>
      <w:hyperlink r:id="rId336">
        <w:r>
          <w:rPr>
            <w:rFonts w:ascii="Times New Roman" w:cs="Times New Roman" w:eastAsia="Times New Roman" w:hAnsi="Times New Roman"/>
            <w:sz w:val="18"/>
            <w:szCs w:val="18"/>
            <w:u w:val="single" w:color="auto"/>
            <w:color w:val="0000FF"/>
          </w:rPr>
          <w:t>Report on Form 10-Q filed with the Securities and Exchange Commission on August 3,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614680</wp:posOffset>
            </wp:positionH>
            <wp:positionV relativeFrom="paragraph">
              <wp:posOffset>-298450</wp:posOffset>
            </wp:positionV>
            <wp:extent cx="633920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7">
                      <a:extLst>
                        <a:ext uri="{28A0092B-C50C-407E-A947-70E740481C1C}"/>
                      </a:extLst>
                    </a:blip>
                    <a:srcRect/>
                    <a:stretch>
                      <a:fillRect/>
                    </a:stretch>
                  </pic:blipFill>
                  <pic:spPr bwMode="auto">
                    <a:xfrm>
                      <a:off x="0" y="0"/>
                      <a:ext cx="633920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-161290</wp:posOffset>
            </wp:positionV>
            <wp:extent cx="63715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8">
                      <a:extLst>
                        <a:ext uri="{28A0092B-C50C-407E-A947-70E740481C1C}"/>
                      </a:extLst>
                    </a:blip>
                    <a:srcRect/>
                    <a:stretch>
                      <a:fillRect/>
                    </a:stretch>
                  </pic:blipFill>
                  <pic:spPr bwMode="auto">
                    <a:xfrm>
                      <a:off x="0" y="0"/>
                      <a:ext cx="63715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-24130</wp:posOffset>
            </wp:positionV>
            <wp:extent cx="4328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9">
                      <a:extLst>
                        <a:ext uri="{28A0092B-C50C-407E-A947-70E740481C1C}"/>
                      </a:extLst>
                    </a:blip>
                    <a:srcRect/>
                    <a:stretch>
                      <a:fillRect/>
                    </a:stretch>
                  </pic:blipFill>
                  <pic:spPr bwMode="auto">
                    <a:xfrm>
                      <a:off x="0" y="0"/>
                      <a:ext cx="4328160" cy="8255"/>
                    </a:xfrm>
                    <a:prstGeom prst="rect">
                      <a:avLst/>
                    </a:prstGeom>
                    <a:noFill/>
                  </pic:spPr>
                </pic:pic>
              </a:graphicData>
            </a:graphic>
          </wp:anchor>
        </w:drawing>
      </w:r>
    </w:p>
    <w:p>
      <w:pPr>
        <w:jc w:val="both"/>
        <w:ind w:left="960" w:right="20" w:hanging="976"/>
        <w:spacing w:after="0" w:line="250"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rFonts w:ascii="Times New Roman" w:cs="Times New Roman" w:eastAsia="Times New Roman" w:hAnsi="Times New Roman"/>
          <w:sz w:val="14"/>
          <w:szCs w:val="14"/>
          <w:color w:val="auto"/>
        </w:rPr>
        <w:t>†</w:t>
      </w:r>
      <w:r>
        <w:rPr>
          <w:sz w:val="20"/>
          <w:szCs w:val="20"/>
          <w:color w:val="auto"/>
        </w:rPr>
        <w:tab/>
      </w:r>
      <w:hyperlink r:id="rId340">
        <w:r>
          <w:rPr>
            <w:rFonts w:ascii="Times New Roman" w:cs="Times New Roman" w:eastAsia="Times New Roman" w:hAnsi="Times New Roman"/>
            <w:sz w:val="18"/>
            <w:szCs w:val="18"/>
            <w:u w:val="single" w:color="auto"/>
            <w:color w:val="0000FF"/>
          </w:rPr>
          <w:t>Second Amendment to Collaboration and License Agreement, effective as of July 24, 2024, by and between the Registrant and MyoKardia,</w:t>
        </w:r>
      </w:hyperlink>
      <w:r>
        <w:rPr>
          <w:rFonts w:ascii="Times New Roman" w:cs="Times New Roman" w:eastAsia="Times New Roman" w:hAnsi="Times New Roman"/>
          <w:sz w:val="18"/>
          <w:szCs w:val="18"/>
          <w:u w:val="single" w:color="auto"/>
          <w:color w:val="0000FF"/>
        </w:rPr>
        <w:t xml:space="preserve"> </w:t>
      </w:r>
      <w:hyperlink r:id="rId340">
        <w:r>
          <w:rPr>
            <w:rFonts w:ascii="Times New Roman" w:cs="Times New Roman" w:eastAsia="Times New Roman" w:hAnsi="Times New Roman"/>
            <w:sz w:val="18"/>
            <w:szCs w:val="18"/>
            <w:u w:val="single" w:color="auto"/>
            <w:color w:val="0000FF"/>
          </w:rPr>
          <w:t>Inc, a wholly-owned subsidiary of Bristol Myers Squibb Company (incorporated by reference to Exhibit 10.3 to the Registrant’s Quarterly</w:t>
        </w:r>
      </w:hyperlink>
      <w:r>
        <w:rPr>
          <w:rFonts w:ascii="Times New Roman" w:cs="Times New Roman" w:eastAsia="Times New Roman" w:hAnsi="Times New Roman"/>
          <w:sz w:val="18"/>
          <w:szCs w:val="18"/>
          <w:u w:val="single" w:color="auto"/>
          <w:color w:val="0000FF"/>
        </w:rPr>
        <w:t xml:space="preserve"> </w:t>
      </w:r>
      <w:hyperlink r:id="rId340">
        <w:r>
          <w:rPr>
            <w:rFonts w:ascii="Times New Roman" w:cs="Times New Roman" w:eastAsia="Times New Roman" w:hAnsi="Times New Roman"/>
            <w:sz w:val="18"/>
            <w:szCs w:val="18"/>
            <w:u w:val="single" w:color="auto"/>
            <w:color w:val="0000FF"/>
          </w:rPr>
          <w:t>Report on Form 10-Q filed with the Securities and Exchange Commission on July 31,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614680</wp:posOffset>
            </wp:positionH>
            <wp:positionV relativeFrom="paragraph">
              <wp:posOffset>-298450</wp:posOffset>
            </wp:positionV>
            <wp:extent cx="641540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1">
                      <a:extLst>
                        <a:ext uri="{28A0092B-C50C-407E-A947-70E740481C1C}"/>
                      </a:extLst>
                    </a:blip>
                    <a:srcRect/>
                    <a:stretch>
                      <a:fillRect/>
                    </a:stretch>
                  </pic:blipFill>
                  <pic:spPr bwMode="auto">
                    <a:xfrm>
                      <a:off x="0" y="0"/>
                      <a:ext cx="641540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-161290</wp:posOffset>
            </wp:positionV>
            <wp:extent cx="63620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2">
                      <a:extLst>
                        <a:ext uri="{28A0092B-C50C-407E-A947-70E740481C1C}"/>
                      </a:extLst>
                    </a:blip>
                    <a:srcRect/>
                    <a:stretch>
                      <a:fillRect/>
                    </a:stretch>
                  </pic:blipFill>
                  <pic:spPr bwMode="auto">
                    <a:xfrm>
                      <a:off x="0" y="0"/>
                      <a:ext cx="636206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-24130</wp:posOffset>
            </wp:positionV>
            <wp:extent cx="42462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4246245" cy="8890"/>
                    </a:xfrm>
                    <a:prstGeom prst="rect">
                      <a:avLst/>
                    </a:prstGeom>
                    <a:noFill/>
                  </pic:spPr>
                </pic:pic>
              </a:graphicData>
            </a:graphic>
          </wp:anchor>
        </w:drawing>
      </w:r>
    </w:p>
    <w:p>
      <w:pPr>
        <w:ind w:left="960" w:right="280" w:hanging="976"/>
        <w:spacing w:after="0" w:line="250"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rFonts w:ascii="Times New Roman" w:cs="Times New Roman" w:eastAsia="Times New Roman" w:hAnsi="Times New Roman"/>
          <w:sz w:val="14"/>
          <w:szCs w:val="14"/>
          <w:color w:val="auto"/>
        </w:rPr>
        <w:t>†</w:t>
      </w:r>
      <w:r>
        <w:rPr>
          <w:sz w:val="20"/>
          <w:szCs w:val="20"/>
          <w:color w:val="auto"/>
        </w:rPr>
        <w:tab/>
      </w:r>
      <w:hyperlink r:id="rId344">
        <w:r>
          <w:rPr>
            <w:rFonts w:ascii="Times New Roman" w:cs="Times New Roman" w:eastAsia="Times New Roman" w:hAnsi="Times New Roman"/>
            <w:sz w:val="18"/>
            <w:szCs w:val="18"/>
            <w:u w:val="single" w:color="auto"/>
            <w:color w:val="0000FF"/>
          </w:rPr>
          <w:t>License Agreement, effective as of July 5, 2023, by and between the Registrant and CAMP4 Therapeutics Corporation (incorporated by</w:t>
        </w:r>
      </w:hyperlink>
      <w:r>
        <w:rPr>
          <w:rFonts w:ascii="Times New Roman" w:cs="Times New Roman" w:eastAsia="Times New Roman" w:hAnsi="Times New Roman"/>
          <w:sz w:val="18"/>
          <w:szCs w:val="18"/>
          <w:u w:val="single" w:color="auto"/>
          <w:color w:val="0000FF"/>
        </w:rPr>
        <w:t xml:space="preserve"> </w:t>
      </w:r>
      <w:hyperlink r:id="rId344">
        <w:r>
          <w:rPr>
            <w:rFonts w:ascii="Times New Roman" w:cs="Times New Roman" w:eastAsia="Times New Roman" w:hAnsi="Times New Roman"/>
            <w:sz w:val="18"/>
            <w:szCs w:val="18"/>
            <w:u w:val="single" w:color="auto"/>
            <w:color w:val="0000FF"/>
          </w:rPr>
          <w:t>reference to Exhibit 10.1 to the Registrant’s Quarterly Report on Form 10-Q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344">
        <w:r>
          <w:rPr>
            <w:rFonts w:ascii="Times New Roman" w:cs="Times New Roman" w:eastAsia="Times New Roman" w:hAnsi="Times New Roman"/>
            <w:sz w:val="18"/>
            <w:szCs w:val="18"/>
            <w:u w:val="single" w:color="auto"/>
            <w:color w:val="0000FF"/>
          </w:rPr>
          <w:t>November 7,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614680</wp:posOffset>
            </wp:positionH>
            <wp:positionV relativeFrom="paragraph">
              <wp:posOffset>-298450</wp:posOffset>
            </wp:positionV>
            <wp:extent cx="62439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5">
                      <a:extLst>
                        <a:ext uri="{28A0092B-C50C-407E-A947-70E740481C1C}"/>
                      </a:extLst>
                    </a:blip>
                    <a:srcRect/>
                    <a:stretch>
                      <a:fillRect/>
                    </a:stretch>
                  </pic:blipFill>
                  <pic:spPr bwMode="auto">
                    <a:xfrm>
                      <a:off x="0" y="0"/>
                      <a:ext cx="624395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-161290</wp:posOffset>
            </wp:positionV>
            <wp:extent cx="60572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6">
                      <a:extLst>
                        <a:ext uri="{28A0092B-C50C-407E-A947-70E740481C1C}"/>
                      </a:extLst>
                    </a:blip>
                    <a:srcRect/>
                    <a:stretch>
                      <a:fillRect/>
                    </a:stretch>
                  </pic:blipFill>
                  <pic:spPr bwMode="auto">
                    <a:xfrm>
                      <a:off x="0" y="0"/>
                      <a:ext cx="605726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-24130</wp:posOffset>
            </wp:positionV>
            <wp:extent cx="9201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7">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ind w:left="960" w:right="100" w:hanging="976"/>
        <w:spacing w:after="0" w:line="250"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rFonts w:ascii="Times New Roman" w:cs="Times New Roman" w:eastAsia="Times New Roman" w:hAnsi="Times New Roman"/>
          <w:sz w:val="14"/>
          <w:szCs w:val="14"/>
          <w:color w:val="auto"/>
        </w:rPr>
        <w:t>†</w:t>
      </w:r>
      <w:r>
        <w:rPr>
          <w:sz w:val="20"/>
          <w:szCs w:val="20"/>
          <w:color w:val="auto"/>
        </w:rPr>
        <w:tab/>
      </w:r>
      <w:hyperlink r:id="rId348">
        <w:r>
          <w:rPr>
            <w:rFonts w:ascii="Times New Roman" w:cs="Times New Roman" w:eastAsia="Times New Roman" w:hAnsi="Times New Roman"/>
            <w:sz w:val="18"/>
            <w:szCs w:val="18"/>
            <w:u w:val="single" w:color="auto"/>
            <w:color w:val="0000FF"/>
          </w:rPr>
          <w:t>Collaboration and License Agreement, dated as of May 11, 2024, by and between the Registrant and Genzyme Corporation, Inc, a wholly-</w:t>
        </w:r>
      </w:hyperlink>
      <w:hyperlink r:id="rId348">
        <w:r>
          <w:rPr>
            <w:rFonts w:ascii="Times New Roman" w:cs="Times New Roman" w:eastAsia="Times New Roman" w:hAnsi="Times New Roman"/>
            <w:sz w:val="18"/>
            <w:szCs w:val="18"/>
            <w:u w:val="single" w:color="auto"/>
            <w:color w:val="0000FF"/>
          </w:rPr>
          <w:t>owned subsidiary of Sanofi (incorporated by reference to Exhibit 10.1 to the Registrant’s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348">
        <w:r>
          <w:rPr>
            <w:rFonts w:ascii="Times New Roman" w:cs="Times New Roman" w:eastAsia="Times New Roman" w:hAnsi="Times New Roman"/>
            <w:sz w:val="18"/>
            <w:szCs w:val="18"/>
            <w:u w:val="single" w:color="auto"/>
            <w:color w:val="0000FF"/>
          </w:rPr>
          <w:t>Securities and Exchange Commission on July 31,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614680</wp:posOffset>
            </wp:positionH>
            <wp:positionV relativeFrom="paragraph">
              <wp:posOffset>-298450</wp:posOffset>
            </wp:positionV>
            <wp:extent cx="633603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6336030"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-161290</wp:posOffset>
            </wp:positionV>
            <wp:extent cx="62255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622554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-24130</wp:posOffset>
            </wp:positionV>
            <wp:extent cx="25863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2586355" cy="8255"/>
                    </a:xfrm>
                    <a:prstGeom prst="rect">
                      <a:avLst/>
                    </a:prstGeom>
                    <a:noFill/>
                  </pic:spPr>
                </pic:pic>
              </a:graphicData>
            </a:graphic>
          </wp:anchor>
        </w:drawing>
      </w:r>
    </w:p>
    <w:p>
      <w:pPr>
        <w:ind w:left="960" w:right="40" w:hanging="976"/>
        <w:spacing w:after="0"/>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352">
        <w:r>
          <w:rPr>
            <w:rFonts w:ascii="Times New Roman" w:cs="Times New Roman" w:eastAsia="Times New Roman" w:hAnsi="Times New Roman"/>
            <w:sz w:val="18"/>
            <w:szCs w:val="18"/>
            <w:u w:val="single" w:color="auto"/>
            <w:color w:val="0000FF"/>
          </w:rPr>
          <w:t>Lease for 26 Landsdowne Street, dated November 22, 2017, by and between the UP 26 Landsdowne, LLC and the Registrant (incorporated</w:t>
        </w:r>
      </w:hyperlink>
      <w:r>
        <w:rPr>
          <w:rFonts w:ascii="Times New Roman" w:cs="Times New Roman" w:eastAsia="Times New Roman" w:hAnsi="Times New Roman"/>
          <w:sz w:val="18"/>
          <w:szCs w:val="18"/>
          <w:u w:val="single" w:color="auto"/>
          <w:color w:val="0000FF"/>
        </w:rPr>
        <w:t xml:space="preserve"> </w:t>
      </w:r>
      <w:hyperlink r:id="rId352">
        <w:r>
          <w:rPr>
            <w:rFonts w:ascii="Times New Roman" w:cs="Times New Roman" w:eastAsia="Times New Roman" w:hAnsi="Times New Roman"/>
            <w:sz w:val="18"/>
            <w:szCs w:val="18"/>
            <w:u w:val="single" w:color="auto"/>
            <w:color w:val="0000FF"/>
          </w:rPr>
          <w:t>by reference to Exhibit 10.11 to the Registrant’s Registration Statement on Form S-1 (File No. 333-232260) filed with the Securities and</w:t>
        </w:r>
      </w:hyperlink>
      <w:r>
        <w:rPr>
          <w:rFonts w:ascii="Times New Roman" w:cs="Times New Roman" w:eastAsia="Times New Roman" w:hAnsi="Times New Roman"/>
          <w:sz w:val="18"/>
          <w:szCs w:val="18"/>
          <w:u w:val="single" w:color="auto"/>
          <w:color w:val="0000FF"/>
        </w:rPr>
        <w:t xml:space="preserve"> </w:t>
      </w:r>
      <w:hyperlink r:id="rId352">
        <w:r>
          <w:rPr>
            <w:rFonts w:ascii="Times New Roman" w:cs="Times New Roman" w:eastAsia="Times New Roman" w:hAnsi="Times New Roman"/>
            <w:sz w:val="18"/>
            <w:szCs w:val="18"/>
            <w:u w:val="single" w:color="auto"/>
            <w:color w:val="0000FF"/>
          </w:rPr>
          <w:t>Exchange Commission on June 21,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614680</wp:posOffset>
            </wp:positionH>
            <wp:positionV relativeFrom="paragraph">
              <wp:posOffset>-281940</wp:posOffset>
            </wp:positionV>
            <wp:extent cx="639953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3">
                      <a:extLst>
                        <a:ext uri="{28A0092B-C50C-407E-A947-70E740481C1C}"/>
                      </a:extLst>
                    </a:blip>
                    <a:srcRect/>
                    <a:stretch>
                      <a:fillRect/>
                    </a:stretch>
                  </pic:blipFill>
                  <pic:spPr bwMode="auto">
                    <a:xfrm>
                      <a:off x="0" y="0"/>
                      <a:ext cx="6399530"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-144780</wp:posOffset>
            </wp:positionV>
            <wp:extent cx="62795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4">
                      <a:extLst>
                        <a:ext uri="{28A0092B-C50C-407E-A947-70E740481C1C}"/>
                      </a:extLst>
                    </a:blip>
                    <a:srcRect/>
                    <a:stretch>
                      <a:fillRect/>
                    </a:stretch>
                  </pic:blipFill>
                  <pic:spPr bwMode="auto">
                    <a:xfrm>
                      <a:off x="0" y="0"/>
                      <a:ext cx="627951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-7620</wp:posOffset>
            </wp:positionV>
            <wp:extent cx="193230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5">
                      <a:extLst>
                        <a:ext uri="{28A0092B-C50C-407E-A947-70E740481C1C}"/>
                      </a:extLst>
                    </a:blip>
                    <a:srcRect/>
                    <a:stretch>
                      <a:fillRect/>
                    </a:stretch>
                  </pic:blipFill>
                  <pic:spPr bwMode="auto">
                    <a:xfrm>
                      <a:off x="0" y="0"/>
                      <a:ext cx="1932305" cy="8255"/>
                    </a:xfrm>
                    <a:prstGeom prst="rect">
                      <a:avLst/>
                    </a:prstGeom>
                    <a:noFill/>
                  </pic:spPr>
                </pic:pic>
              </a:graphicData>
            </a:graphic>
          </wp:anchor>
        </w:drawing>
      </w:r>
    </w:p>
    <w:p>
      <w:pPr>
        <w:ind w:left="960" w:hanging="976"/>
        <w:spacing w:after="0" w:line="234"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356">
        <w:r>
          <w:rPr>
            <w:rFonts w:ascii="Times New Roman" w:cs="Times New Roman" w:eastAsia="Times New Roman" w:hAnsi="Times New Roman"/>
            <w:sz w:val="18"/>
            <w:szCs w:val="18"/>
            <w:u w:val="single" w:color="auto"/>
            <w:color w:val="0000FF"/>
          </w:rPr>
          <w:t>Controlled Equity Offering</w:t>
        </w:r>
        <w:r>
          <w:rPr>
            <w:rFonts w:ascii="Times New Roman" w:cs="Times New Roman" w:eastAsia="Times New Roman" w:hAnsi="Times New Roman"/>
            <w:sz w:val="24"/>
            <w:szCs w:val="24"/>
            <w:u w:val="single" w:color="auto"/>
            <w:color w:val="0000FF"/>
            <w:vertAlign w:val="superscript"/>
          </w:rPr>
          <w:t>SM</w:t>
        </w:r>
        <w:r>
          <w:rPr>
            <w:rFonts w:ascii="Times New Roman" w:cs="Times New Roman" w:eastAsia="Times New Roman" w:hAnsi="Times New Roman"/>
            <w:sz w:val="18"/>
            <w:szCs w:val="18"/>
            <w:u w:val="single" w:color="auto"/>
            <w:color w:val="0000FF"/>
          </w:rPr>
          <w:t xml:space="preserve"> Sales Agreement, dated February 27, 2024, by and among the Registrant, Cantor Fitzgerald &amp; Co. and Stifel,</w:t>
        </w:r>
      </w:hyperlink>
      <w:r>
        <w:rPr>
          <w:rFonts w:ascii="Times New Roman" w:cs="Times New Roman" w:eastAsia="Times New Roman" w:hAnsi="Times New Roman"/>
          <w:sz w:val="18"/>
          <w:szCs w:val="18"/>
          <w:u w:val="single" w:color="auto"/>
          <w:color w:val="0000FF"/>
        </w:rPr>
        <w:t xml:space="preserve"> </w:t>
      </w:r>
      <w:hyperlink r:id="rId356">
        <w:r>
          <w:rPr>
            <w:rFonts w:ascii="Times New Roman" w:cs="Times New Roman" w:eastAsia="Times New Roman" w:hAnsi="Times New Roman"/>
            <w:sz w:val="18"/>
            <w:szCs w:val="18"/>
            <w:u w:val="single" w:color="auto"/>
            <w:color w:val="0000FF"/>
          </w:rPr>
          <w:t>Nicolaus &amp; Company, Incorporated (incorporated by reference to Exhibit 1.2 to the Registrant’s Registration Statement on Form S-3 filed</w:t>
        </w:r>
      </w:hyperlink>
      <w:r>
        <w:rPr>
          <w:rFonts w:ascii="Times New Roman" w:cs="Times New Roman" w:eastAsia="Times New Roman" w:hAnsi="Times New Roman"/>
          <w:sz w:val="18"/>
          <w:szCs w:val="18"/>
          <w:u w:val="single" w:color="auto"/>
          <w:color w:val="0000FF"/>
        </w:rPr>
        <w:t xml:space="preserve"> </w:t>
      </w:r>
      <w:hyperlink r:id="rId356">
        <w:r>
          <w:rPr>
            <w:rFonts w:ascii="Times New Roman" w:cs="Times New Roman" w:eastAsia="Times New Roman" w:hAnsi="Times New Roman"/>
            <w:sz w:val="18"/>
            <w:szCs w:val="18"/>
            <w:u w:val="single" w:color="auto"/>
            <w:color w:val="0000FF"/>
          </w:rPr>
          <w:t>with the Securities and Exchange Commission on February 27,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614680</wp:posOffset>
            </wp:positionH>
            <wp:positionV relativeFrom="paragraph">
              <wp:posOffset>-298450</wp:posOffset>
            </wp:positionV>
            <wp:extent cx="642810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642810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-161290</wp:posOffset>
            </wp:positionV>
            <wp:extent cx="63430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634301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-24130</wp:posOffset>
            </wp:positionV>
            <wp:extent cx="32080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3208020" cy="8890"/>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-349885</wp:posOffset>
            </wp:positionV>
            <wp:extent cx="1104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ind w:left="960" w:right="280" w:hanging="976"/>
        <w:spacing w:after="0" w:line="250"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361">
        <w:r>
          <w:rPr>
            <w:rFonts w:ascii="Times New Roman" w:cs="Times New Roman" w:eastAsia="Times New Roman" w:hAnsi="Times New Roman"/>
            <w:sz w:val="18"/>
            <w:szCs w:val="18"/>
            <w:u w:val="single" w:color="auto"/>
            <w:color w:val="0000FF"/>
          </w:rPr>
          <w:t>Form of Pre-Funded Warrant (incorporated by reference to Exhibit 4.1 to the Registrant’s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361">
        <w:r>
          <w:rPr>
            <w:rFonts w:ascii="Times New Roman" w:cs="Times New Roman" w:eastAsia="Times New Roman" w:hAnsi="Times New Roman"/>
            <w:sz w:val="18"/>
            <w:szCs w:val="18"/>
            <w:u w:val="single" w:color="auto"/>
            <w:color w:val="0000FF"/>
          </w:rPr>
          <w:t>Securities and Exchange Commission on November 13,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-161925</wp:posOffset>
            </wp:positionV>
            <wp:extent cx="62503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625030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-24765</wp:posOffset>
            </wp:positionV>
            <wp:extent cx="28778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3">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u w:val="single" w:color="auto"/>
          <w:color w:val="0000FF"/>
        </w:rPr>
        <w:t>Insider Trading Policy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-19050</wp:posOffset>
            </wp:positionV>
            <wp:extent cx="167830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4">
                      <a:extLst>
                        <a:ext uri="{28A0092B-C50C-407E-A947-70E740481C1C}"/>
                      </a:extLst>
                    </a:blip>
                    <a:srcRect/>
                    <a:stretch>
                      <a:fillRect/>
                    </a:stretch>
                  </pic:blipFill>
                  <pic:spPr bwMode="auto">
                    <a:xfrm>
                      <a:off x="0" y="0"/>
                      <a:ext cx="1678305" cy="8890"/>
                    </a:xfrm>
                    <a:prstGeom prst="rect">
                      <a:avLst/>
                    </a:prstGeom>
                    <a:noFill/>
                  </pic:spPr>
                </pic:pic>
              </a:graphicData>
            </a:graphic>
          </wp:anchor>
        </w:drawing>
      </w:r>
    </w:p>
    <w:p>
      <w:pPr>
        <w:ind w:left="960" w:right="440" w:hanging="976"/>
        <w:spacing w:after="0" w:line="250"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365">
        <w:r>
          <w:rPr>
            <w:rFonts w:ascii="Times New Roman" w:cs="Times New Roman" w:eastAsia="Times New Roman" w:hAnsi="Times New Roman"/>
            <w:sz w:val="18"/>
            <w:szCs w:val="18"/>
            <w:u w:val="single" w:color="auto"/>
            <w:color w:val="0000FF"/>
          </w:rPr>
          <w:t>Subsidiary of the Registrant (incorporated by reference to Exhibit 21.1 to the Registrant’s Annual Report on Form 10-K filed with the</w:t>
        </w:r>
      </w:hyperlink>
      <w:r>
        <w:rPr>
          <w:rFonts w:ascii="Times New Roman" w:cs="Times New Roman" w:eastAsia="Times New Roman" w:hAnsi="Times New Roman"/>
          <w:sz w:val="18"/>
          <w:szCs w:val="18"/>
          <w:u w:val="single" w:color="auto"/>
          <w:color w:val="0000FF"/>
        </w:rPr>
        <w:t xml:space="preserve"> </w:t>
      </w:r>
      <w:hyperlink r:id="rId365">
        <w:r>
          <w:rPr>
            <w:rFonts w:ascii="Times New Roman" w:cs="Times New Roman" w:eastAsia="Times New Roman" w:hAnsi="Times New Roman"/>
            <w:sz w:val="18"/>
            <w:szCs w:val="18"/>
            <w:u w:val="single" w:color="auto"/>
            <w:color w:val="0000FF"/>
          </w:rPr>
          <w:t>Securities and Exchange Commission on February 27,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-161925</wp:posOffset>
            </wp:positionV>
            <wp:extent cx="61493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6">
                      <a:extLst>
                        <a:ext uri="{28A0092B-C50C-407E-A947-70E740481C1C}"/>
                      </a:extLst>
                    </a:blip>
                    <a:srcRect/>
                    <a:stretch>
                      <a:fillRect/>
                    </a:stretch>
                  </pic:blipFill>
                  <pic:spPr bwMode="auto">
                    <a:xfrm>
                      <a:off x="0" y="0"/>
                      <a:ext cx="614934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-24765</wp:posOffset>
            </wp:positionV>
            <wp:extent cx="28079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7">
                      <a:extLst>
                        <a:ext uri="{28A0092B-C50C-407E-A947-70E740481C1C}"/>
                      </a:extLst>
                    </a:blip>
                    <a:srcRect/>
                    <a:stretch>
                      <a:fillRect/>
                    </a:stretch>
                  </pic:blipFill>
                  <pic:spPr bwMode="auto">
                    <a:xfrm>
                      <a:off x="0" y="0"/>
                      <a:ext cx="2807970" cy="8255"/>
                    </a:xfrm>
                    <a:prstGeom prst="rect">
                      <a:avLst/>
                    </a:prstGeom>
                    <a:noFill/>
                  </pic:spPr>
                </pic:pic>
              </a:graphicData>
            </a:graphic>
          </wp:anchor>
        </w:drawing>
      </w: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Ernst &amp; Young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-19050</wp:posOffset>
            </wp:positionV>
            <wp:extent cx="364871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8">
                      <a:extLst>
                        <a:ext uri="{28A0092B-C50C-407E-A947-70E740481C1C}"/>
                      </a:extLst>
                    </a:blip>
                    <a:srcRect/>
                    <a:stretch>
                      <a:fillRect/>
                    </a:stretch>
                  </pic:blipFill>
                  <pic:spPr bwMode="auto">
                    <a:xfrm>
                      <a:off x="0" y="0"/>
                      <a:ext cx="3648710" cy="8890"/>
                    </a:xfrm>
                    <a:prstGeom prst="rect">
                      <a:avLst/>
                    </a:prstGeom>
                    <a:noFill/>
                  </pic:spPr>
                </pic:pic>
              </a:graphicData>
            </a:graphic>
          </wp:anchor>
        </w:drawing>
      </w:r>
    </w:p>
    <w:p>
      <w:pPr>
        <w:ind w:left="960" w:right="460" w:hanging="976"/>
        <w:spacing w:after="0" w:line="260" w:lineRule="auto"/>
        <w:tabs>
          <w:tab w:leader="none" w:pos="9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-172720</wp:posOffset>
            </wp:positionV>
            <wp:extent cx="61360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9">
                      <a:extLst>
                        <a:ext uri="{28A0092B-C50C-407E-A947-70E740481C1C}"/>
                      </a:extLst>
                    </a:blip>
                    <a:srcRect/>
                    <a:stretch>
                      <a:fillRect/>
                    </a:stretch>
                  </pic:blipFill>
                  <pic:spPr bwMode="auto">
                    <a:xfrm>
                      <a:off x="0" y="0"/>
                      <a:ext cx="613600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-35560</wp:posOffset>
            </wp:positionV>
            <wp:extent cx="31635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0">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130" w:name="page131"/>
    <w:bookmarkEnd w:id="130"/>
    <w:tbl>
      <w:tblPr>
        <w:tblLayout w:type="fixed"/>
        <w:tblInd w:w="20" w:type="dxa"/>
        <w:tblCellMar>
          <w:top w:w="0" w:type="dxa"/>
          <w:left w:w="0" w:type="dxa"/>
          <w:bottom w:w="0" w:type="dxa"/>
          <w:right w:w="0" w:type="dxa"/>
        </w:tblCellMar>
      </w:tblPr>
      <w:tr>
        <w:trPr>
          <w:trHeight w:val="207"/>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48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080" w:type="dxa"/>
            <w:vAlign w:val="bottom"/>
            <w:gridSpan w:val="6"/>
          </w:tcPr>
          <w:p>
            <w:pPr>
              <w:spacing w:after="0"/>
              <w:rPr>
                <w:sz w:val="17"/>
                <w:szCs w:val="17"/>
                <w:color w:val="auto"/>
              </w:rPr>
            </w:pPr>
          </w:p>
        </w:tc>
      </w:tr>
      <w:tr>
        <w:trPr>
          <w:trHeight w:val="196"/>
        </w:trPr>
        <w:tc>
          <w:tcPr>
            <w:tcW w:w="10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196"/>
        </w:trPr>
        <w:tc>
          <w:tcPr>
            <w:tcW w:w="106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160" w:type="dxa"/>
            <w:vAlign w:val="bottom"/>
            <w:gridSpan w:val="8"/>
          </w:tcPr>
          <w:p>
            <w:pPr>
              <w:spacing w:after="0"/>
              <w:rPr>
                <w:sz w:val="17"/>
                <w:szCs w:val="17"/>
                <w:color w:val="auto"/>
              </w:rPr>
            </w:pPr>
          </w:p>
        </w:tc>
      </w:tr>
      <w:tr>
        <w:trPr>
          <w:trHeight w:val="196"/>
        </w:trPr>
        <w:tc>
          <w:tcPr>
            <w:tcW w:w="10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160" w:type="dxa"/>
            <w:vAlign w:val="bottom"/>
            <w:gridSpan w:val="8"/>
          </w:tcPr>
          <w:p>
            <w:pPr>
              <w:spacing w:after="0"/>
              <w:rPr>
                <w:sz w:val="17"/>
                <w:szCs w:val="17"/>
                <w:color w:val="auto"/>
              </w:rPr>
            </w:pPr>
          </w:p>
        </w:tc>
      </w:tr>
      <w:tr>
        <w:trPr>
          <w:trHeight w:val="196"/>
        </w:trPr>
        <w:tc>
          <w:tcPr>
            <w:tcW w:w="10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9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Compensation Recovery Policy of Registrant (incorporated by reference to Exhibit 97.1 to the Registrant’s Annual Report on Form 10-K</w:t>
              </w:r>
            </w:hyperlink>
          </w:p>
        </w:tc>
        <w:tc>
          <w:tcPr>
            <w:tcW w:w="1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4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72">
              <w:r>
                <w:rPr>
                  <w:rFonts w:ascii="Times New Roman" w:cs="Times New Roman" w:eastAsia="Times New Roman" w:hAnsi="Times New Roman"/>
                  <w:sz w:val="18"/>
                  <w:szCs w:val="18"/>
                  <w:color w:val="0000FF"/>
                  <w:w w:val="99"/>
                </w:rPr>
                <w:t>filed with the Securities and Exchange Commission on February 27, 2024).</w:t>
              </w:r>
            </w:hyperlink>
          </w:p>
        </w:tc>
        <w:tc>
          <w:tcPr>
            <w:tcW w:w="20" w:type="dxa"/>
            <w:vAlign w:val="bottom"/>
            <w:tcBorders>
              <w:bottom w:val="single" w:sz="8" w:color="0000EE"/>
            </w:tcBorders>
          </w:tcPr>
          <w:p>
            <w:pPr>
              <w:spacing w:after="0"/>
              <w:rPr>
                <w:sz w:val="17"/>
                <w:szCs w:val="17"/>
                <w:color w:val="auto"/>
              </w:rPr>
            </w:pPr>
          </w:p>
        </w:tc>
        <w:tc>
          <w:tcPr>
            <w:tcW w:w="4640" w:type="dxa"/>
            <w:vAlign w:val="bottom"/>
            <w:gridSpan w:val="4"/>
          </w:tcPr>
          <w:p>
            <w:pPr>
              <w:spacing w:after="0"/>
              <w:rPr>
                <w:sz w:val="17"/>
                <w:szCs w:val="17"/>
                <w:color w:val="auto"/>
              </w:rPr>
            </w:pP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w:t>
            </w:r>
          </w:p>
        </w:tc>
      </w:tr>
      <w:tr>
        <w:trPr>
          <w:trHeight w:val="216"/>
        </w:trPr>
        <w:tc>
          <w:tcPr>
            <w:tcW w:w="1060" w:type="dxa"/>
            <w:vAlign w:val="bottom"/>
          </w:tcPr>
          <w:p>
            <w:pPr>
              <w:spacing w:after="0"/>
              <w:rPr>
                <w:sz w:val="18"/>
                <w:szCs w:val="18"/>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080" w:hanging="1059"/>
        <w:spacing w:after="0"/>
        <w:tabs>
          <w:tab w:leader="none" w:pos="10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301"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0" w:lineRule="exact"/>
        <w:rPr>
          <w:sz w:val="20"/>
          <w:szCs w:val="20"/>
          <w:color w:val="auto"/>
        </w:rPr>
      </w:pPr>
    </w:p>
    <w:p>
      <w:pPr>
        <w:ind w:left="520" w:right="20" w:hanging="512"/>
        <w:spacing w:after="0" w:line="266" w:lineRule="auto"/>
        <w:tabs>
          <w:tab w:leader="none" w:pos="1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 registrant has determined that they are both not material and is the type of information that the registrant treats as private or confidential.</w:t>
      </w: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0" w:right="39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41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Fulcrum Therapeutics, Inc.</w:t>
            </w:r>
          </w:p>
        </w:tc>
        <w:tc>
          <w:tcPr>
            <w:tcW w:w="3400" w:type="dxa"/>
            <w:vAlign w:val="bottom"/>
          </w:tcPr>
          <w:p>
            <w:pPr>
              <w:spacing w:after="0"/>
              <w:rPr>
                <w:sz w:val="20"/>
                <w:szCs w:val="20"/>
                <w:color w:val="auto"/>
              </w:rPr>
            </w:pPr>
          </w:p>
        </w:tc>
      </w:tr>
      <w:tr>
        <w:trPr>
          <w:trHeight w:val="3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41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/s/ Alex C. Sapir</w:t>
            </w:r>
          </w:p>
        </w:tc>
      </w:tr>
      <w:tr>
        <w:trPr>
          <w:trHeight w:val="211"/>
        </w:trPr>
        <w:tc>
          <w:tcPr>
            <w:tcW w:w="3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jc w:val="center"/>
              <w:ind w:right="1730"/>
              <w:spacing w:after="0"/>
              <w:rPr>
                <w:sz w:val="20"/>
                <w:szCs w:val="20"/>
                <w:color w:val="auto"/>
              </w:rPr>
            </w:pPr>
            <w:r>
              <w:rPr>
                <w:rFonts w:ascii="Times New Roman" w:cs="Times New Roman" w:eastAsia="Times New Roman" w:hAnsi="Times New Roman"/>
                <w:sz w:val="18"/>
                <w:szCs w:val="18"/>
                <w:color w:val="auto"/>
                <w:w w:val="99"/>
              </w:rPr>
              <w:t>Alex C. Sapir</w:t>
            </w:r>
          </w:p>
        </w:tc>
      </w:tr>
    </w:tbl>
    <w:p>
      <w:pPr>
        <w:ind w:left="7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78574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0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857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Alex C. Sapir</w:t>
      </w:r>
    </w:p>
    <w:p>
      <w:pPr>
        <w:spacing w:after="0" w:line="11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8574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Alan Musso</w:t>
      </w:r>
    </w:p>
    <w:p>
      <w:pPr>
        <w:spacing w:after="0" w:line="1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Greg Tourangeau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8574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Greg Tourangeau</w:t>
      </w:r>
    </w:p>
    <w:p>
      <w:pPr>
        <w:spacing w:after="0" w:line="11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857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Kate Haviland</w:t>
      </w:r>
    </w:p>
    <w:p>
      <w:pPr>
        <w:spacing w:after="0" w:line="11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Sonja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857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Sonja Banks</w:t>
      </w:r>
    </w:p>
    <w:p>
      <w:pPr>
        <w:spacing w:after="0" w:line="1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857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Katina Dorton</w:t>
      </w:r>
    </w:p>
    <w:p>
      <w:pPr>
        <w:spacing w:after="0" w:line="1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Alan Ezekowitz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8574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Alan Ezekowitz, MBChB, D. Phil</w:t>
      </w:r>
    </w:p>
    <w:p>
      <w:pPr>
        <w:spacing w:after="0" w:line="1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James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8574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James Geraghty</w:t>
      </w:r>
    </w:p>
    <w:p>
      <w:pPr>
        <w:spacing w:after="0" w:line="1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857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Robert J. Gould, Ph.D.</w:t>
      </w:r>
    </w:p>
    <w:p>
      <w:pPr>
        <w:spacing w:after="0" w:line="13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Colin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8574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Colin Hill</w:t>
      </w:r>
    </w:p>
    <w:p>
      <w:pPr>
        <w:spacing w:after="0" w:line="13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Rachel K.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8574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Rachel K. King</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18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2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5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49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Finance (Principal Accounting Officer)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56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56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49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50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50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50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52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52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bl>
    <w:p>
      <w:pPr>
        <w:spacing w:after="0" w:line="347" w:lineRule="exact"/>
        <w:rPr>
          <w:sz w:val="20"/>
          <w:szCs w:val="20"/>
          <w:color w:val="auto"/>
        </w:rPr>
      </w:pPr>
    </w:p>
    <w:p>
      <w:pPr>
        <w:sectPr>
          <w:pgSz w:w="11900" w:h="16838" w:orient="portrait"/>
          <w:cols w:equalWidth="0" w:num="2">
            <w:col w:w="3800" w:space="720"/>
            <w:col w:w="6720"/>
          </w:cols>
          <w:pgMar w:left="320" w:top="1089" w:right="339"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32" w:name="page133"/>
    <w:bookmarkEnd w:id="132"/>
    <w:p>
      <w:pPr>
        <w:ind w:left="10180"/>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January 24, 2025</w:t>
      </w:r>
    </w:p>
    <w:p>
      <w:pPr>
        <w:spacing w:after="0" w:line="22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Company’s non-employee directors shall receive the following compensation for their service as members of the Board of Directors (the “Board”) of the Company.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Our goal is to provide compensation for our non-employee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non-employee directors with a mix of cash and equity-based compensation.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fees that will be paid to our non-employee directors for service on the Board, and for service on each committee of the Board on which the director is then a member, and the fees that will be paid to the chairperson of the Board, if one is then appointed, and the chairperson of each committee of the Board will be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14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Member Annual Fee</w:t>
            </w:r>
          </w:p>
        </w:tc>
        <w:tc>
          <w:tcPr>
            <w:tcW w:w="242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Chairman Incremental Annual</w:t>
            </w:r>
          </w:p>
        </w:tc>
      </w:tr>
      <w:tr>
        <w:trPr>
          <w:trHeight w:val="173"/>
        </w:trPr>
        <w:tc>
          <w:tcPr>
            <w:tcW w:w="5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60" w:type="dxa"/>
            <w:vAlign w:val="bottom"/>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Fee</w:t>
            </w: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40,000</w:t>
            </w:r>
          </w:p>
        </w:tc>
        <w:tc>
          <w:tcPr>
            <w:tcW w:w="7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7,500</w:t>
            </w:r>
          </w:p>
        </w:tc>
        <w:tc>
          <w:tcPr>
            <w:tcW w:w="7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&amp; Human Capital Management Committee</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5,000</w:t>
            </w:r>
          </w:p>
        </w:tc>
        <w:tc>
          <w:tcPr>
            <w:tcW w:w="7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4,000</w:t>
            </w:r>
          </w:p>
        </w:tc>
        <w:tc>
          <w:tcPr>
            <w:tcW w:w="7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5,000</w:t>
            </w:r>
          </w:p>
        </w:tc>
        <w:tc>
          <w:tcPr>
            <w:tcW w:w="7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200" w:lineRule="exact"/>
        <w:rPr>
          <w:sz w:val="20"/>
          <w:szCs w:val="20"/>
          <w:color w:val="auto"/>
        </w:rPr>
      </w:pPr>
    </w:p>
    <w:p>
      <w:pPr>
        <w:spacing w:after="0" w:line="241"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foregoing fees will be payable in arrears in four equal quarterly installments on the last day of each quarter, provided that the amount of such payment will be prorated for any portion of such quarter that the director is not serving on the Board, on such committee or in such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u w:val="single" w:color="auto"/>
          <w:color w:val="auto"/>
        </w:rPr>
        <w:t>Initial Grants</w:t>
      </w:r>
      <w:r>
        <w:rPr>
          <w:rFonts w:ascii="Times New Roman" w:cs="Times New Roman" w:eastAsia="Times New Roman" w:hAnsi="Times New Roman"/>
          <w:sz w:val="18"/>
          <w:szCs w:val="18"/>
          <w:color w:val="auto"/>
        </w:rPr>
        <w:t xml:space="preserve"> . Upon initial election to the Board, each non-employee director will be granted, automatically and without the need for any further action by the Board, an initial equity award of an option to purchase 72,000 shares of our common stock. The initial award shall have a term of ten years from the date of the award, and shall vest and become exercisable as to 1/36 of the shares underlying such award at the end of each successive one-month period following the grant date until the third anniversary of the grant date, subject to the director’s continued service to the Company through each applicable vesting date. The vesting shall accelerate as to 100% of the shares upon a change in control of the Company. The exercise price shall be the closing price of our common stock on the date of grant.</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Annual Grants</w:t>
      </w:r>
      <w:r>
        <w:rPr>
          <w:rFonts w:ascii="Times New Roman" w:cs="Times New Roman" w:eastAsia="Times New Roman" w:hAnsi="Times New Roman"/>
          <w:sz w:val="18"/>
          <w:szCs w:val="18"/>
          <w:color w:val="auto"/>
        </w:rPr>
        <w:t xml:space="preserve"> . Each non-employee director who has served as a member of the Board for at least six months prior to the date of our annual meeting of stockholders for a particular year will be granted, automatically and without the need for any further action by the Board, an equity award on the date of the first Board meeting held after our annual meeting of stockholders for such year of an option to purchase 36,000 shares of our common stock. The annual award shall have a term of ten years from the date of the award, and shall vest and become exercisable in full on the one-year anniversary of the grant date (or, if earlier, immediately prior to the first annual meeting of stockholders occurring after the grant date), subject to the director’s continued service to the Company through each applicable vesting date. The vesting shall accelerate as to 100% of the shares upon a change in control of the Company. The exercise price shall be the closing price of our common stock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spacing w:after="0" w:line="19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foregoing share amounts shall be automatically adjusted in the event of any stock split, reverse stock split, stock dividend, recapitalization, combination of shares, reclassification of shares, spin-off or other similar change in capitalization or event effecting our common stock, or any distribution to holders of our common stock other than an ordinary cash dividend.</w:t>
      </w:r>
    </w:p>
    <w:p>
      <w:pPr>
        <w:spacing w:after="0" w:line="176"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initial awards and the annual awards shall be subject to the terms and conditions of our 2019 Stock Incentive Plan, or any successor plan, and the terms of the option agreements entered into with each director in connection with such awards.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Upon presentation of documentation of such expenses reasonably satisfactory to the Company, each non-employee director shall be reimbursed for his or her reasonable out-of-pocket business expenses incurred in connection with attending meetings of the Board and committees thereof or in connection with other business related to the Board, and each non-employee director shall also be reimbursed for his or her reasonable out-of-pocket business expenses authorized by the Board or a committee of the Board that are incurred in connection with attendance at various conferences or meetings with management of the Company, in accordance with the Company’s travel policy, as it may be in effect from time to time.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8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FULCRUM THERAPEUTICS, INC. INSIDER TRADING</w:t>
      </w:r>
    </w:p>
    <w:p>
      <w:pPr>
        <w:spacing w:after="0" w:line="1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POLICY</w:t>
      </w:r>
    </w:p>
    <w:p>
      <w:pPr>
        <w:spacing w:after="0" w:line="70" w:lineRule="exact"/>
        <w:rPr>
          <w:sz w:val="20"/>
          <w:szCs w:val="20"/>
          <w:color w:val="auto"/>
        </w:rPr>
      </w:pPr>
    </w:p>
    <w:p>
      <w:pPr>
        <w:ind w:left="760" w:hanging="752"/>
        <w:spacing w:after="0"/>
        <w:tabs>
          <w:tab w:leader="none" w:pos="7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BACKGROUND AND PURPOSE</w:t>
      </w:r>
    </w:p>
    <w:p>
      <w:pPr>
        <w:spacing w:after="0" w:line="210"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1"/>
          <w:szCs w:val="21"/>
          <w:u w:val="single" w:color="auto"/>
          <w:color w:val="auto"/>
        </w:rPr>
        <w:t>Why Have We Adopted This Policy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 w:right="140" w:firstLine="749"/>
        <w:spacing w:after="0" w:line="235" w:lineRule="auto"/>
        <w:rPr>
          <w:sz w:val="20"/>
          <w:szCs w:val="20"/>
          <w:color w:val="auto"/>
        </w:rPr>
      </w:pPr>
      <w:r>
        <w:rPr>
          <w:rFonts w:ascii="Times New Roman" w:cs="Times New Roman" w:eastAsia="Times New Roman" w:hAnsi="Times New Roman"/>
          <w:sz w:val="22"/>
          <w:szCs w:val="22"/>
          <w:color w:val="auto"/>
        </w:rPr>
        <w:t>The federal securities laws prohibit any member of the Board of Directors (a “Director”), officer (as defined in Rule 16a-1(f) under the Securities Exchange Act of 1934 (the “Exchange Act”), an “executive officer”) or employee of Fulcrum Therapeutics, Inc. (together with its subsidiaries, the “Company”) from purchasing or selling Company securities on the basis of material nonpublic information concerning the Company, or from tipping material nonpublic information to others. These laws impose severe sanctions on individuals who violate them. In addition, the Securities and Exchange Commission (the “SEC”)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insider trading policy is being adopted in light of these legal requirements, and with the goal of helping:</w:t>
      </w:r>
    </w:p>
    <w:p>
      <w:pPr>
        <w:spacing w:after="0" w:line="206" w:lineRule="exact"/>
        <w:rPr>
          <w:sz w:val="20"/>
          <w:szCs w:val="20"/>
          <w:color w:val="auto"/>
        </w:rPr>
      </w:pPr>
    </w:p>
    <w:p>
      <w:pPr>
        <w:ind w:left="2260" w:hanging="755"/>
        <w:spacing w:after="0"/>
        <w:tabs>
          <w:tab w:leader="none" w:pos="22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inadvertent violations of the insider trading laws;</w:t>
      </w:r>
    </w:p>
    <w:p>
      <w:pPr>
        <w:spacing w:after="0" w:line="206" w:lineRule="exact"/>
        <w:rPr>
          <w:rFonts w:ascii="Times New Roman" w:cs="Times New Roman" w:eastAsia="Times New Roman" w:hAnsi="Times New Roman"/>
          <w:sz w:val="22"/>
          <w:szCs w:val="22"/>
          <w:color w:val="auto"/>
        </w:rPr>
      </w:pPr>
    </w:p>
    <w:p>
      <w:pPr>
        <w:ind w:left="2220" w:right="660" w:hanging="715"/>
        <w:spacing w:after="0" w:line="258" w:lineRule="auto"/>
        <w:tabs>
          <w:tab w:leader="none" w:pos="22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embarrassing proxy disclosure of reporting violations by persons subject to Section 16 of the Exchange Act;</w:t>
      </w:r>
    </w:p>
    <w:p>
      <w:pPr>
        <w:spacing w:after="0" w:line="158" w:lineRule="exact"/>
        <w:rPr>
          <w:rFonts w:ascii="Times New Roman" w:cs="Times New Roman" w:eastAsia="Times New Roman" w:hAnsi="Times New Roman"/>
          <w:sz w:val="22"/>
          <w:szCs w:val="22"/>
          <w:color w:val="auto"/>
        </w:rPr>
      </w:pPr>
    </w:p>
    <w:p>
      <w:pPr>
        <w:ind w:left="2220" w:right="680" w:hanging="715"/>
        <w:spacing w:after="0" w:line="258" w:lineRule="auto"/>
        <w:tabs>
          <w:tab w:leader="none" w:pos="22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even the appearance of impropriety on the part of those employed by, or associated with, the Company;</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Company from controlling person liability; and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reputation of the Company, its Directors and its employees.</w:t>
      </w:r>
    </w:p>
    <w:p>
      <w:pPr>
        <w:spacing w:after="0" w:line="206" w:lineRule="exact"/>
        <w:rPr>
          <w:sz w:val="20"/>
          <w:szCs w:val="20"/>
          <w:color w:val="auto"/>
        </w:rPr>
      </w:pPr>
    </w:p>
    <w:p>
      <w:pPr>
        <w:ind w:left="20" w:right="280" w:firstLine="749"/>
        <w:spacing w:after="0" w:line="282" w:lineRule="auto"/>
        <w:rPr>
          <w:sz w:val="20"/>
          <w:szCs w:val="20"/>
          <w:color w:val="auto"/>
        </w:rPr>
      </w:pPr>
      <w:r>
        <w:rPr>
          <w:rFonts w:ascii="Times New Roman" w:cs="Times New Roman" w:eastAsia="Times New Roman" w:hAnsi="Times New Roman"/>
          <w:sz w:val="21"/>
          <w:szCs w:val="21"/>
          <w:color w:val="auto"/>
        </w:rPr>
        <w:t>As detailed below, this policy applies to family members and certain other persons and entities with whom Directors and employees have relationships. However, nothing in this policy is applicable to transactions by the Company itself.</w:t>
      </w:r>
    </w:p>
    <w:p>
      <w:pPr>
        <w:spacing w:after="0" w:line="135"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What Type of Information is “Material”?</w:t>
      </w:r>
    </w:p>
    <w:p>
      <w:pPr>
        <w:spacing w:after="0" w:line="206" w:lineRule="exact"/>
        <w:rPr>
          <w:sz w:val="20"/>
          <w:szCs w:val="20"/>
          <w:color w:val="auto"/>
        </w:rPr>
      </w:pPr>
    </w:p>
    <w:p>
      <w:pPr>
        <w:ind w:left="20" w:right="180" w:firstLine="749"/>
        <w:spacing w:after="0" w:line="238" w:lineRule="auto"/>
        <w:rPr>
          <w:sz w:val="20"/>
          <w:szCs w:val="20"/>
          <w:color w:val="auto"/>
        </w:rPr>
      </w:pPr>
      <w:r>
        <w:rPr>
          <w:rFonts w:ascii="Times New Roman" w:cs="Times New Roman" w:eastAsia="Times New Roman" w:hAnsi="Times New Roman"/>
          <w:sz w:val="22"/>
          <w:szCs w:val="22"/>
          <w:color w:val="auto"/>
        </w:rPr>
        <w:t>Information concerning the Company is considered material if there is a substantial likelihood that a reasonable stockholder would consider the information important in making an investment decision with respect to the Company’s securities. Stated another way, there must be a substantial likelihood that a reasonable stockholder would view the information as having significantly altered the “total mix” of information available about the Company. Material information can include positive or negative information about the Company. Information</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concerning any of the following subjects, or the Company’s plans with respect to any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632460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35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subjects, would often be considered material:</w:t>
      </w:r>
    </w:p>
    <w:p>
      <w:pPr>
        <w:spacing w:after="0" w:line="206" w:lineRule="exact"/>
        <w:rPr>
          <w:sz w:val="20"/>
          <w:szCs w:val="20"/>
          <w:color w:val="auto"/>
        </w:rPr>
      </w:pPr>
    </w:p>
    <w:p>
      <w:pPr>
        <w:ind w:left="2200" w:hanging="715"/>
        <w:spacing w:after="0"/>
        <w:tabs>
          <w:tab w:leader="none" w:pos="22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liquidity, cash burn rate, revenues or earnings (including forecasts);</w:t>
      </w:r>
    </w:p>
    <w:p>
      <w:pPr>
        <w:spacing w:after="0" w:line="206" w:lineRule="exact"/>
        <w:rPr>
          <w:rFonts w:ascii="Times New Roman" w:cs="Times New Roman" w:eastAsia="Times New Roman" w:hAnsi="Times New Roman"/>
          <w:sz w:val="22"/>
          <w:szCs w:val="22"/>
          <w:color w:val="auto"/>
        </w:rPr>
      </w:pPr>
    </w:p>
    <w:p>
      <w:pPr>
        <w:ind w:left="2220" w:hanging="735"/>
        <w:spacing w:after="0" w:line="258" w:lineRule="auto"/>
        <w:tabs>
          <w:tab w:leader="none" w:pos="22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the Company’s ongoing and planned clinical trials and preclinical studies, including the timing of and findings and data from such trials and studies;</w:t>
      </w:r>
    </w:p>
    <w:p>
      <w:pPr>
        <w:spacing w:after="0" w:line="158" w:lineRule="exact"/>
        <w:rPr>
          <w:rFonts w:ascii="Times New Roman" w:cs="Times New Roman" w:eastAsia="Times New Roman" w:hAnsi="Times New Roman"/>
          <w:sz w:val="22"/>
          <w:szCs w:val="22"/>
          <w:color w:val="auto"/>
        </w:rPr>
      </w:pPr>
    </w:p>
    <w:p>
      <w:pPr>
        <w:ind w:left="2240" w:hanging="755"/>
        <w:spacing w:after="0"/>
        <w:tabs>
          <w:tab w:leader="none" w:pos="22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merger or acquisition involving the Company;</w:t>
      </w:r>
    </w:p>
    <w:p>
      <w:pPr>
        <w:spacing w:after="0" w:line="206" w:lineRule="exact"/>
        <w:rPr>
          <w:rFonts w:ascii="Times New Roman" w:cs="Times New Roman" w:eastAsia="Times New Roman" w:hAnsi="Times New Roman"/>
          <w:sz w:val="22"/>
          <w:szCs w:val="22"/>
          <w:color w:val="auto"/>
        </w:rPr>
      </w:pPr>
    </w:p>
    <w:p>
      <w:pPr>
        <w:ind w:left="2200" w:right="940" w:hanging="715"/>
        <w:spacing w:after="0" w:line="258" w:lineRule="auto"/>
        <w:tabs>
          <w:tab w:leader="none" w:pos="22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licensing or collaboration agreement or serious discussions regarding such an agreement;</w:t>
      </w:r>
    </w:p>
    <w:p>
      <w:pPr>
        <w:spacing w:after="0" w:line="158" w:lineRule="exact"/>
        <w:rPr>
          <w:rFonts w:ascii="Times New Roman" w:cs="Times New Roman" w:eastAsia="Times New Roman" w:hAnsi="Times New Roman"/>
          <w:sz w:val="22"/>
          <w:szCs w:val="22"/>
          <w:color w:val="auto"/>
        </w:rPr>
      </w:pPr>
    </w:p>
    <w:p>
      <w:pPr>
        <w:ind w:left="2240" w:hanging="755"/>
        <w:spacing w:after="0"/>
        <w:tabs>
          <w:tab w:leader="none" w:pos="22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of the Company;</w:t>
      </w:r>
    </w:p>
    <w:p>
      <w:pPr>
        <w:spacing w:after="0" w:line="206" w:lineRule="exact"/>
        <w:rPr>
          <w:rFonts w:ascii="Times New Roman" w:cs="Times New Roman" w:eastAsia="Times New Roman" w:hAnsi="Times New Roman"/>
          <w:sz w:val="22"/>
          <w:szCs w:val="22"/>
          <w:color w:val="auto"/>
        </w:rPr>
      </w:pPr>
    </w:p>
    <w:p>
      <w:pPr>
        <w:ind w:left="2200" w:hanging="715"/>
        <w:spacing w:after="0"/>
        <w:tabs>
          <w:tab w:leader="none" w:pos="22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change in the management or the Board of Directors of the Company;</w:t>
      </w:r>
    </w:p>
    <w:p>
      <w:pPr>
        <w:spacing w:after="0" w:line="206" w:lineRule="exact"/>
        <w:rPr>
          <w:rFonts w:ascii="Times New Roman" w:cs="Times New Roman" w:eastAsia="Times New Roman" w:hAnsi="Times New Roman"/>
          <w:sz w:val="22"/>
          <w:szCs w:val="22"/>
          <w:color w:val="auto"/>
        </w:rPr>
      </w:pPr>
    </w:p>
    <w:p>
      <w:pPr>
        <w:ind w:left="2200" w:hanging="715"/>
        <w:spacing w:after="0"/>
        <w:tabs>
          <w:tab w:leader="none" w:pos="22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decision to commence or terminate the payment of cash dividends;</w:t>
      </w:r>
    </w:p>
    <w:p>
      <w:pPr>
        <w:spacing w:after="0" w:line="206" w:lineRule="exact"/>
        <w:rPr>
          <w:rFonts w:ascii="Times New Roman" w:cs="Times New Roman" w:eastAsia="Times New Roman" w:hAnsi="Times New Roman"/>
          <w:sz w:val="22"/>
          <w:szCs w:val="22"/>
          <w:color w:val="auto"/>
        </w:rPr>
      </w:pPr>
    </w:p>
    <w:p>
      <w:pPr>
        <w:ind w:left="2160" w:hanging="675"/>
        <w:spacing w:after="0"/>
        <w:tabs>
          <w:tab w:leader="none" w:pos="21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or private sale of a significant amount of securities of the Company;</w:t>
      </w:r>
    </w:p>
    <w:p>
      <w:pPr>
        <w:spacing w:after="0" w:line="206" w:lineRule="exact"/>
        <w:rPr>
          <w:rFonts w:ascii="Times New Roman" w:cs="Times New Roman" w:eastAsia="Times New Roman" w:hAnsi="Times New Roman"/>
          <w:sz w:val="22"/>
          <w:szCs w:val="22"/>
          <w:color w:val="auto"/>
        </w:rPr>
      </w:pPr>
    </w:p>
    <w:p>
      <w:pPr>
        <w:ind w:left="2240" w:hanging="755"/>
        <w:spacing w:after="0"/>
        <w:tabs>
          <w:tab w:leader="none" w:pos="22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a program to repurchase securities of the Company;</w:t>
      </w:r>
    </w:p>
    <w:p>
      <w:pPr>
        <w:spacing w:after="0" w:line="206" w:lineRule="exact"/>
        <w:rPr>
          <w:rFonts w:ascii="Times New Roman" w:cs="Times New Roman" w:eastAsia="Times New Roman" w:hAnsi="Times New Roman"/>
          <w:sz w:val="22"/>
          <w:szCs w:val="22"/>
          <w:color w:val="auto"/>
        </w:rPr>
      </w:pPr>
    </w:p>
    <w:p>
      <w:pPr>
        <w:ind w:left="2240" w:hanging="755"/>
        <w:spacing w:after="0"/>
        <w:tabs>
          <w:tab w:leader="none" w:pos="22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 split;</w:t>
      </w:r>
    </w:p>
    <w:p>
      <w:pPr>
        <w:spacing w:after="0" w:line="192" w:lineRule="exact"/>
        <w:rPr>
          <w:rFonts w:ascii="Times New Roman" w:cs="Times New Roman" w:eastAsia="Times New Roman" w:hAnsi="Times New Roman"/>
          <w:sz w:val="22"/>
          <w:szCs w:val="22"/>
          <w:color w:val="auto"/>
        </w:rPr>
      </w:pPr>
    </w:p>
    <w:p>
      <w:pPr>
        <w:ind w:left="2240" w:hanging="755"/>
        <w:spacing w:after="0"/>
        <w:tabs>
          <w:tab w:leader="none" w:pos="22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on outstanding debt of the Company or a bankruptcy filing;</w:t>
      </w:r>
    </w:p>
    <w:p>
      <w:pPr>
        <w:spacing w:after="0" w:line="206" w:lineRule="exact"/>
        <w:rPr>
          <w:rFonts w:ascii="Times New Roman" w:cs="Times New Roman" w:eastAsia="Times New Roman" w:hAnsi="Times New Roman"/>
          <w:sz w:val="22"/>
          <w:szCs w:val="22"/>
          <w:color w:val="auto"/>
        </w:rPr>
      </w:pPr>
    </w:p>
    <w:p>
      <w:pPr>
        <w:ind w:left="2140" w:hanging="655"/>
        <w:spacing w:after="0"/>
        <w:tabs>
          <w:tab w:leader="none" w:pos="21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product release or a significant development, invention or discovery;</w:t>
      </w:r>
    </w:p>
    <w:p>
      <w:pPr>
        <w:spacing w:after="0" w:line="206" w:lineRule="exact"/>
        <w:rPr>
          <w:rFonts w:ascii="Times New Roman" w:cs="Times New Roman" w:eastAsia="Times New Roman" w:hAnsi="Times New Roman"/>
          <w:sz w:val="22"/>
          <w:szCs w:val="22"/>
          <w:color w:val="auto"/>
        </w:rPr>
      </w:pPr>
    </w:p>
    <w:p>
      <w:pPr>
        <w:ind w:left="2220" w:hanging="735"/>
        <w:spacing w:after="0" w:line="258" w:lineRule="auto"/>
        <w:tabs>
          <w:tab w:leader="none" w:pos="22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clinical trials or non-clinical studies, including the timing of and findings and data from such trials and studies;</w:t>
      </w:r>
    </w:p>
    <w:p>
      <w:pPr>
        <w:spacing w:after="0" w:line="158" w:lineRule="exact"/>
        <w:rPr>
          <w:rFonts w:ascii="Times New Roman" w:cs="Times New Roman" w:eastAsia="Times New Roman" w:hAnsi="Times New Roman"/>
          <w:sz w:val="22"/>
          <w:szCs w:val="22"/>
          <w:color w:val="auto"/>
        </w:rPr>
      </w:pPr>
    </w:p>
    <w:p>
      <w:pPr>
        <w:ind w:left="2160" w:right="720" w:hanging="675"/>
        <w:spacing w:after="0" w:line="258" w:lineRule="auto"/>
        <w:tabs>
          <w:tab w:leader="none" w:pos="21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upcoming FDA actions or other significant regulatory developments, including a significant product recall;</w:t>
      </w:r>
    </w:p>
    <w:p>
      <w:pPr>
        <w:spacing w:after="0" w:line="158" w:lineRule="exact"/>
        <w:rPr>
          <w:rFonts w:ascii="Times New Roman" w:cs="Times New Roman" w:eastAsia="Times New Roman" w:hAnsi="Times New Roman"/>
          <w:sz w:val="22"/>
          <w:szCs w:val="22"/>
          <w:color w:val="auto"/>
        </w:rPr>
      </w:pPr>
    </w:p>
    <w:p>
      <w:pPr>
        <w:ind w:left="2200" w:right="760" w:hanging="715"/>
        <w:spacing w:after="0" w:line="258" w:lineRule="auto"/>
        <w:tabs>
          <w:tab w:leader="none" w:pos="22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loss, delay or gain of a significant contract, sale or order or other important development regarding customers, collaborators or suppliers;</w:t>
      </w:r>
    </w:p>
    <w:p>
      <w:pPr>
        <w:spacing w:after="0" w:line="158" w:lineRule="exact"/>
        <w:rPr>
          <w:rFonts w:ascii="Times New Roman" w:cs="Times New Roman" w:eastAsia="Times New Roman" w:hAnsi="Times New Roman"/>
          <w:sz w:val="22"/>
          <w:szCs w:val="22"/>
          <w:color w:val="auto"/>
        </w:rPr>
      </w:pPr>
    </w:p>
    <w:p>
      <w:pPr>
        <w:ind w:left="2240" w:hanging="755"/>
        <w:spacing w:after="0"/>
        <w:tabs>
          <w:tab w:leader="none" w:pos="22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litigation or disputes to which the Company may be a party;</w:t>
      </w:r>
    </w:p>
    <w:p>
      <w:pPr>
        <w:spacing w:after="0" w:line="71" w:lineRule="exact"/>
        <w:rPr>
          <w:rFonts w:ascii="Times New Roman" w:cs="Times New Roman" w:eastAsia="Times New Roman" w:hAnsi="Times New Roman"/>
          <w:sz w:val="22"/>
          <w:szCs w:val="22"/>
          <w:color w:val="auto"/>
        </w:rPr>
      </w:pPr>
    </w:p>
    <w:p>
      <w:pPr>
        <w:ind w:left="2200" w:right="500" w:hanging="715"/>
        <w:spacing w:after="0" w:line="258" w:lineRule="auto"/>
        <w:tabs>
          <w:tab w:leader="none" w:pos="22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operational issue or investigation of a potential such issue, including cybersecurity incidents and product defects;</w:t>
      </w:r>
    </w:p>
    <w:p>
      <w:pPr>
        <w:spacing w:after="0" w:line="144" w:lineRule="exact"/>
        <w:rPr>
          <w:rFonts w:ascii="Times New Roman" w:cs="Times New Roman" w:eastAsia="Times New Roman" w:hAnsi="Times New Roman"/>
          <w:sz w:val="22"/>
          <w:szCs w:val="22"/>
          <w:color w:val="auto"/>
        </w:rPr>
      </w:pPr>
    </w:p>
    <w:p>
      <w:pPr>
        <w:ind w:left="2200" w:hanging="715"/>
        <w:spacing w:after="0"/>
        <w:tabs>
          <w:tab w:leader="none" w:pos="22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conclusion by the Company or a notification from its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632460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60" w:top="1408" w:right="499" w:bottom="1440" w:gutter="0" w:footer="0" w:header="0"/>
        </w:sectPr>
      </w:pPr>
    </w:p>
    <w:bookmarkStart w:id="136" w:name="page137"/>
    <w:bookmarkEnd w:id="136"/>
    <w:p>
      <w:pPr>
        <w:spacing w:after="0" w:line="130" w:lineRule="exact"/>
        <w:rPr>
          <w:sz w:val="20"/>
          <w:szCs w:val="20"/>
          <w:color w:val="auto"/>
        </w:rPr>
      </w:pPr>
    </w:p>
    <w:p>
      <w:pPr>
        <w:ind w:left="2220" w:right="700"/>
        <w:spacing w:after="0" w:line="258" w:lineRule="auto"/>
        <w:rPr>
          <w:sz w:val="20"/>
          <w:szCs w:val="20"/>
          <w:color w:val="auto"/>
        </w:rPr>
      </w:pPr>
      <w:r>
        <w:rPr>
          <w:rFonts w:ascii="Times New Roman" w:cs="Times New Roman" w:eastAsia="Times New Roman" w:hAnsi="Times New Roman"/>
          <w:sz w:val="22"/>
          <w:szCs w:val="22"/>
          <w:color w:val="auto"/>
        </w:rPr>
        <w:t>auditor that any of the Company’s previously issued financial statements should no longer be relied upon; or</w:t>
      </w:r>
    </w:p>
    <w:p>
      <w:pPr>
        <w:spacing w:after="0" w:line="158" w:lineRule="exact"/>
        <w:rPr>
          <w:sz w:val="20"/>
          <w:szCs w:val="20"/>
          <w:color w:val="auto"/>
        </w:rPr>
      </w:pPr>
    </w:p>
    <w:p>
      <w:pPr>
        <w:ind w:left="2260" w:hanging="755"/>
        <w:spacing w:after="0"/>
        <w:tabs>
          <w:tab w:leader="none" w:pos="22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or dispute with the Company’s independent auditor.</w:t>
      </w:r>
    </w:p>
    <w:p>
      <w:pPr>
        <w:spacing w:after="0" w:line="206" w:lineRule="exact"/>
        <w:rPr>
          <w:sz w:val="20"/>
          <w:szCs w:val="20"/>
          <w:color w:val="auto"/>
        </w:rPr>
      </w:pPr>
    </w:p>
    <w:p>
      <w:pPr>
        <w:ind w:left="20" w:firstLine="749"/>
        <w:spacing w:after="0" w:line="258" w:lineRule="auto"/>
        <w:rPr>
          <w:sz w:val="20"/>
          <w:szCs w:val="20"/>
          <w:color w:val="auto"/>
        </w:rPr>
      </w:pPr>
      <w:r>
        <w:rPr>
          <w:rFonts w:ascii="Times New Roman" w:cs="Times New Roman" w:eastAsia="Times New Roman" w:hAnsi="Times New Roman"/>
          <w:sz w:val="22"/>
          <w:szCs w:val="22"/>
          <w:color w:val="auto"/>
        </w:rPr>
        <w:t>This list is illustrative only and is not intended to provide a comprehensive list of circumstances that could give rise to material information.</w:t>
      </w:r>
    </w:p>
    <w:p>
      <w:pPr>
        <w:spacing w:after="0" w:line="158"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When is Information “Nonpublic”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 w:right="220" w:firstLine="749"/>
        <w:spacing w:after="0" w:line="258" w:lineRule="auto"/>
        <w:rPr>
          <w:sz w:val="20"/>
          <w:szCs w:val="20"/>
          <w:color w:val="auto"/>
        </w:rPr>
      </w:pPr>
      <w:r>
        <w:rPr>
          <w:rFonts w:ascii="Times New Roman" w:cs="Times New Roman" w:eastAsia="Times New Roman" w:hAnsi="Times New Roman"/>
          <w:sz w:val="22"/>
          <w:szCs w:val="22"/>
          <w:color w:val="auto"/>
        </w:rPr>
        <w:t>Information concerning the Company is considered nonpublic if it has not been disseminated in a manner making it available to investors generally.</w:t>
      </w:r>
    </w:p>
    <w:p>
      <w:pPr>
        <w:spacing w:after="0" w:line="158" w:lineRule="exact"/>
        <w:rPr>
          <w:sz w:val="20"/>
          <w:szCs w:val="20"/>
          <w:color w:val="auto"/>
        </w:rPr>
      </w:pPr>
    </w:p>
    <w:p>
      <w:pPr>
        <w:ind w:left="20" w:right="20" w:firstLine="749"/>
        <w:spacing w:after="0" w:line="239" w:lineRule="auto"/>
        <w:rPr>
          <w:sz w:val="20"/>
          <w:szCs w:val="20"/>
          <w:color w:val="auto"/>
        </w:rPr>
      </w:pPr>
      <w:r>
        <w:rPr>
          <w:rFonts w:ascii="Times New Roman" w:cs="Times New Roman" w:eastAsia="Times New Roman" w:hAnsi="Times New Roman"/>
          <w:sz w:val="22"/>
          <w:szCs w:val="22"/>
          <w:color w:val="auto"/>
        </w:rPr>
        <w:t>Information will generally be considered nonpublic unless (1) the information has been disclosed in a press release, in a public filing made with the SEC (such as a Report on Form 10- K, Form 10-Q or Form 8-K), or through a news wire service or daily newspaper of wide circulation, and (2) a sufficient amount of time has passed so that the information has had an opportunity to be digested by the marketplace.</w:t>
      </w:r>
    </w:p>
    <w:p>
      <w:pPr>
        <w:spacing w:after="0" w:line="176" w:lineRule="exact"/>
        <w:rPr>
          <w:sz w:val="20"/>
          <w:szCs w:val="20"/>
          <w:color w:val="auto"/>
        </w:rPr>
      </w:pPr>
    </w:p>
    <w:p>
      <w:pPr>
        <w:ind w:left="700" w:hanging="692"/>
        <w:spacing w:after="0"/>
        <w:tabs>
          <w:tab w:leader="none" w:pos="7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PROHIBITIONS RELATING TO TRANSACTIONS IN THE COMPANY’S SECURITIES</w:t>
      </w:r>
    </w:p>
    <w:p>
      <w:pPr>
        <w:spacing w:after="0" w:line="210"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1"/>
          <w:szCs w:val="21"/>
          <w:u w:val="single" w:color="auto"/>
          <w:color w:val="auto"/>
        </w:rPr>
        <w:t>Covered Persons</w:t>
      </w:r>
      <w:r>
        <w:rPr>
          <w:rFonts w:ascii="Times New Roman" w:cs="Times New Roman" w:eastAsia="Times New Roman" w:hAnsi="Times New Roman"/>
          <w:sz w:val="21"/>
          <w:szCs w:val="21"/>
          <w:color w:val="auto"/>
        </w:rPr>
        <w:t>. This Section 2 applies to:</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w:t>
      </w:r>
    </w:p>
    <w:p>
      <w:pPr>
        <w:spacing w:after="0" w:line="206" w:lineRule="exact"/>
        <w:rPr>
          <w:rFonts w:ascii="Times New Roman" w:cs="Times New Roman" w:eastAsia="Times New Roman" w:hAnsi="Times New Roman"/>
          <w:sz w:val="22"/>
          <w:szCs w:val="22"/>
          <w:color w:val="auto"/>
        </w:rPr>
      </w:pPr>
    </w:p>
    <w:p>
      <w:pPr>
        <w:ind w:left="2240" w:right="160" w:hanging="735"/>
        <w:spacing w:after="0" w:line="238" w:lineRule="auto"/>
        <w:tabs>
          <w:tab w:leader="none" w:pos="22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family members of Directors and employees who share the same address as, or are financially dependent on, the Director or employee and any other person who shares the same address as the Director or employee (other than (x) an employee or tenant of the Director or employee or (y) another unrelated person whom the Company’s Chief Operating Officer, Chief Financial Officer or General Counsel determines should not be covered by this policy); and</w:t>
      </w:r>
    </w:p>
    <w:p>
      <w:pPr>
        <w:spacing w:after="0" w:line="176" w:lineRule="exact"/>
        <w:rPr>
          <w:rFonts w:ascii="Times New Roman" w:cs="Times New Roman" w:eastAsia="Times New Roman" w:hAnsi="Times New Roman"/>
          <w:sz w:val="22"/>
          <w:szCs w:val="22"/>
          <w:color w:val="auto"/>
        </w:rPr>
      </w:pPr>
    </w:p>
    <w:p>
      <w:pPr>
        <w:jc w:val="both"/>
        <w:ind w:left="2240" w:right="260" w:hanging="735"/>
        <w:spacing w:after="0" w:line="261" w:lineRule="auto"/>
        <w:tabs>
          <w:tab w:leader="none" w:pos="224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corporations, limited liability companies, partnerships, trusts or other entities controlled by any of the above persons, unless the entity has implemented policies or procedures designed to ensure that such person cannot influence transactions by the entity involving Company securities.</w:t>
      </w:r>
    </w:p>
    <w:p>
      <w:pPr>
        <w:spacing w:after="0" w:line="157"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Prohibition on Trading While Aware of Material Nonpublic Information</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ind w:left="1500"/>
        <w:spacing w:after="0"/>
        <w:tabs>
          <w:tab w:leader="none" w:pos="19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u w:val="single" w:color="auto"/>
          <w:color w:val="auto"/>
        </w:rPr>
        <w:t>Prohibited Activities</w:t>
      </w:r>
      <w:r>
        <w:rPr>
          <w:rFonts w:ascii="Times New Roman" w:cs="Times New Roman" w:eastAsia="Times New Roman" w:hAnsi="Times New Roman"/>
          <w:sz w:val="21"/>
          <w:szCs w:val="21"/>
          <w:color w:val="auto"/>
        </w:rPr>
        <w:t>. Except as provided in Section 2.2(b), no person or entity covered by Section 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w:t>
      </w:r>
    </w:p>
    <w:p>
      <w:pPr>
        <w:spacing w:after="0" w:line="182" w:lineRule="exact"/>
        <w:rPr>
          <w:sz w:val="20"/>
          <w:szCs w:val="20"/>
          <w:color w:val="auto"/>
        </w:rPr>
      </w:pPr>
    </w:p>
    <w:p>
      <w:pPr>
        <w:jc w:val="both"/>
        <w:ind w:left="2980" w:right="60" w:hanging="726"/>
        <w:spacing w:after="0" w:line="244" w:lineRule="auto"/>
        <w:tabs>
          <w:tab w:leader="none" w:pos="2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or donate any securities of the Company while he or she is aware of any material nonpublic information concerning the Company or recommend to another person that they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612140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1440" w:right="479" w:bottom="1440" w:gutter="0" w:footer="0" w:header="0"/>
        </w:sectPr>
      </w:pPr>
    </w:p>
    <w:bookmarkStart w:id="137" w:name="page138"/>
    <w:bookmarkEnd w:id="137"/>
    <w:p>
      <w:pPr>
        <w:spacing w:after="0" w:line="130" w:lineRule="exact"/>
        <w:rPr>
          <w:sz w:val="20"/>
          <w:szCs w:val="20"/>
          <w:color w:val="auto"/>
        </w:rPr>
      </w:pPr>
    </w:p>
    <w:p>
      <w:pPr>
        <w:ind w:left="2980" w:right="280" w:hanging="726"/>
        <w:spacing w:after="0" w:line="244" w:lineRule="auto"/>
        <w:tabs>
          <w:tab w:leader="none" w:pos="29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to any other person any material nonpublic information concerning the Company if such person may misuse that information, such as by purchasing or selling Company securities or tipping that information to others;</w:t>
      </w:r>
    </w:p>
    <w:p>
      <w:pPr>
        <w:spacing w:after="0" w:line="173" w:lineRule="exact"/>
        <w:rPr>
          <w:rFonts w:ascii="Times New Roman" w:cs="Times New Roman" w:eastAsia="Times New Roman" w:hAnsi="Times New Roman"/>
          <w:sz w:val="22"/>
          <w:szCs w:val="22"/>
          <w:color w:val="auto"/>
        </w:rPr>
      </w:pPr>
    </w:p>
    <w:p>
      <w:pPr>
        <w:ind w:left="2980" w:right="520" w:hanging="726"/>
        <w:spacing w:after="0" w:line="239" w:lineRule="auto"/>
        <w:tabs>
          <w:tab w:leader="none" w:pos="29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or donate any securities of another company while he or she is aware of any material nonpublic information concerning such other company which he or she learned in the course of his or her service as a Director or employee of the Company or recommend to another person that they do so; or</w:t>
      </w:r>
    </w:p>
    <w:p>
      <w:pPr>
        <w:spacing w:after="0" w:line="180" w:lineRule="exact"/>
        <w:rPr>
          <w:rFonts w:ascii="Times New Roman" w:cs="Times New Roman" w:eastAsia="Times New Roman" w:hAnsi="Times New Roman"/>
          <w:sz w:val="22"/>
          <w:szCs w:val="22"/>
          <w:color w:val="auto"/>
        </w:rPr>
      </w:pPr>
    </w:p>
    <w:p>
      <w:pPr>
        <w:ind w:left="3000" w:right="100" w:hanging="746"/>
        <w:spacing w:after="0" w:line="255" w:lineRule="auto"/>
        <w:tabs>
          <w:tab w:leader="none" w:pos="300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 to any other person any material nonpublic information concerning another company which he or she learned in the course of his or her service as a Director or employee of the Company if such person may misuse that information, such as by purchasing or selling securities of such other company or tipping that information to others.</w:t>
      </w:r>
    </w:p>
    <w:p>
      <w:pPr>
        <w:spacing w:after="0" w:line="161" w:lineRule="exact"/>
        <w:rPr>
          <w:rFonts w:ascii="Times New Roman" w:cs="Times New Roman" w:eastAsia="Times New Roman" w:hAnsi="Times New Roman"/>
          <w:sz w:val="21"/>
          <w:szCs w:val="21"/>
          <w:color w:val="auto"/>
        </w:rPr>
      </w:pPr>
    </w:p>
    <w:p>
      <w:pPr>
        <w:ind w:left="1900" w:hanging="395"/>
        <w:spacing w:after="0"/>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The prohibitions in Sections 2.2(a) and 2.3 on purchases, sales and donations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securities do not apply to:</w:t>
      </w:r>
    </w:p>
    <w:p>
      <w:pPr>
        <w:spacing w:after="0" w:line="182" w:lineRule="exact"/>
        <w:rPr>
          <w:sz w:val="20"/>
          <w:szCs w:val="20"/>
          <w:color w:val="auto"/>
        </w:rPr>
      </w:pPr>
    </w:p>
    <w:p>
      <w:pPr>
        <w:ind w:left="2980" w:right="140" w:hanging="726"/>
        <w:spacing w:after="0" w:line="248" w:lineRule="auto"/>
        <w:tabs>
          <w:tab w:leader="none" w:pos="298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exercises of stock options or other equity awards or the surrender of shares to the Company in payment of the exercise price or in satisfaction of any tax withholding obligations, in each case in a manner permitted by the applicable equity award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the securities issued upon exercise of such stock options or equity awards may not be sold (either outright or in connection with a “cashless” exercise transaction through a broker) while the employee or Director is aware of material nonpublic information or during an applicable blackout period (as defined in Section 2.3(b));</w:t>
      </w:r>
    </w:p>
    <w:p>
      <w:pPr>
        <w:spacing w:after="0" w:line="170" w:lineRule="exact"/>
        <w:rPr>
          <w:rFonts w:ascii="Times New Roman" w:cs="Times New Roman" w:eastAsia="Times New Roman" w:hAnsi="Times New Roman"/>
          <w:sz w:val="21"/>
          <w:szCs w:val="21"/>
          <w:color w:val="auto"/>
        </w:rPr>
      </w:pPr>
    </w:p>
    <w:p>
      <w:pPr>
        <w:ind w:left="3000" w:hanging="746"/>
        <w:spacing w:after="0" w:line="239" w:lineRule="auto"/>
        <w:tabs>
          <w:tab w:leader="none" w:pos="30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acquisitions or dispositions of Company common stock under the Company’s 401(k) or other individual account plan that are made pursuant to standing instructions not entered into or modified while the employee or Director is aware of material nonpublic information or during an applicable blackout period;</w:t>
      </w:r>
    </w:p>
    <w:p>
      <w:pPr>
        <w:spacing w:after="0" w:line="180" w:lineRule="exact"/>
        <w:rPr>
          <w:rFonts w:ascii="Times New Roman" w:cs="Times New Roman" w:eastAsia="Times New Roman" w:hAnsi="Times New Roman"/>
          <w:sz w:val="22"/>
          <w:szCs w:val="22"/>
          <w:color w:val="auto"/>
        </w:rPr>
      </w:pPr>
    </w:p>
    <w:p>
      <w:pPr>
        <w:ind w:left="3000" w:right="120" w:hanging="746"/>
        <w:spacing w:after="0" w:line="256" w:lineRule="auto"/>
        <w:tabs>
          <w:tab w:leader="none" w:pos="30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purchases of securities from the Company (including purchases under the Company’s Employee Stock Purchase Plan) or</w:t>
      </w:r>
    </w:p>
    <w:p>
      <w:pPr>
        <w:jc w:val="both"/>
        <w:ind w:left="3000" w:right="28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securities to the Company; provided, however, that if the transaction involves the exercise of stock options or other equity awards, the transaction must be permitted by the first bullet above;</w:t>
      </w:r>
    </w:p>
    <w:p>
      <w:pPr>
        <w:spacing w:after="0" w:line="173" w:lineRule="exact"/>
        <w:rPr>
          <w:rFonts w:ascii="Times New Roman" w:cs="Times New Roman" w:eastAsia="Times New Roman" w:hAnsi="Times New Roman"/>
          <w:sz w:val="22"/>
          <w:szCs w:val="22"/>
          <w:color w:val="auto"/>
        </w:rPr>
      </w:pPr>
    </w:p>
    <w:p>
      <w:pPr>
        <w:ind w:left="2980" w:right="340" w:hanging="726"/>
        <w:spacing w:after="0" w:line="244" w:lineRule="auto"/>
        <w:tabs>
          <w:tab w:leader="none" w:pos="2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bona fide gifts, unless the donor has reason to believe that the recipient intends to sell the securities while the donor is aware of material nonpublic information or during an applicable blackout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612140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138" w:name="page139"/>
    <w:bookmarkEnd w:id="138"/>
    <w:p>
      <w:pPr>
        <w:spacing w:after="0" w:line="130" w:lineRule="exact"/>
        <w:rPr>
          <w:sz w:val="20"/>
          <w:szCs w:val="20"/>
          <w:color w:val="auto"/>
        </w:rPr>
      </w:pPr>
    </w:p>
    <w:p>
      <w:pPr>
        <w:ind w:left="2240" w:hanging="746"/>
        <w:spacing w:after="0" w:line="244" w:lineRule="auto"/>
        <w:tabs>
          <w:tab w:leader="none" w:pos="224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purchases or sales made pursuant to a binding contract, written plan or specific instruction (a “trading plan”) which is adopted and operated in compliance with Rule 10b5-1;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trading plan: (1) is in writing; (2) was submitted to the Company for review by the Company prior to its adoption; and (3) was not adopted while the employee or Director was aware of material nonpublic information or during an applicable blackout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such trading plan is adopted within two weeks prior to the commencement of a regular blackout period (as defined in Section 2.3(a)), trades may not occur pursuant to such trading plan prior to the termination of such regular blackout period;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 any trade under such trading plan shall not occur until at least 30 days after the date of such trading plan, and (ii) if such trading plan is amended in any material respect or terminated, trades may not occur pursuant to such trading plan or a subsequent trading plan until at least 30 days after such amendment or termination;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such trading plan provides for trades to occur only once per quarter or less frequently (other than a plan that relates solely to the immediate sale of shares acquired under an employee stock purchase plan), such trading plan may not provide for trades to occur during a regularly scheduled quarter-end corporate news blackout period.</w:t>
      </w:r>
    </w:p>
    <w:p>
      <w:pPr>
        <w:spacing w:after="0" w:line="175" w:lineRule="exact"/>
        <w:rPr>
          <w:rFonts w:ascii="Times New Roman" w:cs="Times New Roman" w:eastAsia="Times New Roman" w:hAnsi="Times New Roman"/>
          <w:sz w:val="21"/>
          <w:szCs w:val="21"/>
          <w:color w:val="auto"/>
        </w:rPr>
      </w:pPr>
    </w:p>
    <w:p>
      <w:pPr>
        <w:ind w:left="-760" w:right="80" w:firstLine="1505"/>
        <w:spacing w:after="0" w:line="239" w:lineRule="auto"/>
        <w:tabs>
          <w:tab w:leader="none" w:pos="115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Policy After Cessation of Service</w:t>
      </w:r>
      <w:r>
        <w:rPr>
          <w:rFonts w:ascii="Times New Roman" w:cs="Times New Roman" w:eastAsia="Times New Roman" w:hAnsi="Times New Roman"/>
          <w:sz w:val="22"/>
          <w:szCs w:val="22"/>
          <w:color w:val="auto"/>
        </w:rPr>
        <w:t>. If a person ceases to be a Director or employee of the Company at a time when he or she is aware of material nonpublic information concerning the Company, the prohibition on purchases, sales or donations of Company securities in Section 2.2(a) shall continue to apply to such person until that information has become public or is no longer material.</w:t>
      </w:r>
    </w:p>
    <w:p>
      <w:pPr>
        <w:spacing w:after="0" w:line="18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Blackout Periods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60" w:right="340" w:firstLine="1505"/>
        <w:spacing w:after="0" w:line="239" w:lineRule="auto"/>
        <w:tabs>
          <w:tab w:leader="none" w:pos="114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Blackout Periods</w:t>
      </w:r>
      <w:r>
        <w:rPr>
          <w:rFonts w:ascii="Times New Roman" w:cs="Times New Roman" w:eastAsia="Times New Roman" w:hAnsi="Times New Roman"/>
          <w:sz w:val="22"/>
          <w:szCs w:val="22"/>
          <w:color w:val="auto"/>
        </w:rPr>
        <w:t>. Except as provided in Section 2.2(b), no person or entity covered by this Section 2 may purchase, sell or donate any securities of the Company during the period beginning on the last day of each fiscal quarter and ending upon the completion of the second full trading day after the public announcement of earnings for such quarter (a “regular blackout period”).</w:t>
      </w:r>
    </w:p>
    <w:p>
      <w:pPr>
        <w:spacing w:after="0" w:line="18" w:lineRule="exact"/>
        <w:rPr>
          <w:rFonts w:ascii="Times New Roman" w:cs="Times New Roman" w:eastAsia="Times New Roman" w:hAnsi="Times New Roman"/>
          <w:sz w:val="22"/>
          <w:szCs w:val="22"/>
          <w:color w:val="auto"/>
        </w:rPr>
      </w:pPr>
    </w:p>
    <w:p>
      <w:pPr>
        <w:ind w:left="-760" w:right="180" w:firstLine="1505"/>
        <w:spacing w:after="0" w:line="236" w:lineRule="auto"/>
        <w:tabs>
          <w:tab w:leader="none" w:pos="115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News Blackout Periods</w:t>
      </w:r>
      <w:r>
        <w:rPr>
          <w:rFonts w:ascii="Times New Roman" w:cs="Times New Roman" w:eastAsia="Times New Roman" w:hAnsi="Times New Roman"/>
          <w:sz w:val="22"/>
          <w:szCs w:val="22"/>
          <w:color w:val="auto"/>
        </w:rPr>
        <w:t>. The Company may from time to time notify Directors, executive officers and other specified employees that an additional blackout period (a “corporate news blackout period”) is in effect in view of significant events or developments involving the Company. In such event, except as provided in Section 2.2(b), no such individual may purchase, sell or donate any securities of the Company during such corporate news blackout period or inform anyone else that a corporate news blackout period is in effect. (In this policy, regular blackout periods and corporate news blackout periods are each referred to as a “blackout period.”)</w:t>
      </w:r>
    </w:p>
    <w:p>
      <w:pPr>
        <w:spacing w:after="0" w:line="181" w:lineRule="exact"/>
        <w:rPr>
          <w:rFonts w:ascii="Times New Roman" w:cs="Times New Roman" w:eastAsia="Times New Roman" w:hAnsi="Times New Roman"/>
          <w:sz w:val="22"/>
          <w:szCs w:val="22"/>
          <w:color w:val="auto"/>
        </w:rPr>
      </w:pPr>
    </w:p>
    <w:p>
      <w:pPr>
        <w:ind w:left="-760" w:right="160" w:firstLine="1505"/>
        <w:spacing w:after="0" w:line="244" w:lineRule="auto"/>
        <w:tabs>
          <w:tab w:leader="none" w:pos="115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Awareness of Material Non-Public Information when a Blackout Period is Not in Effect</w:t>
      </w:r>
      <w:r>
        <w:rPr>
          <w:rFonts w:ascii="Times New Roman" w:cs="Times New Roman" w:eastAsia="Times New Roman" w:hAnsi="Times New Roman"/>
          <w:sz w:val="22"/>
          <w:szCs w:val="22"/>
          <w:color w:val="auto"/>
        </w:rPr>
        <w:t>. Even if no blackout period is then in effect, if a person is aware of material nonpublic information the prohibitions contained in Section 2.2(a)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612140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1200" w:top="1440" w:right="539" w:bottom="1440" w:gutter="0" w:footer="0" w:header="0"/>
        </w:sectPr>
      </w:pPr>
    </w:p>
    <w:bookmarkStart w:id="139" w:name="page140"/>
    <w:bookmarkEnd w:id="139"/>
    <w:p>
      <w:pPr>
        <w:spacing w:after="0" w:line="13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Prohibition on Pledges</w:t>
      </w:r>
      <w:r>
        <w:rPr>
          <w:rFonts w:ascii="Times New Roman" w:cs="Times New Roman" w:eastAsia="Times New Roman" w:hAnsi="Times New Roman"/>
          <w:sz w:val="22"/>
          <w:szCs w:val="22"/>
          <w:color w:val="auto"/>
        </w:rPr>
        <w:t>. No person or entity covered by this Section 2 may purchase Company securities on margin, borrow against Company securities held in a margin account, or pledge Company securities as collateral for a loan. However, an exception may be granted in extraordinary situations where a person wishes to pledge Company securities as collateral for a loan (other than a margin loan) and clearly demonstrates the financial capacity to repay the loan without resort to the pledged securities. Any person who wishes to pledge Company securities as collateral for a loan must submit a request for approval to the Chief Operating Officer, the Chief Financial Officer or the General Counsel. In addition, any such request by a director or executive officer must also be reviewed and approved by the Audit Committee.</w:t>
      </w:r>
    </w:p>
    <w:p>
      <w:pPr>
        <w:spacing w:after="0" w:line="183" w:lineRule="exact"/>
        <w:rPr>
          <w:sz w:val="20"/>
          <w:szCs w:val="20"/>
          <w:color w:val="auto"/>
        </w:rPr>
      </w:pPr>
    </w:p>
    <w:p>
      <w:pPr>
        <w:ind w:right="620" w:firstLine="749"/>
        <w:spacing w:after="0" w:line="258"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Prohibition on Short Sales and Derivative Transactions</w:t>
      </w:r>
      <w:r>
        <w:rPr>
          <w:rFonts w:ascii="Times New Roman" w:cs="Times New Roman" w:eastAsia="Times New Roman" w:hAnsi="Times New Roman"/>
          <w:sz w:val="22"/>
          <w:szCs w:val="22"/>
          <w:color w:val="auto"/>
        </w:rPr>
        <w:t>. No person or entity covered by this Section 2 may engage in any of the following types of transactions:</w:t>
      </w:r>
    </w:p>
    <w:p>
      <w:pPr>
        <w:spacing w:after="0" w:line="158" w:lineRule="exact"/>
        <w:rPr>
          <w:sz w:val="20"/>
          <w:szCs w:val="20"/>
          <w:color w:val="auto"/>
        </w:rPr>
      </w:pPr>
    </w:p>
    <w:p>
      <w:pPr>
        <w:ind w:left="2240" w:hanging="735"/>
        <w:spacing w:after="0"/>
        <w:tabs>
          <w:tab w:leader="none" w:pos="22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of Company securities, including short sales “against the box”; or</w:t>
      </w:r>
    </w:p>
    <w:p>
      <w:pPr>
        <w:spacing w:after="0" w:line="206" w:lineRule="exact"/>
        <w:rPr>
          <w:rFonts w:ascii="Times New Roman" w:cs="Times New Roman" w:eastAsia="Times New Roman" w:hAnsi="Times New Roman"/>
          <w:sz w:val="22"/>
          <w:szCs w:val="22"/>
          <w:color w:val="auto"/>
        </w:rPr>
      </w:pPr>
    </w:p>
    <w:p>
      <w:pPr>
        <w:ind w:left="2240" w:hanging="735"/>
        <w:spacing w:after="0"/>
        <w:tabs>
          <w:tab w:leader="none" w:pos="224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or sales of puts, calls or other derivative securities based on the Company’s securities; or</w:t>
      </w:r>
    </w:p>
    <w:p>
      <w:pPr>
        <w:spacing w:after="0" w:line="217" w:lineRule="exact"/>
        <w:rPr>
          <w:rFonts w:ascii="Times New Roman" w:cs="Times New Roman" w:eastAsia="Times New Roman" w:hAnsi="Times New Roman"/>
          <w:sz w:val="21"/>
          <w:szCs w:val="21"/>
          <w:color w:val="auto"/>
        </w:rPr>
      </w:pPr>
    </w:p>
    <w:p>
      <w:pPr>
        <w:ind w:left="2220" w:right="240" w:hanging="715"/>
        <w:spacing w:after="0" w:line="244" w:lineRule="auto"/>
        <w:tabs>
          <w:tab w:leader="none" w:pos="22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financial instruments (including prepaid variable forward contracts, equity swaps, collars and exchange funds) that are designed to hedge or offset any decrease in the market value of Company securities.</w:t>
      </w:r>
    </w:p>
    <w:p>
      <w:pPr>
        <w:spacing w:after="0" w:line="173"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Partnership Distributions</w:t>
      </w:r>
      <w:r>
        <w:rPr>
          <w:rFonts w:ascii="Times New Roman" w:cs="Times New Roman" w:eastAsia="Times New Roman" w:hAnsi="Times New Roman"/>
          <w:sz w:val="22"/>
          <w:szCs w:val="22"/>
          <w:color w:val="auto"/>
        </w:rPr>
        <w:t>.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7" w:lineRule="exact"/>
        <w:rPr>
          <w:sz w:val="20"/>
          <w:szCs w:val="20"/>
          <w:color w:val="auto"/>
        </w:rPr>
      </w:pPr>
    </w:p>
    <w:p>
      <w:pPr>
        <w:ind w:right="880" w:firstLine="749"/>
        <w:spacing w:after="0" w:line="256"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Underwritten Public Offering</w:t>
      </w:r>
      <w:r>
        <w:rPr>
          <w:rFonts w:ascii="Times New Roman" w:cs="Times New Roman" w:eastAsia="Times New Roman" w:hAnsi="Times New Roman"/>
          <w:sz w:val="22"/>
          <w:szCs w:val="22"/>
          <w:color w:val="auto"/>
        </w:rPr>
        <w:t>. Nothing in this policy is intended to limit the ability of any person to sell Company securities as a selling stockholder in an underwritten</w:t>
      </w:r>
    </w:p>
    <w:p>
      <w:pPr>
        <w:ind w:left="20"/>
        <w:spacing w:after="0"/>
        <w:rPr>
          <w:sz w:val="20"/>
          <w:szCs w:val="20"/>
          <w:color w:val="auto"/>
        </w:rPr>
      </w:pPr>
      <w:r>
        <w:rPr>
          <w:rFonts w:ascii="Times New Roman" w:cs="Times New Roman" w:eastAsia="Times New Roman" w:hAnsi="Times New Roman"/>
          <w:sz w:val="22"/>
          <w:szCs w:val="22"/>
          <w:color w:val="auto"/>
        </w:rPr>
        <w:t>public offering pursuant to an effective registration statement in accordance with applicable securities law.</w:t>
      </w:r>
    </w:p>
    <w:p>
      <w:pPr>
        <w:spacing w:after="0" w:line="202" w:lineRule="exact"/>
        <w:rPr>
          <w:sz w:val="20"/>
          <w:szCs w:val="20"/>
          <w:color w:val="auto"/>
        </w:rPr>
      </w:pPr>
    </w:p>
    <w:p>
      <w:pPr>
        <w:ind w:left="740" w:right="840" w:hanging="732"/>
        <w:spacing w:after="0" w:line="262" w:lineRule="auto"/>
        <w:tabs>
          <w:tab w:leader="none" w:pos="7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PROHIBITIONS APPLICABLE TO DIRECTORS, EXECUTIVE OFFICERS AND DESIGNATED EMPLOYEES</w:t>
      </w:r>
    </w:p>
    <w:p>
      <w:pPr>
        <w:spacing w:after="0" w:line="153"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w:t>
      </w:r>
      <w:r>
        <w:rPr>
          <w:rFonts w:ascii="Times New Roman" w:cs="Times New Roman" w:eastAsia="Times New Roman" w:hAnsi="Times New Roman"/>
          <w:sz w:val="21"/>
          <w:szCs w:val="21"/>
          <w:u w:val="single" w:color="auto"/>
          <w:color w:val="auto"/>
        </w:rPr>
        <w:t>Covered Persons</w:t>
      </w:r>
      <w:r>
        <w:rPr>
          <w:rFonts w:ascii="Times New Roman" w:cs="Times New Roman" w:eastAsia="Times New Roman" w:hAnsi="Times New Roman"/>
          <w:sz w:val="21"/>
          <w:szCs w:val="21"/>
          <w:color w:val="auto"/>
        </w:rPr>
        <w:t>. This Section 3 applies to:</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executive officers;</w:t>
      </w:r>
    </w:p>
    <w:p>
      <w:pPr>
        <w:spacing w:after="0" w:line="206" w:lineRule="exact"/>
        <w:rPr>
          <w:rFonts w:ascii="Times New Roman" w:cs="Times New Roman" w:eastAsia="Times New Roman" w:hAnsi="Times New Roman"/>
          <w:sz w:val="22"/>
          <w:szCs w:val="22"/>
          <w:color w:val="auto"/>
        </w:rPr>
      </w:pPr>
    </w:p>
    <w:p>
      <w:pPr>
        <w:ind w:left="2240" w:right="80" w:hanging="735"/>
        <w:spacing w:after="0" w:line="244" w:lineRule="auto"/>
        <w:tabs>
          <w:tab w:leader="none" w:pos="22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employees as are designated from time to time by the Board of Directors, the Chief Executive Officer, the Chief Operating Officer, the Chief Financial Officer or the General Counsel as being subject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612140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1440" w:right="599" w:bottom="1440" w:gutter="0" w:footer="0" w:header="0"/>
        </w:sectPr>
      </w:pPr>
    </w:p>
    <w:bookmarkStart w:id="140" w:name="page141"/>
    <w:bookmarkEnd w:id="140"/>
    <w:p>
      <w:pPr>
        <w:spacing w:after="0" w:line="13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Section 3 (the “Designated Employees”);</w:t>
      </w:r>
    </w:p>
    <w:p>
      <w:pPr>
        <w:spacing w:after="0" w:line="206" w:lineRule="exact"/>
        <w:rPr>
          <w:sz w:val="20"/>
          <w:szCs w:val="20"/>
          <w:color w:val="auto"/>
        </w:rPr>
      </w:pPr>
    </w:p>
    <w:p>
      <w:pPr>
        <w:ind w:left="2220" w:right="160" w:hanging="735"/>
        <w:spacing w:after="0" w:line="249" w:lineRule="auto"/>
        <w:tabs>
          <w:tab w:leader="none" w:pos="22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family members of Directors, executive officers and Designated Employees who share the same address as, or are financially dependent on, the Director, executive officer or Designated Employee and any other person who shares the same address as the Director, executive officer or Designated Employee (other than (x) an employee or tenant of the Director, executive officer or Designated Employee or (y) another unrelated person whom the Chief Operating Officer, the Chief Financial Officer or the General Counsel determines should not be covered by this policy); and</w:t>
      </w:r>
    </w:p>
    <w:p>
      <w:pPr>
        <w:spacing w:after="0" w:line="170" w:lineRule="exact"/>
        <w:rPr>
          <w:rFonts w:ascii="Times New Roman" w:cs="Times New Roman" w:eastAsia="Times New Roman" w:hAnsi="Times New Roman"/>
          <w:sz w:val="21"/>
          <w:szCs w:val="21"/>
          <w:color w:val="auto"/>
        </w:rPr>
      </w:pPr>
    </w:p>
    <w:p>
      <w:pPr>
        <w:jc w:val="both"/>
        <w:ind w:left="2220" w:right="260" w:hanging="735"/>
        <w:spacing w:after="0" w:line="261" w:lineRule="auto"/>
        <w:tabs>
          <w:tab w:leader="none" w:pos="22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corporations, limited liability companies, partnerships, trusts or other entities controlled by any of the above persons, unless the entity has implemented policies or procedures designed to ensure that such person cannot influence transactions by the entity involving Company securities.</w:t>
      </w:r>
    </w:p>
    <w:p>
      <w:pPr>
        <w:spacing w:after="0" w:line="157"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Notice and Pre-Clearance of Transactions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 w:right="100" w:firstLine="1505"/>
        <w:spacing w:after="0" w:line="246" w:lineRule="auto"/>
        <w:tabs>
          <w:tab w:leader="none" w:pos="189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Pre-Transaction Clearance</w:t>
      </w:r>
      <w:r>
        <w:rPr>
          <w:rFonts w:ascii="Times New Roman" w:cs="Times New Roman" w:eastAsia="Times New Roman" w:hAnsi="Times New Roman"/>
          <w:sz w:val="21"/>
          <w:szCs w:val="21"/>
          <w:color w:val="auto"/>
        </w:rPr>
        <w:t>. No person or entity covered by this Section 3 (a “Pre-Clearance Person”) may purchase or sell or otherwise acquire or dispose of securities of the Company, other than in a transaction permitted under Section 2.2(b), unless such person pre- clears the transaction with one of the Chief Operating Officer, the Chief Financial Officer or the General Counsel. A request for pre-clearance shall be made in accordance with the procedures established by the General Counsel or, if none, the Chief Operating Officer or the Chief Financial Officer. The Chief Operating Officer, the Chief Financial Officer and the General Counsel (or any of them acting singly) shall have sole discretion to decide whether to clear any contemplated transaction. The General Counsel (or, if none, the Chief Executive Officer) shall have sole discretion to decide whether to clear transactions by the Chief Operating Officer or the Chief Financial Officer or persons or entities subject to this policy as a result of their relationship with the Chief Operating Officer or the Chief Financial Officer, and the Chief Operating Officer and the Chief Financial Officer (or either acting singly) shall have sole discretion to decide</w:t>
      </w:r>
    </w:p>
    <w:p>
      <w:pPr>
        <w:spacing w:after="0" w:line="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 xml:space="preserve">whether to clear transactions by the General Counsel or persons or entities subject to this policy as a result of their relationship with the General Counsel. All trades that are pre-cleared must be effected within three business days of receipt of the pre-clearance unless a longer or shorter period has been specified by the General Counsel, the Chief Operating Officer or the Chief Financial Officer, as applicable. A pre-cleared trade (or any portion of a pre-cleared trade) that has not been effected during the three business day period must be pre-cleared again prior to execution. </w:t>
      </w:r>
      <w:r>
        <w:rPr>
          <w:rFonts w:ascii="Times New Roman" w:cs="Times New Roman" w:eastAsia="Times New Roman" w:hAnsi="Times New Roman"/>
          <w:sz w:val="21"/>
          <w:szCs w:val="21"/>
          <w:b w:val="1"/>
          <w:bCs w:val="1"/>
          <w:color w:val="auto"/>
        </w:rPr>
        <w:t>Notwithstanding receipt of pre-clearance, if the</w:t>
      </w:r>
    </w:p>
    <w:p>
      <w:pPr>
        <w:spacing w:after="0" w:line="1"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22"/>
          <w:szCs w:val="22"/>
          <w:b w:val="1"/>
          <w:bCs w:val="1"/>
          <w:color w:val="auto"/>
        </w:rPr>
        <w:t>Pre-Clearance Person becomes aware of material non-public information or becomes subject to a blackout period before the transaction is effected, the transaction may not be completed.</w:t>
      </w:r>
    </w:p>
    <w:p>
      <w:pPr>
        <w:spacing w:after="0" w:line="178" w:lineRule="exact"/>
        <w:rPr>
          <w:sz w:val="20"/>
          <w:szCs w:val="20"/>
          <w:color w:val="auto"/>
        </w:rPr>
      </w:pPr>
    </w:p>
    <w:p>
      <w:pPr>
        <w:ind w:left="-20" w:right="120" w:firstLine="1489"/>
        <w:spacing w:after="0" w:line="238" w:lineRule="auto"/>
        <w:tabs>
          <w:tab w:leader="none" w:pos="187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Post-Transaction Notice</w:t>
      </w:r>
      <w:r>
        <w:rPr>
          <w:rFonts w:ascii="Times New Roman" w:cs="Times New Roman" w:eastAsia="Times New Roman" w:hAnsi="Times New Roman"/>
          <w:sz w:val="22"/>
          <w:szCs w:val="22"/>
          <w:color w:val="auto"/>
        </w:rPr>
        <w:t>. Each person or entity covered by this Section 3 who is subject to reporting obligations under Section 16 of the Exchange Act shall also notify the Chief Operating Officer, the Chief Financial Officer or the General Counsel (or his or her designee) of the occurrence of any purchase, sale or other acquisition or disposition of securities of the Company as soon as possible following the transaction, but in any event within one business day after the transaction. Such notification may be oral or in writing (including by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614045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1440" w:right="479" w:bottom="1440" w:gutter="0" w:footer="0" w:header="0"/>
        </w:sectPr>
      </w:pPr>
    </w:p>
    <w:bookmarkStart w:id="141" w:name="page142"/>
    <w:bookmarkEnd w:id="141"/>
    <w:p>
      <w:pPr>
        <w:spacing w:after="0" w:line="13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mail) and should include the identity of the covered person, the type of transaction, the date of the transaction, the number of shares involved and the purchase or sale price.</w:t>
      </w:r>
    </w:p>
    <w:p>
      <w:pPr>
        <w:spacing w:after="0" w:line="158" w:lineRule="exact"/>
        <w:rPr>
          <w:sz w:val="20"/>
          <w:szCs w:val="20"/>
          <w:color w:val="auto"/>
        </w:rPr>
      </w:pPr>
    </w:p>
    <w:p>
      <w:pPr>
        <w:jc w:val="both"/>
        <w:ind w:right="220" w:firstLine="1505"/>
        <w:spacing w:after="0" w:line="244" w:lineRule="auto"/>
        <w:tabs>
          <w:tab w:leader="none" w:pos="1907"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Time of a Transaction</w:t>
      </w:r>
      <w:r>
        <w:rPr>
          <w:rFonts w:ascii="Times New Roman" w:cs="Times New Roman" w:eastAsia="Times New Roman" w:hAnsi="Times New Roman"/>
          <w:sz w:val="22"/>
          <w:szCs w:val="22"/>
          <w:color w:val="auto"/>
        </w:rPr>
        <w:t>. For purposes of this Section 3.2, a purchase, sale or other acquisition or disposition shall be deemed to occur at the time the person becomes irrevocably committed to it (for example, in the case of an open market purchase or sale, this occurs when the trade is executed, not when it settles).</w:t>
      </w:r>
    </w:p>
    <w:p>
      <w:pPr>
        <w:spacing w:after="0" w:line="169"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REGULATION BTR</w:t>
      </w:r>
    </w:p>
    <w:p>
      <w:pPr>
        <w:spacing w:after="0" w:line="210"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is required to impose a “pension fund blackout period” under Regulation BTR, each Director and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executive officer shall not, directly or indirectly sell,</w:t>
      </w:r>
    </w:p>
    <w:p>
      <w:pPr>
        <w:ind w:left="20" w:right="120"/>
        <w:spacing w:after="0" w:line="237" w:lineRule="auto"/>
        <w:rPr>
          <w:sz w:val="20"/>
          <w:szCs w:val="20"/>
          <w:color w:val="auto"/>
        </w:rPr>
      </w:pPr>
      <w:r>
        <w:rPr>
          <w:rFonts w:ascii="Times New Roman" w:cs="Times New Roman" w:eastAsia="Times New Roman" w:hAnsi="Times New Roman"/>
          <w:sz w:val="22"/>
          <w:szCs w:val="22"/>
          <w:color w:val="auto"/>
        </w:rPr>
        <w:t>purchase or otherwise transfer during such blackout period any equity securities of the Company acquired in connection with his or her service as a director or officer of the Company, except as permitted by Regulation BTR.</w:t>
      </w:r>
    </w:p>
    <w:p>
      <w:pPr>
        <w:spacing w:after="0" w:line="174" w:lineRule="exact"/>
        <w:rPr>
          <w:sz w:val="20"/>
          <w:szCs w:val="20"/>
          <w:color w:val="auto"/>
        </w:rPr>
      </w:pPr>
    </w:p>
    <w:p>
      <w:pPr>
        <w:ind w:left="760" w:hanging="752"/>
        <w:spacing w:after="0"/>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PENALTIES FOR VIOLATION</w:t>
      </w:r>
    </w:p>
    <w:p>
      <w:pPr>
        <w:spacing w:after="0" w:line="210" w:lineRule="exact"/>
        <w:rPr>
          <w:sz w:val="20"/>
          <w:szCs w:val="20"/>
          <w:color w:val="auto"/>
        </w:rPr>
      </w:pPr>
    </w:p>
    <w:p>
      <w:pPr>
        <w:ind w:left="20" w:firstLine="749"/>
        <w:spacing w:after="0" w:line="239" w:lineRule="auto"/>
        <w:rPr>
          <w:sz w:val="20"/>
          <w:szCs w:val="20"/>
          <w:color w:val="auto"/>
        </w:rPr>
      </w:pPr>
      <w:r>
        <w:rPr>
          <w:rFonts w:ascii="Times New Roman" w:cs="Times New Roman" w:eastAsia="Times New Roman" w:hAnsi="Times New Roman"/>
          <w:sz w:val="22"/>
          <w:szCs w:val="22"/>
          <w:color w:val="auto"/>
        </w:rPr>
        <w:t>Violation of any of the foregoing rules is grounds for disciplinary action by the Company, including termination of employment. In addition to any disciplinary actions the Company may take, insider trading can also result in administrative, civil or criminal proceedings which can result in significant fines and civil penalties, being barred from service as an officer or director of a public company, or imprisonment.</w:t>
      </w:r>
    </w:p>
    <w:p>
      <w:pPr>
        <w:spacing w:after="0" w:line="176" w:lineRule="exact"/>
        <w:rPr>
          <w:sz w:val="20"/>
          <w:szCs w:val="20"/>
          <w:color w:val="auto"/>
        </w:rPr>
      </w:pPr>
    </w:p>
    <w:p>
      <w:pPr>
        <w:ind w:left="760" w:hanging="752"/>
        <w:spacing w:after="0"/>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 ASSISTANCE AND EDUCATION</w:t>
      </w:r>
    </w:p>
    <w:p>
      <w:pPr>
        <w:spacing w:after="0" w:line="210" w:lineRule="exact"/>
        <w:rPr>
          <w:sz w:val="20"/>
          <w:szCs w:val="20"/>
          <w:color w:val="auto"/>
        </w:rPr>
      </w:pPr>
    </w:p>
    <w:p>
      <w:pPr>
        <w:jc w:val="both"/>
        <w:ind w:right="120" w:firstLine="749"/>
        <w:spacing w:after="0" w:line="244" w:lineRule="auto"/>
        <w:rPr>
          <w:sz w:val="20"/>
          <w:szCs w:val="20"/>
          <w:color w:val="auto"/>
        </w:rPr>
      </w:pPr>
      <w:r>
        <w:rPr>
          <w:rFonts w:ascii="Times New Roman" w:cs="Times New Roman" w:eastAsia="Times New Roman" w:hAnsi="Times New Roman"/>
          <w:sz w:val="22"/>
          <w:szCs w:val="22"/>
          <w:color w:val="auto"/>
        </w:rPr>
        <w:t>6.1</w:t>
      </w:r>
      <w:r>
        <w:rPr>
          <w:rFonts w:ascii="Times New Roman" w:cs="Times New Roman" w:eastAsia="Times New Roman" w:hAnsi="Times New Roman"/>
          <w:sz w:val="22"/>
          <w:szCs w:val="22"/>
          <w:u w:val="single" w:color="auto"/>
          <w:color w:val="auto"/>
        </w:rPr>
        <w:t>Education</w:t>
      </w:r>
      <w:r>
        <w:rPr>
          <w:rFonts w:ascii="Times New Roman" w:cs="Times New Roman" w:eastAsia="Times New Roman" w:hAnsi="Times New Roman"/>
          <w:sz w:val="22"/>
          <w:szCs w:val="22"/>
          <w:color w:val="auto"/>
        </w:rPr>
        <w:t>. The Company shall take reasonable steps designed to ensure that all Directors and employees of the Company are educated about, and periodically reminded of, the federal securities law restrictions and Company policies regarding insider trading.</w:t>
      </w:r>
    </w:p>
    <w:p>
      <w:pPr>
        <w:spacing w:after="0" w:line="11"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21"/>
          <w:szCs w:val="21"/>
          <w:color w:val="auto"/>
        </w:rPr>
        <w:t>6.2</w:t>
      </w:r>
      <w:r>
        <w:rPr>
          <w:rFonts w:ascii="Times New Roman" w:cs="Times New Roman" w:eastAsia="Times New Roman" w:hAnsi="Times New Roman"/>
          <w:sz w:val="21"/>
          <w:szCs w:val="21"/>
          <w:u w:val="single" w:color="auto"/>
          <w:color w:val="auto"/>
        </w:rPr>
        <w:t>Assistance</w:t>
      </w:r>
      <w:r>
        <w:rPr>
          <w:rFonts w:ascii="Times New Roman" w:cs="Times New Roman" w:eastAsia="Times New Roman" w:hAnsi="Times New Roman"/>
          <w:sz w:val="21"/>
          <w:szCs w:val="21"/>
          <w:color w:val="auto"/>
        </w:rPr>
        <w:t>. 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spacing w:after="0" w:line="15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Limitation on Liability</w:t>
      </w:r>
      <w:r>
        <w:rPr>
          <w:rFonts w:ascii="Times New Roman" w:cs="Times New Roman" w:eastAsia="Times New Roman" w:hAnsi="Times New Roman"/>
          <w:sz w:val="22"/>
          <w:szCs w:val="22"/>
          <w:color w:val="auto"/>
        </w:rPr>
        <w:t>. None of the Company, the Chief Operating Officer, the Chief Financial Officer, the General Counsel or the Company’s other employees will have any liability for any delay in reviewing, or refusal of, a trading plan submitted pursuant to Section 2.2(b), a request for pre-clearance submitted pursuant to Section 3.2(a) or a request to allow a pledge submitted pursuant to Section 2.4. Notwithstanding any review of a trading plan pursuant to Section 2.2(b) or pre-clearance of a transaction pursuant to Section 3.2(a), none of the Company, the Chief Operating Officer, the Chief Financial Officer, the General Counsel or the Company’s other employees assumes any liability for the legality or consequences of such trading plan or transaction to the person engaging in or adopting such trading plan or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618490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1440" w:right="5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3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33" w:lineRule="exact"/>
        <w:rPr>
          <w:sz w:val="20"/>
          <w:szCs w:val="20"/>
          <w:color w:val="auto"/>
        </w:rPr>
      </w:pPr>
    </w:p>
    <w:p>
      <w:pPr>
        <w:ind w:left="760" w:hanging="378"/>
        <w:spacing w:after="0" w:line="241"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333-233452) pertaining to the 2016 Stock Incentive Plan, as amended, 2019 Stock Incentive Plan, and 2019 Employee Stock Purchase Plan of Fulcrum Therapeutics, Inc.;</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333-236910) pertaining to the 2019 Stock Incentive Plan and 2019 Employee Stock Purchase Plan of Fulcrum Therapeutics, Inc.;</w:t>
      </w:r>
    </w:p>
    <w:p>
      <w:pPr>
        <w:spacing w:after="0" w:line="1" w:lineRule="exact"/>
        <w:rPr>
          <w:rFonts w:ascii="Times New Roman" w:cs="Times New Roman" w:eastAsia="Times New Roman" w:hAnsi="Times New Roman"/>
          <w:sz w:val="22"/>
          <w:szCs w:val="22"/>
          <w:color w:val="auto"/>
        </w:rPr>
      </w:pPr>
    </w:p>
    <w:p>
      <w:pPr>
        <w:ind w:left="760" w:right="2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S-1 No. 333-239353) and related Prospectus of Fulcrum Therapeutics, Inc. (as amended by Form S-3/A No. 333-239353);</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333-253862) pertaining to the 2019 Stock Incentive Plan and 2019 Employee Stock Purchase Plan of Fulcrum Therapeutics, Inc.,</w:t>
      </w:r>
    </w:p>
    <w:p>
      <w:pPr>
        <w:spacing w:after="0" w:line="1" w:lineRule="exact"/>
        <w:rPr>
          <w:rFonts w:ascii="Times New Roman" w:cs="Times New Roman" w:eastAsia="Times New Roman" w:hAnsi="Times New Roman"/>
          <w:sz w:val="22"/>
          <w:szCs w:val="22"/>
          <w:color w:val="auto"/>
        </w:rPr>
      </w:pPr>
    </w:p>
    <w:p>
      <w:pPr>
        <w:ind w:left="760" w:hanging="378"/>
        <w:spacing w:after="0" w:line="241" w:lineRule="auto"/>
        <w:tabs>
          <w:tab w:leader="none" w:pos="7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Registration Statement (Form S-8 No. 333-262356) pertaining to the 2019 Stock Incentive Plan, 2019 Employee Stock Purchase Plan, and Inducement Stock Option Awards (September 2021 – January 2022) of Fulcrum Therapeutics, Inc.;</w:t>
      </w:r>
    </w:p>
    <w:p>
      <w:pPr>
        <w:spacing w:after="0" w:line="1" w:lineRule="exact"/>
        <w:rPr>
          <w:rFonts w:ascii="Times New Roman" w:cs="Times New Roman" w:eastAsia="Times New Roman" w:hAnsi="Times New Roman"/>
          <w:sz w:val="21"/>
          <w:szCs w:val="21"/>
          <w:color w:val="auto"/>
        </w:rPr>
      </w:pP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333-263249) pertaining to 2022 Inducement Stock Incentive Plan, and Inducement Stock Option Award (February 2022) of Fulcrum Therapeutics, Inc.;</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333-270385) pertaining to the 2019 Stock Incentive Plan, 2019 Employee Stock Purchase Plan, and 2022 Inducement Stock Incentive Plan, as amended, of Fulcrum Therapeutics, Inc.</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333-277419) and related Prospectuses of Fulcrum Therapeutics, Inc.;</w:t>
      </w:r>
    </w:p>
    <w:p>
      <w:pPr>
        <w:jc w:val="both"/>
        <w:ind w:left="760" w:hanging="378"/>
        <w:spacing w:after="0" w:line="241" w:lineRule="auto"/>
        <w:tabs>
          <w:tab w:leader="none" w:pos="7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Registration Statement (Form S-8 No. 333-277421) pertaining to the 2019 Stock Incentive Plan, 2019 Employee Stock Purchase Plan, 2022 Inducement Stock Incentive Plan, as amended, and Inducement Stock Option Awards (August 2023</w:t>
      </w:r>
    </w:p>
    <w:p>
      <w:pPr>
        <w:spacing w:after="0" w:line="1" w:lineRule="exact"/>
        <w:rPr>
          <w:rFonts w:ascii="Times New Roman" w:cs="Times New Roman" w:eastAsia="Times New Roman" w:hAnsi="Times New Roman"/>
          <w:sz w:val="21"/>
          <w:szCs w:val="21"/>
          <w:color w:val="auto"/>
        </w:rPr>
      </w:pPr>
    </w:p>
    <w:p>
      <w:pPr>
        <w:ind w:left="76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December 2023) of Fulcrum Therapeutics, Inc.; and</w:t>
      </w:r>
    </w:p>
    <w:p>
      <w:pPr>
        <w:ind w:left="760" w:right="20" w:hanging="378"/>
        <w:spacing w:after="0" w:line="237"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333-281119) pertaining to the 2022 Inducement Stock Incentive Plan, as amended, of Fulcrum Therapeutics,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our report dated February 25, 2025, with respect to the consolidated financial statements of Fulcrum Therapeutics,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included in this Annual Report (Form 10-K) of Fulcrum Therapeutics, Inc. for the year ended December 31,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3" w:name="page144"/>
    <w:bookmarkEnd w:id="14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C. Sapir, certify that:</w:t>
      </w:r>
    </w:p>
    <w:p>
      <w:pPr>
        <w:spacing w:after="0" w:line="117" w:lineRule="exact"/>
        <w:rPr>
          <w:sz w:val="20"/>
          <w:szCs w:val="20"/>
          <w:color w:val="auto"/>
        </w:rPr>
      </w:pPr>
    </w:p>
    <w:p>
      <w:pPr>
        <w:ind w:left="700" w:hanging="183"/>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25, 2025</w:t>
            </w:r>
          </w:p>
        </w:tc>
        <w:tc>
          <w:tcPr>
            <w:tcW w:w="72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Alex C. Sapir</w:t>
            </w:r>
          </w:p>
        </w:tc>
      </w:tr>
      <w:tr>
        <w:trPr>
          <w:trHeight w:val="191"/>
        </w:trPr>
        <w:tc>
          <w:tcPr>
            <w:tcW w:w="40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4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Alex C. Sapir</w:t>
            </w:r>
          </w:p>
        </w:tc>
      </w:tr>
      <w:tr>
        <w:trPr>
          <w:trHeight w:val="216"/>
        </w:trPr>
        <w:tc>
          <w:tcPr>
            <w:tcW w:w="4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0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40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Musso, certify that:</w:t>
      </w:r>
    </w:p>
    <w:p>
      <w:pPr>
        <w:spacing w:after="0" w:line="117" w:lineRule="exact"/>
        <w:rPr>
          <w:sz w:val="20"/>
          <w:szCs w:val="20"/>
          <w:color w:val="auto"/>
        </w:rPr>
      </w:pPr>
    </w:p>
    <w:p>
      <w:pPr>
        <w:ind w:left="700" w:hanging="183"/>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25, 2025</w:t>
            </w:r>
          </w:p>
        </w:tc>
        <w:tc>
          <w:tcPr>
            <w:tcW w:w="70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Alan Musso</w:t>
            </w:r>
          </w:p>
        </w:tc>
      </w:tr>
      <w:tr>
        <w:trPr>
          <w:trHeight w:val="191"/>
        </w:trPr>
        <w:tc>
          <w:tcPr>
            <w:tcW w:w="42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1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Alan Musso</w:t>
            </w:r>
          </w:p>
        </w:tc>
      </w:tr>
      <w:tr>
        <w:trPr>
          <w:trHeight w:val="216"/>
        </w:trPr>
        <w:tc>
          <w:tcPr>
            <w:tcW w:w="4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42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Fulcrum Therapeutics, Inc. (the “Company”) for the year ended December 31, 2024,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3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Fulcrum Therapeutics, Inc. (the “Company”) for the year ended December 31, 2024, as filed with the Securities and Exchange Commission on the date hereof (the “Report”), the undersigned, Alan Musso, Chief Financial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780" w:hanging="263"/>
        <w:spacing w:after="0"/>
        <w:tabs>
          <w:tab w:leader="none" w:pos="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tab/>
        <w:t>/s/ Alan Musso</w:t>
      </w:r>
    </w:p>
    <w:p>
      <w:pPr>
        <w:spacing w:after="0" w:line="3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5">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7" w:name="page148"/>
    <w:bookmarkEnd w:id="1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1)"/>
      <w:numFmt w:val="decimal"/>
      <w:start w:val="2"/>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1)"/>
      <w:numFmt w:val="lowerLetter"/>
      <w:start w:val="2"/>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lowerRoman"/>
      <w:start w:val="1"/>
    </w:lvl>
  </w:abstractNum>
  <w:abstractNum w:abstractNumId="60">
    <w:nsid w:val="540A471C"/>
    <w:multiLevelType w:val="hybridMultilevel"/>
    <w:lvl w:ilvl="0">
      <w:lvlJc w:val="left"/>
      <w:lvlText w:val="(%1)"/>
      <w:numFmt w:val="lowerRoman"/>
      <w:start w:val="1"/>
    </w:lvl>
  </w:abstractNum>
  <w:abstractNum w:abstractNumId="61">
    <w:nsid w:val="7BD3EE7B"/>
    <w:multiLevelType w:val="hybridMultilevel"/>
    <w:lvl w:ilvl="0">
      <w:lvlJc w:val="left"/>
      <w:lvlText w:val="(%1)"/>
      <w:numFmt w:val="lowerRoman"/>
      <w:start w:val="3"/>
    </w:lvl>
  </w:abstractNum>
  <w:abstractNum w:abstractNumId="62">
    <w:nsid w:val="51D9C564"/>
    <w:multiLevelType w:val="hybridMultilevel"/>
    <w:lvl w:ilvl="0">
      <w:lvlJc w:val="left"/>
      <w:lvlText w:val="#"/>
      <w:numFmt w:val="bullet"/>
      <w:start w:val="1"/>
    </w:lvl>
    <w:lvl w:ilvl="1">
      <w:lvlJc w:val="left"/>
      <w:lvlText w:val="%2"/>
      <w:numFmt w:val="decimal"/>
      <w:start w:val="104"/>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1."/>
      <w:numFmt w:val="decimal"/>
      <w:start w:val="2"/>
    </w:lvl>
    <w:lvl w:ilvl="1">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1)"/>
      <w:numFmt w:val="lowerLetter"/>
      <w:start w:val="1"/>
    </w:lvl>
    <w:lvl w:ilvl="1">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1)"/>
      <w:numFmt w:val="lowerLetter"/>
      <w:start w:val="2"/>
    </w:lvl>
    <w:lvl w:ilvl="1">
      <w:lvlJc w:val="left"/>
      <w:lvlText w:val="▪"/>
      <w:numFmt w:val="bullet"/>
      <w:start w:val="1"/>
    </w:lvl>
  </w:abstractNum>
  <w:abstractNum w:abstractNumId="73">
    <w:nsid w:val="60B6DF70"/>
    <w:multiLevelType w:val="hybridMultilevel"/>
    <w:lvl w:ilvl="0">
      <w:lvlJc w:val="left"/>
      <w:lvlText w:val="(%1)"/>
      <w:numFmt w:val="lowerLetter"/>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1."/>
      <w:numFmt w:val="decimal"/>
      <w:start w:val="3"/>
    </w:lvl>
    <w:lvl w:ilvl="1">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1)"/>
      <w:numFmt w:val="lowerLetter"/>
      <w:start w:val="1"/>
    </w:lvl>
  </w:abstractNum>
  <w:abstractNum w:abstractNumId="78">
    <w:nsid w:val="71EA1109"/>
    <w:multiLevelType w:val="hybridMultilevel"/>
    <w:lvl w:ilvl="0">
      <w:lvlJc w:val="left"/>
      <w:lvlText w:val="(%1)"/>
      <w:numFmt w:val="lowerLetter"/>
      <w:start w:val="2"/>
    </w:lvl>
  </w:abstractNum>
  <w:abstractNum w:abstractNumId="79">
    <w:nsid w:val="100F59DC"/>
    <w:multiLevelType w:val="hybridMultilevel"/>
    <w:lvl w:ilvl="0">
      <w:lvlJc w:val="left"/>
      <w:lvlText w:val="%1"/>
      <w:numFmt w:val="decimal"/>
      <w:start w:val="1"/>
    </w:lvl>
    <w:lvl w:ilvl="1">
      <w:lvlJc w:val="left"/>
      <w:lvlText w:val="(%2)"/>
      <w:numFmt w:val="lowerLetter"/>
      <w:start w:val="3"/>
    </w:lvl>
  </w:abstractNum>
  <w:abstractNum w:abstractNumId="80">
    <w:nsid w:val="7FB7E0AA"/>
    <w:multiLevelType w:val="hybridMultilevel"/>
    <w:lvl w:ilvl="0">
      <w:lvlJc w:val="left"/>
      <w:lvlText w:val="%1."/>
      <w:numFmt w:val="decimal"/>
      <w:start w:val="4"/>
    </w:lvl>
    <w:lvl w:ilvl="1">
      <w:lvlJc w:val="left"/>
      <w:lvlText w:val="%2"/>
      <w:numFmt w:val="lowerLetter"/>
      <w:start w:val="1"/>
    </w:lvl>
  </w:abstractNum>
  <w:abstractNum w:abstractNumId="81">
    <w:nsid w:val="6EB5BD4"/>
    <w:multiLevelType w:val="hybridMultilevel"/>
    <w:lvl w:ilvl="0">
      <w:lvlJc w:val="left"/>
      <w:lvlText w:val="%1."/>
      <w:numFmt w:val="decimal"/>
      <w:start w:val="5"/>
    </w:lvl>
  </w:abstractNum>
  <w:abstractNum w:abstractNumId="82">
    <w:nsid w:val="6F6DD9AC"/>
    <w:multiLevelType w:val="hybridMultilevel"/>
    <w:lvl w:ilvl="0">
      <w:lvlJc w:val="left"/>
      <w:lvlText w:val="%1."/>
      <w:numFmt w:val="decimal"/>
      <w:start w:val="6"/>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10" Type="http://schemas.openxmlformats.org/officeDocument/2006/relationships/image" Target="media/image283.png"/><Relationship Id="rId311" Type="http://schemas.openxmlformats.org/officeDocument/2006/relationships/image" Target="media/image284.png"/><Relationship Id="rId312"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7" Type="http://schemas.openxmlformats.org/officeDocument/2006/relationships/image" Target="media/image302.png"/><Relationship Id="rId338" Type="http://schemas.openxmlformats.org/officeDocument/2006/relationships/image" Target="media/image303.png"/><Relationship Id="rId339" Type="http://schemas.openxmlformats.org/officeDocument/2006/relationships/image" Target="media/image304.png"/><Relationship Id="rId341" Type="http://schemas.openxmlformats.org/officeDocument/2006/relationships/image" Target="media/image305.png"/><Relationship Id="rId342" Type="http://schemas.openxmlformats.org/officeDocument/2006/relationships/image" Target="media/image306.png"/><Relationship Id="rId343" Type="http://schemas.openxmlformats.org/officeDocument/2006/relationships/image" Target="media/image307.png"/><Relationship Id="rId345" Type="http://schemas.openxmlformats.org/officeDocument/2006/relationships/image" Target="media/image308.png"/><Relationship Id="rId346" Type="http://schemas.openxmlformats.org/officeDocument/2006/relationships/image" Target="media/image309.png"/><Relationship Id="rId347"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3" Type="http://schemas.openxmlformats.org/officeDocument/2006/relationships/image" Target="media/image314.png"/><Relationship Id="rId354" Type="http://schemas.openxmlformats.org/officeDocument/2006/relationships/image" Target="media/image315.png"/><Relationship Id="rId355"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2" Type="http://schemas.openxmlformats.org/officeDocument/2006/relationships/image" Target="media/image321.png"/><Relationship Id="rId363" Type="http://schemas.openxmlformats.org/officeDocument/2006/relationships/image" Target="media/image322.png"/><Relationship Id="rId364" Type="http://schemas.openxmlformats.org/officeDocument/2006/relationships/image" Target="media/image323.png"/><Relationship Id="rId366" Type="http://schemas.openxmlformats.org/officeDocument/2006/relationships/image" Target="media/image324.png"/><Relationship Id="rId367" Type="http://schemas.openxmlformats.org/officeDocument/2006/relationships/image" Target="media/image325.png"/><Relationship Id="rId368" Type="http://schemas.openxmlformats.org/officeDocument/2006/relationships/image" Target="media/image326.png"/><Relationship Id="rId369" Type="http://schemas.openxmlformats.org/officeDocument/2006/relationships/image" Target="media/image327.png"/><Relationship Id="rId370" Type="http://schemas.openxmlformats.org/officeDocument/2006/relationships/image" Target="media/image328.png"/><Relationship Id="rId371" Type="http://schemas.openxmlformats.org/officeDocument/2006/relationships/image" Target="media/image329.png"/><Relationship Id="rId373" Type="http://schemas.openxmlformats.org/officeDocument/2006/relationships/image" Target="media/image330.png"/><Relationship Id="rId374" Type="http://schemas.openxmlformats.org/officeDocument/2006/relationships/image" Target="media/image331.png"/><Relationship Id="rId375" Type="http://schemas.openxmlformats.org/officeDocument/2006/relationships/image" Target="media/image332.png"/><Relationship Id="rId376"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png"/><Relationship Id="rId381" Type="http://schemas.openxmlformats.org/officeDocument/2006/relationships/image" Target="media/image338.png"/><Relationship Id="rId382" Type="http://schemas.openxmlformats.org/officeDocument/2006/relationships/image" Target="media/image339.png"/><Relationship Id="rId383"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386" Type="http://schemas.openxmlformats.org/officeDocument/2006/relationships/image" Target="media/image343.png"/><Relationship Id="rId387" Type="http://schemas.openxmlformats.org/officeDocument/2006/relationships/image" Target="media/image344.png"/><Relationship Id="rId388" Type="http://schemas.openxmlformats.org/officeDocument/2006/relationships/image" Target="media/image345.png"/><Relationship Id="rId389" Type="http://schemas.openxmlformats.org/officeDocument/2006/relationships/image" Target="media/image346.png"/><Relationship Id="rId390" Type="http://schemas.openxmlformats.org/officeDocument/2006/relationships/image" Target="media/image347.png"/><Relationship Id="rId391" Type="http://schemas.openxmlformats.org/officeDocument/2006/relationships/image" Target="media/image348.png"/><Relationship Id="rId392" Type="http://schemas.openxmlformats.org/officeDocument/2006/relationships/image" Target="media/image349.png"/><Relationship Id="rId393" Type="http://schemas.openxmlformats.org/officeDocument/2006/relationships/image" Target="media/image350.png"/><Relationship Id="rId394" Type="http://schemas.openxmlformats.org/officeDocument/2006/relationships/image" Target="media/image351.png"/><Relationship Id="rId395" Type="http://schemas.openxmlformats.org/officeDocument/2006/relationships/image" Target="media/image352.png"/><Relationship Id="rId396" Type="http://schemas.openxmlformats.org/officeDocument/2006/relationships/image" Target="media/image353.png"/><Relationship Id="rId397" Type="http://schemas.openxmlformats.org/officeDocument/2006/relationships/image" Target="media/image354.png"/><Relationship Id="rId398" Type="http://schemas.openxmlformats.org/officeDocument/2006/relationships/image" Target="media/image355.png"/><Relationship Id="rId399" Type="http://schemas.openxmlformats.org/officeDocument/2006/relationships/image" Target="media/image356.png"/><Relationship Id="rId400" Type="http://schemas.openxmlformats.org/officeDocument/2006/relationships/image" Target="media/image357.png"/><Relationship Id="rId401" Type="http://schemas.openxmlformats.org/officeDocument/2006/relationships/image" Target="media/image358.png"/><Relationship Id="rId402" Type="http://schemas.openxmlformats.org/officeDocument/2006/relationships/image" Target="media/image359.png"/><Relationship Id="rId403" Type="http://schemas.openxmlformats.org/officeDocument/2006/relationships/image" Target="media/image360.png"/><Relationship Id="rId404" Type="http://schemas.openxmlformats.org/officeDocument/2006/relationships/image" Target="media/image361.png"/><Relationship Id="rId405" Type="http://schemas.openxmlformats.org/officeDocument/2006/relationships/image" Target="media/image362.png"/><Relationship Id="rId406" Type="http://schemas.openxmlformats.org/officeDocument/2006/relationships/image" Target="media/image363.png"/><Relationship Id="rId288" Type="http://schemas.openxmlformats.org/officeDocument/2006/relationships/hyperlink" Target="https://www.sec.gov/Archives/edgar/data/0001680581/000104746919004324/a2239321zex-3_1.htm" TargetMode="External"/><Relationship Id="rId289" Type="http://schemas.openxmlformats.org/officeDocument/2006/relationships/hyperlink" Target="https://www.sec.gov/Archives/edgar/data/1680581/000119312523164435/d463131dex31.htm" TargetMode="External"/><Relationship Id="rId290" Type="http://schemas.openxmlformats.org/officeDocument/2006/relationships/hyperlink" Target="https://www.sec.gov/Archives/edgar/data/0001680581/000104746919004324/a2239321zex-3_2.htm" TargetMode="External"/><Relationship Id="rId291" Type="http://schemas.openxmlformats.org/officeDocument/2006/relationships/hyperlink" Target="https://www.sec.gov/Archives/edgar/data/1680581/000104746919003793/a2239080zex-4_1.htm" TargetMode="External"/><Relationship Id="rId292" Type="http://schemas.openxmlformats.org/officeDocument/2006/relationships/hyperlink" Target="https://www.sec.gov/Archives/edgar/data/1680581/000156459020008951/fulc-ex42_198.htm" TargetMode="External"/><Relationship Id="rId293" Type="http://schemas.openxmlformats.org/officeDocument/2006/relationships/hyperlink" Target="https://www.sec.gov/Archives/edgar/data/1680581/000104746919003793/a2239080zex-10_2.htm" TargetMode="External"/><Relationship Id="rId294" Type="http://schemas.openxmlformats.org/officeDocument/2006/relationships/hyperlink" Target="https://www.sec.gov/Archives/edgar/data/1680581/000104746919003793/a2239080zex-10_3.htm" TargetMode="External"/><Relationship Id="rId295" Type="http://schemas.openxmlformats.org/officeDocument/2006/relationships/hyperlink" Target="https://www.sec.gov/Archives/edgar/data/1680581/000104746919003793/a2239080zex-10_4.htm" TargetMode="External"/><Relationship Id="rId296" Type="http://schemas.openxmlformats.org/officeDocument/2006/relationships/hyperlink" Target="https://www.sec.gov/Archives/edgar/data/1680581/000104746919003793/a2239080zex-10_5.htm" TargetMode="External"/><Relationship Id="rId297" Type="http://schemas.openxmlformats.org/officeDocument/2006/relationships/hyperlink" Target="https://www.sec.gov/Archives/edgar/data/0001680581/000104746919004014/a2239182zex-10_6.htm" TargetMode="External"/><Relationship Id="rId298" Type="http://schemas.openxmlformats.org/officeDocument/2006/relationships/hyperlink" Target="https://www.sec.gov/Archives/edgar/data/0001680581/000104746919004014/a2239182zex-10_7.htm" TargetMode="External"/><Relationship Id="rId299" Type="http://schemas.openxmlformats.org/officeDocument/2006/relationships/hyperlink" Target="https://www.sec.gov/Archives/edgar/data/1680581/000156459021054234/fulc-ex101_13.htm" TargetMode="External"/><Relationship Id="rId300" Type="http://schemas.openxmlformats.org/officeDocument/2006/relationships/hyperlink" Target="https://www.sec.gov/Archives/edgar/data/1680581/000095017022002727/fulc-ex10_10.htm" TargetMode="External"/><Relationship Id="rId301" Type="http://schemas.openxmlformats.org/officeDocument/2006/relationships/hyperlink" Target="https://www.sec.gov/Archives/edgar/data/0001680581/000104746919004014/a2239182zex-10_8.htm" TargetMode="External"/><Relationship Id="rId302" Type="http://schemas.openxmlformats.org/officeDocument/2006/relationships/hyperlink" Target="https://www.sec.gov/Archives/edgar/data/1680581/000095017022002727/fulc-ex10_12.htm" TargetMode="External"/><Relationship Id="rId303" Type="http://schemas.openxmlformats.org/officeDocument/2006/relationships/hyperlink" Target="https://www.sec.gov/Archives/edgar/data/1680581/000095017023006841/fulc-ex10_13.htm" TargetMode="External"/><Relationship Id="rId304" Type="http://schemas.openxmlformats.org/officeDocument/2006/relationships/hyperlink" Target="https://www.sec.gov/Archives/edgar/data/1680581/000095017024021074/fulc-ex10_12.htm" TargetMode="External"/><Relationship Id="rId305" Type="http://schemas.openxmlformats.org/officeDocument/2006/relationships/hyperlink" Target="https://www.sec.gov/Archives/edgar/data/1680581/000095017024088238/fulc-ex10_2.htm" TargetMode="External"/><Relationship Id="rId306" Type="http://schemas.openxmlformats.org/officeDocument/2006/relationships/hyperlink" Target="https://www.sec.gov/Archives/edgar/data/1680581/000095017022002727/fulc-ex10_13.htm" TargetMode="External"/><Relationship Id="rId309" Type="http://schemas.openxmlformats.org/officeDocument/2006/relationships/hyperlink" Target="https://www.sec.gov/Archives/edgar/data/1680581/000095017022002727/fulc-ex10_14.htm" TargetMode="External"/><Relationship Id="rId313" Type="http://schemas.openxmlformats.org/officeDocument/2006/relationships/hyperlink" Target="https://www.sec.gov/Archives/edgar/data/0001680581/000104746919004014/a2239182zex-10_12.htm" TargetMode="External"/><Relationship Id="rId316" Type="http://schemas.openxmlformats.org/officeDocument/2006/relationships/hyperlink" Target="https://www.sec.gov/Archives/edgar/data/1680581/000095017023037579/fulc-ex10_2.htm" TargetMode="External"/><Relationship Id="rId319" Type="http://schemas.openxmlformats.org/officeDocument/2006/relationships/hyperlink" Target="https://www.sec.gov/Archives/edgar/data/1680581/000095017023059755/fulc-ex10_2.htm" TargetMode="External"/><Relationship Id="rId322" Type="http://schemas.openxmlformats.org/officeDocument/2006/relationships/hyperlink" Target="https://www.sec.gov/Archives/edgar/data/1680581/000156459021010715/fulc-ex1016_279.htm" TargetMode="External"/><Relationship Id="rId325" Type="http://schemas.openxmlformats.org/officeDocument/2006/relationships/hyperlink" Target="https://www.sec.gov/Archives/edgar/data/1680581/000095017024058193/fulc-ex10_1.htm" TargetMode="External"/><Relationship Id="rId328" Type="http://schemas.openxmlformats.org/officeDocument/2006/relationships/hyperlink" Target="https://www.sec.gov/Archives/edgar/data/0001680581/000104746919003793/a2239080zex-10_15.htm" TargetMode="External"/><Relationship Id="rId332" Type="http://schemas.openxmlformats.org/officeDocument/2006/relationships/hyperlink" Target="https://www.sec.gov/Archives/edgar/data/1680581/000156459020052732/fulc-ex101_12.htm" TargetMode="External"/><Relationship Id="rId336" Type="http://schemas.openxmlformats.org/officeDocument/2006/relationships/hyperlink" Target="https://www.sec.gov/Archives/edgar/data/1680581/000095017023037579/fulc-ex10_1.htm" TargetMode="External"/><Relationship Id="rId340" Type="http://schemas.openxmlformats.org/officeDocument/2006/relationships/hyperlink" Target="https://www.sec.gov/Archives/edgar/data/1680581/000095017024088238/fulc-ex10_3.htm" TargetMode="External"/><Relationship Id="rId344" Type="http://schemas.openxmlformats.org/officeDocument/2006/relationships/hyperlink" Target="https://www.sec.gov/Archives/edgar/data/1680581/000095017023059755/fulc-ex10_1.htm" TargetMode="External"/><Relationship Id="rId348" Type="http://schemas.openxmlformats.org/officeDocument/2006/relationships/hyperlink" Target="https://www.sec.gov/Archives/edgar/data/1680581/000095017024088238/fulc-ex10_1.htm" TargetMode="External"/><Relationship Id="rId352" Type="http://schemas.openxmlformats.org/officeDocument/2006/relationships/hyperlink" Target="https://www.sec.gov/Archives/edgar/data/1680581/000104746919003793/a2239080zex-10_11.htm" TargetMode="External"/><Relationship Id="rId356" Type="http://schemas.openxmlformats.org/officeDocument/2006/relationships/hyperlink" Target="https://www.sec.gov/Archives/edgar/data/1680581/000119312524048095/d785884dex12.htm" TargetMode="External"/><Relationship Id="rId361" Type="http://schemas.openxmlformats.org/officeDocument/2006/relationships/hyperlink" Target="https://www.sec.gov/Archives/edgar/data/1680581/000119312524205347/d98656dex41.htm" TargetMode="External"/><Relationship Id="rId365" Type="http://schemas.openxmlformats.org/officeDocument/2006/relationships/hyperlink" Target="https://www.sec.gov/Archives/edgar/data/1680581/000095017024021074/fulc-ex21_1.htm" TargetMode="External"/><Relationship Id="rId372" Type="http://schemas.openxmlformats.org/officeDocument/2006/relationships/hyperlink" Target="https://www.sec.gov/Archives/edgar/data/1680581/000095017024021074/fulc-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2025-02-25T06:20:40Z</dcterms:created>
  <dcterms:modified xsi:type="dcterms:W3CDTF">2025-02-25T06:20:40Z</dcterms:modified>
</cp:coreProperties>
</file>