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19, 2021, Fulcrum Therapeutics, Inc. (the “Company”) entered into an underwriting agreement (the “Underwriting Agreement”) with SVB Leerink LLC, Piper Sandler &amp; Co. and Credit Suisse Securities (USA) LLC as representatives of the several underwriters (the “Underwriters”), relating to an underwritten public offering of 4,000,000 shares (the “Shares”) of the Company’s common stock, par value $0.001 per share (the “Common Stock”). All of the Shares are being sold by the Company. The price to the public is $11.00 per share, and the Underwriters have agreed to purchase the Shares from the Company pursuant to the Underwriting Agreement at a price of $10.34 per share. Under the terms of the Underwriting Agreement, the Company granted the Underwriters an option, exercisable for 30 days, to purchase up to an additional 600,000 shares of Common Stock (the “Additional Shares”) at the same price per share as the Shares.</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$41.2 million, or approximately $47.4 million if the Underwriters exercise in full their option to purchase Additional Shares, in each case after deducting underwriting discounts and commissions and estimated offering expenses.</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Shares will be issued pursuant to a shelf registration statement on Form S-3 that was filed with the Securities and Exchange Commission (the “SEC”) on August 11, 2020 and declared effective by the SEC on August 17, 2020 (File No. 333-244136). A prospectus supplement relating to the offering has been filed with the SEC. The closing of the offering is expected to take place on or about January 22, 2021, subject to the satisfaction of customary closing conditions.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and agreements by the Company, customary conditions to closing, indemnification obligations of the Company and the underwriter,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A copy of the Underwriting Agreement is attached as Exhibit 1.1 hereto and is incorporated herein by reference. The foregoing description of the material terms of the Underwriting Agreement does not purport to be complete and is qualified in its entirety by reference to such exhibit.</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Wilmer Cutler Pickering Hale and Dorr LLP relating to the Shares and Additional Shares is attached as Exhibit 5.1 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January 19, 2021, the Company issued a press release announcing the pricing of the offering. A copy of the press release has been filed as Exhibit 99.1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120" w:type="dxa"/>
            <w:vAlign w:val="bottom"/>
          </w:tcPr>
          <w:p>
            <w:pPr>
              <w:spacing w:after="0"/>
              <w:rPr>
                <w:sz w:val="16"/>
                <w:szCs w:val="16"/>
                <w:color w:val="auto"/>
              </w:rPr>
            </w:pPr>
          </w:p>
        </w:tc>
        <w:tc>
          <w:tcPr>
            <w:tcW w:w="7440" w:type="dxa"/>
            <w:vAlign w:val="bottom"/>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rPr>
                <w:sz w:val="22"/>
                <w:szCs w:val="22"/>
                <w:color w:val="auto"/>
              </w:rPr>
            </w:pPr>
          </w:p>
        </w:tc>
        <w:tc>
          <w:tcPr>
            <w:tcW w:w="9560" w:type="dxa"/>
            <w:vAlign w:val="bottom"/>
            <w:tcBorders>
              <w:top w:val="single" w:sz="8" w:color="auto"/>
            </w:tcBorders>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Underwriting Agreement, January 19, 2021, by and among the Company and SVB Leerink LLC, Piper Sandler &amp; Co. and Credit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Suisse Securities (USA) LLC</w:t>
              </w:r>
            </w:hyperlink>
          </w:p>
        </w:tc>
        <w:tc>
          <w:tcPr>
            <w:tcW w:w="71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r>
      <w:tr>
        <w:trPr>
          <w:trHeight w:val="345"/>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spacing w:after="0"/>
              <w:rPr>
                <w:sz w:val="24"/>
                <w:szCs w:val="24"/>
                <w:color w:val="auto"/>
              </w:rPr>
            </w:pPr>
          </w:p>
        </w:tc>
        <w:tc>
          <w:tcPr>
            <w:tcW w:w="9560" w:type="dxa"/>
            <w:vAlign w:val="bottom"/>
            <w:gridSpan w:val="3"/>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Opinion of Wilmer Cutler Pickering Hale and Dorr LLP</w:t>
              </w:r>
            </w:hyperlink>
          </w:p>
        </w:tc>
      </w:tr>
      <w:tr>
        <w:trPr>
          <w:trHeight w:val="324"/>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95"/>
              </w:rPr>
              <w:t>23.1</w:t>
            </w:r>
          </w:p>
        </w:tc>
        <w:tc>
          <w:tcPr>
            <w:tcW w:w="740" w:type="dxa"/>
            <w:vAlign w:val="bottom"/>
          </w:tcPr>
          <w:p>
            <w:pPr>
              <w:spacing w:after="0"/>
              <w:rPr>
                <w:sz w:val="24"/>
                <w:szCs w:val="24"/>
                <w:color w:val="auto"/>
              </w:rPr>
            </w:pPr>
          </w:p>
        </w:tc>
        <w:tc>
          <w:tcPr>
            <w:tcW w:w="9560" w:type="dxa"/>
            <w:vAlign w:val="bottom"/>
            <w:gridSpan w:val="3"/>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Consent of Wilmer Cutler Pickering Hale and Dorr LLP (contained in Exhibit 5.1 above)</w:t>
              </w:r>
            </w:hyperlink>
          </w:p>
        </w:tc>
      </w:tr>
      <w:tr>
        <w:trPr>
          <w:trHeight w:val="324"/>
        </w:trPr>
        <w:tc>
          <w:tcPr>
            <w:tcW w:w="7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95"/>
              </w:rPr>
              <w:t>99.1</w:t>
            </w:r>
          </w:p>
        </w:tc>
        <w:tc>
          <w:tcPr>
            <w:tcW w:w="740" w:type="dxa"/>
            <w:vAlign w:val="bottom"/>
          </w:tcPr>
          <w:p>
            <w:pPr>
              <w:spacing w:after="0"/>
              <w:rPr>
                <w:sz w:val="24"/>
                <w:szCs w:val="24"/>
                <w:color w:val="auto"/>
              </w:rPr>
            </w:pPr>
          </w:p>
        </w:tc>
        <w:tc>
          <w:tcPr>
            <w:tcW w:w="9560" w:type="dxa"/>
            <w:vAlign w:val="bottom"/>
            <w:gridSpan w:val="3"/>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Press Release, dated January 19, 2021</w:t>
              </w:r>
            </w:hyperlink>
          </w:p>
        </w:tc>
      </w:tr>
    </w:tbl>
    <w:p>
      <w:pPr>
        <w:sectPr>
          <w:pgSz w:w="11900" w:h="16838" w:orient="portrait"/>
          <w:cols w:equalWidth="0" w:num="1">
            <w:col w:w="11020"/>
          </w:cols>
          <w:pgMar w:left="440" w:top="266"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 January 20,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Robert J. Gould</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4,000,000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2021</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January 19,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Leerink LLC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One Federal Street, 37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345 Park Avenue,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Credit Suisse Securities (USA)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Fulcrum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SVB Leerink LLC, Piper Sandler &amp; Co. and Credit Suisse Securities (USA) LLC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4,000,000 shares of its common stock, par value $0.001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The Company also proposes to issue and sell to the several Underwriters not more than an additional 600,000 shares of its common stock, par value $0.001 per share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if and to the extent that the Representatives shall have determined to exercise, on behalf of the Underwriters, the right to purchase such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par value $0.001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(File</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No. 333-244136), including a prospectus, relating to certain securities of the Company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issued from time to time by the Company. The registration statement as amended at the date of this Underwriting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including the information (if any) deemed to be part of the registration statement at the time of effectiveness pursuant to Rule 430A or Rule 430B under the Securities Act of</w:t>
      </w:r>
    </w:p>
    <w:p>
      <w:pPr>
        <w:sectPr>
          <w:pgSz w:w="11900" w:h="16838" w:orient="portrait"/>
          <w:cols w:equalWidth="0" w:num="1">
            <w:col w:w="11020"/>
          </w:cols>
          <w:pgMar w:left="440" w:top="270" w:right="439" w:bottom="1440" w:gutter="0" w:footer="0" w:header="0"/>
        </w:sectPr>
      </w:pPr>
    </w:p>
    <w:bookmarkStart w:id="5" w:name="page6"/>
    <w:bookmarkEnd w:id="5"/>
    <w:p>
      <w:pPr>
        <w:ind w:right="4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is hereinafter referred to as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Base Prospectus, as amended and supplemented by the prospectus supplement specifically related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w:t>
      </w:r>
    </w:p>
    <w:p>
      <w:pPr>
        <w:spacing w:after="0" w:line="17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documents and pricing information each as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Prospectus or the Time of Sale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87"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the Company meets the requirements for use of Form S-3 under the Securities Act;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Shares in connection with the offering when the Prospectus is not yet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of such amendment or supplement, and as of the Closing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upon that the only such information furnished by any Underwriter consists of the following information in the Prospectus furnished on behalf of each Underwriter: the first paragraph under the heading “Underwriting—Discounts and Commissions,” the information in the second, third, and fourth paragraphs under the heading “Underwriting— Price Stabilization, Short Positions and Penalty Bids” and the information under the heading “Underwriting—Electronic Distribution.”</w:t>
      </w:r>
    </w:p>
    <w:p>
      <w:pPr>
        <w:spacing w:after="0" w:line="76" w:lineRule="exact"/>
        <w:rPr>
          <w:sz w:val="20"/>
          <w:szCs w:val="20"/>
          <w:color w:val="auto"/>
        </w:rPr>
      </w:pPr>
    </w:p>
    <w:p>
      <w:pPr>
        <w:ind w:firstLine="419"/>
        <w:spacing w:after="0" w:line="254" w:lineRule="auto"/>
        <w:tabs>
          <w:tab w:leader="none" w:pos="6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each of the Representatives, prepare, use or refer to, any free writing prospectus.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7" w:name="page8"/>
    <w:bookmarkEnd w:id="7"/>
    <w:p>
      <w:pPr>
        <w:ind w:right="140" w:firstLine="419"/>
        <w:spacing w:after="0" w:line="258"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Subsidiary (as defined in Section 1(e)), taken as a whole.</w:t>
      </w:r>
    </w:p>
    <w:p>
      <w:pPr>
        <w:spacing w:after="0" w:line="7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Therapeutics Securities Corp. (the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the only subsidiary of the Company. The Subsidiary has been duly</w:t>
      </w:r>
    </w:p>
    <w:p>
      <w:pPr>
        <w:spacing w:after="0" w:line="31" w:lineRule="exact"/>
        <w:rPr>
          <w:rFonts w:ascii="Times New Roman" w:cs="Times New Roman" w:eastAsia="Times New Roman" w:hAnsi="Times New Roman"/>
          <w:sz w:val="18"/>
          <w:szCs w:val="18"/>
          <w:color w:val="auto"/>
        </w:rPr>
      </w:pPr>
    </w:p>
    <w:p>
      <w:pPr>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incorporated, is validly existing as a corporation in good standing under the laws of the Commonwealth of Massachusetts,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 and its Subsidiary, taken as a whole; all of the issued shares of capital stock of the Subsidiary have been duly and validly authorized and issued, are fully paid and non-assessable and are owned directly by the Company, free and clear of all liens, encumbrances, equities or claims.</w:t>
      </w:r>
    </w:p>
    <w:p>
      <w:pPr>
        <w:spacing w:after="0" w:line="66"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in all material respects as to legal matters to the description thereof contained under the headings “Capitalization” and “Description of Capital Stock” in the Time of Sale Prospectus and the Prospectus.</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Shares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jc w:val="both"/>
        <w:ind w:right="280" w:firstLine="419"/>
        <w:spacing w:after="0" w:line="266" w:lineRule="auto"/>
        <w:tabs>
          <w:tab w:leader="none" w:pos="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and delivered in accordance with the terms of this Agreement, will be validly issued, fully paid and non-assessable, and the issuance of such Shares will not be subject to any preemptive or similar rights that have not been validly waived.</w:t>
      </w:r>
    </w:p>
    <w:p>
      <w:pPr>
        <w:spacing w:after="0" w:line="67" w:lineRule="exact"/>
        <w:rPr>
          <w:rFonts w:ascii="Times New Roman" w:cs="Times New Roman" w:eastAsia="Times New Roman" w:hAnsi="Times New Roman"/>
          <w:sz w:val="18"/>
          <w:szCs w:val="18"/>
          <w:color w:val="auto"/>
        </w:rPr>
      </w:pPr>
    </w:p>
    <w:p>
      <w:pPr>
        <w:ind w:right="140" w:firstLine="419"/>
        <w:spacing w:after="0" w:line="256" w:lineRule="auto"/>
        <w:tabs>
          <w:tab w:leader="none" w:pos="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and the performance by the Company of its obligations under, this Agreement, nor the issuance and sale of the Shares, will (i) contravene any provision of applicable law, (ii) contravene any provision of the certificate of incorporation or by-laws of the Company, (iii) conflict with or result in a breach or violation of any of the terms or provisions of, or constitute a default under, any agreement or other instrument binding upon the Company or its Subsidiary that is material to the Company and its Subsidiary, taken as a whole, or (iv) result in any violation of any judgment, order or decree of any governmental body, agency or court having jurisdiction over the Company or its Subsidiary, except, in the case of clause (i)</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(iii), as would not, individually or in the aggregate, reasonably be expected to have a material adverse effect on the Company and its Subsidiary,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or the or the Nasdaq Global Market in connection with the offer and sale of the Shares.</w:t>
      </w:r>
    </w:p>
    <w:p>
      <w:pPr>
        <w:spacing w:after="0" w:line="79" w:lineRule="exact"/>
        <w:rPr>
          <w:sz w:val="20"/>
          <w:szCs w:val="20"/>
          <w:color w:val="auto"/>
        </w:rPr>
      </w:pPr>
    </w:p>
    <w:p>
      <w:pPr>
        <w:ind w:right="280" w:firstLine="419"/>
        <w:spacing w:after="0" w:line="266"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that would reasonably be expected to result in a prospective material adverse change, in the condition, financial or otherwise, or in the earnings, business or operations of the Company and its Subsidiary,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firstLine="419"/>
        <w:spacing w:after="0" w:line="255"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Company’s knowledge, threatened to which the Company or its Subsidiary is a party or to which any of the properties of the Company or its Subsidiary is subject (i) other than proceedings described in the Time of Sale Prospectus and proceedings that, singly or in the aggregate, would not have a material adverse effect on the Company and its Subsidiary,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80" w:lineRule="exact"/>
        <w:rPr>
          <w:rFonts w:ascii="Times New Roman" w:cs="Times New Roman" w:eastAsia="Times New Roman" w:hAnsi="Times New Roman"/>
          <w:sz w:val="18"/>
          <w:szCs w:val="18"/>
          <w:color w:val="auto"/>
        </w:rPr>
      </w:pPr>
    </w:p>
    <w:p>
      <w:pPr>
        <w:ind w:firstLine="419"/>
        <w:spacing w:after="0" w:line="282" w:lineRule="auto"/>
        <w:tabs>
          <w:tab w:leader="none" w:pos="7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pursuant to Rule 424 under the Securities Act, complied when so filed in all material respects with the Securities Act and the applicable rules and regulations of the Commission thereunder.</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200" w:firstLine="419"/>
        <w:spacing w:after="0" w:line="261"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Subsidiary, taken as a whole.</w:t>
      </w:r>
    </w:p>
    <w:p>
      <w:pPr>
        <w:spacing w:after="0" w:line="72" w:lineRule="exact"/>
        <w:rPr>
          <w:sz w:val="20"/>
          <w:szCs w:val="20"/>
          <w:color w:val="auto"/>
        </w:rPr>
      </w:pPr>
    </w:p>
    <w:p>
      <w:pPr>
        <w:jc w:val="both"/>
        <w:ind w:right="40" w:firstLine="419"/>
        <w:spacing w:after="0" w:line="261"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have a material adverse effect on the Company and its Subsidiary, taken as a whole.</w:t>
      </w:r>
    </w:p>
    <w:p>
      <w:pPr>
        <w:spacing w:after="0" w:line="71"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all such rights have been validly waived or complied with in connection with the issuance and sales of the Shares contemplated hereby.</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the Subsidiary or the Company’s controlled affiliates, or any director, officer or, to the Company’s knowledge, any agent, representative or employee of the Company, the Subsidiary or the Company’s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improperly influence official action, or to any person in violation of any applicable anti-corruption laws; (ii) the Company, the Subsidiary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Subsidiary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right="20" w:firstLine="419"/>
        <w:spacing w:after="0" w:line="254" w:lineRule="auto"/>
        <w:tabs>
          <w:tab w:leader="none" w:pos="6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operations of the Company and its Subsidiary are and have been conducted at all times, in all material respects,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its Subsidiary conduct business, the rules and regulations thereunder and any related or similar rules, regulations or guidelines, issued, administered or enforced by any governmental agency having jurisdiction over the Company or its Subsidiary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its Subsidiary with respect to the Anti-Money Laundering Laws is pending or, to the knowledge of the Company, threatened.</w:t>
      </w:r>
    </w:p>
    <w:p>
      <w:pPr>
        <w:spacing w:after="0" w:line="83" w:lineRule="exact"/>
        <w:rPr>
          <w:rFonts w:ascii="Times New Roman" w:cs="Times New Roman" w:eastAsia="Times New Roman" w:hAnsi="Times New Roman"/>
          <w:sz w:val="18"/>
          <w:szCs w:val="18"/>
          <w:color w:val="auto"/>
        </w:rPr>
      </w:pPr>
    </w:p>
    <w:p>
      <w:pPr>
        <w:ind w:right="100" w:firstLine="419"/>
        <w:spacing w:after="0" w:line="266"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its Subsidiary, or any director, officer, or employee thereof, or, to the Company’s knowledge, any agent, affiliate or representative of the Company or its Subsidiary,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480" w:firstLine="391"/>
        <w:spacing w:after="0" w:line="266" w:lineRule="auto"/>
        <w:tabs>
          <w:tab w:leader="none" w:pos="165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Her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980" w:right="580" w:firstLine="391"/>
        <w:spacing w:after="0" w:line="282" w:lineRule="auto"/>
        <w:tabs>
          <w:tab w:leader="none" w:pos="164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53"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2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200" w:firstLine="391"/>
        <w:spacing w:after="0" w:line="282" w:lineRule="auto"/>
        <w:tabs>
          <w:tab w:leader="none" w:pos="165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320" w:firstLine="391"/>
        <w:spacing w:after="0" w:line="282" w:lineRule="auto"/>
        <w:tabs>
          <w:tab w:leader="none" w:pos="164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jc w:val="both"/>
        <w:ind w:left="540" w:firstLine="408"/>
        <w:spacing w:after="0" w:line="266" w:lineRule="auto"/>
        <w:tabs>
          <w:tab w:leader="none" w:pos="12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70" w:right="479" w:bottom="1440" w:gutter="0" w:footer="0" w:header="0"/>
        </w:sectPr>
      </w:pPr>
    </w:p>
    <w:bookmarkStart w:id="11" w:name="page12"/>
    <w:bookmarkEnd w:id="11"/>
    <w:p>
      <w:pPr>
        <w:ind w:left="4" w:right="60" w:firstLine="419"/>
        <w:spacing w:after="0" w:line="254"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Subsequent to the respective dates as of which information is given in each of the Registration Statement, the Time of Sale Prospectus and the Prospectus, (i) the Company and its Subsidiary have not incurred any material liability or obligation, direct or contingent, nor entered into any material transaction; (ii) the Company has not purchased any of its outstanding capital stock (other than from its employees or other service providers in connection with termination of such individuals’ service to the Company pursuant to plans or agreements, as applicable), nor declared, paid or otherwise made any dividend or distribution of any kind on its capital stock other than ordinary and customary dividends; and</w:t>
      </w:r>
    </w:p>
    <w:p>
      <w:pPr>
        <w:spacing w:after="0" w:line="3" w:lineRule="exact"/>
        <w:rPr>
          <w:rFonts w:ascii="Times New Roman" w:cs="Times New Roman" w:eastAsia="Times New Roman" w:hAnsi="Times New Roman"/>
          <w:sz w:val="18"/>
          <w:szCs w:val="18"/>
          <w:color w:val="auto"/>
        </w:rPr>
      </w:pPr>
    </w:p>
    <w:p>
      <w:pPr>
        <w:ind w:left="4" w:right="280" w:hanging="4"/>
        <w:spacing w:after="0" w:line="260"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capital stock, short-term debt or long-term debt of the Company and its Subsidiary, except in each case as described in each of the Registration Statement, the Time of Sale Prospectus and the Prospectus, respectively.</w:t>
      </w:r>
    </w:p>
    <w:p>
      <w:pPr>
        <w:spacing w:after="0" w:line="73"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do not own any real property and have good and marketable title to all personal property owned by them which is material to the business of the Company and its Subsidiary, in each case free and clear of all liens, encumbrances and defects except such as are described in the Time of Sale Prospectus or such as do not materially affect the value of such property and do not interfere in any material respect with the use made and proposed to be made of such property by the Company and its Subsidiary; and any real property and buildings held under lease by the Company and its Subsidiary are held by them, as applicable, under valid, subsisting and, to the Company’s knowledge, enforceable leases with such exceptions as are not material and do not interfere in any material respect with the use made and proposed to be made of such property and buildings by the Company and its Subsidiary, in each case except as described in the Time of Sale Prospectus.</w:t>
      </w:r>
    </w:p>
    <w:p>
      <w:pPr>
        <w:spacing w:after="0" w:line="8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7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Subsidiary own or have a valid license to all patents and patent applications,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in the manner described in the Time of Sale Prospectus and the Prospectus; (ii) the Intellectual Property Rights owned by the Company and its Subsidiary and, to the Company’s knowledge, the Intellectual Property Rights licensed to the Company and its Subsidiary, are valid, subsisting and enforceable, and there is no pending or, to the Company’s knowledge, threatened action, suit, proceeding or claim by others challenging the validity, scope, inventorship, ownership or enforceability of any such Intellectual Property Rights; (iii) neither the Company nor its Subsidiary has received any notice alleging any infringement, misappropriation or other violation of Intellectual Property Rights; (iv) to the Company’s knowledge, no third party is infringing, misappropriating or otherwise violating, or has infringed, misappropriated or</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2" w:name="page13"/>
    <w:bookmarkEnd w:id="12"/>
    <w:p>
      <w:pPr>
        <w:ind w:left="4"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otherwise violated, any Intellectual Property Rights owned by the Company that would materially adversely affect the Company and its Subsidiary, taken as a whole; (v) neither the Company nor its Subsidiary infringes, misappropriates or otherwise violates (including, if the Company’s product candidates described in the Time of Sale Prospectus were manufactured, marketed, used or sold as of the date hereof) in any material respect, or has infringed, misappropriated or otherwise violated, any right or valid patent claim of any third party in any material respect;</w:t>
      </w:r>
    </w:p>
    <w:p>
      <w:pPr>
        <w:spacing w:after="0" w:line="3" w:lineRule="exact"/>
        <w:rPr>
          <w:sz w:val="20"/>
          <w:szCs w:val="20"/>
          <w:color w:val="auto"/>
        </w:rPr>
      </w:pPr>
    </w:p>
    <w:p>
      <w:pPr>
        <w:ind w:left="4" w:hanging="4"/>
        <w:spacing w:after="0" w:line="265" w:lineRule="auto"/>
        <w:tabs>
          <w:tab w:leader="none" w:pos="30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consultants or contractors engaged in the development of Intellectual Property Rights on behalf of the Company or its Subsidiary have executed an invention assignment agreement whereby such employees, consultants or contractors presently assign all of their right, title and interest in and to such Intellectual Property Rights to the Company or its Subsidiary, and to the Company’s knowledge no such agreement has been breached or violated in any material respect; (vii) the Company and its Subsidiary use, and have used, commercially reasonable efforts to appropriately maintain all information intended to be maintained as a trade secret; (viii) to the knowledge of the Company, none of the Intellectual Property Rights of the Company have been obtained or are being used by the Company in material violation of any contractual obligation binding on the Company or, to the knowledge of the Company, upon any of its officers, consultants, directors or employees;</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owned or purported to be owned by the Company are free and clear of all material liens or encumbrances;</w:t>
      </w:r>
    </w:p>
    <w:p>
      <w:pPr>
        <w:spacing w:after="0" w:line="9" w:lineRule="exact"/>
        <w:rPr>
          <w:rFonts w:ascii="Times New Roman" w:cs="Times New Roman" w:eastAsia="Times New Roman" w:hAnsi="Times New Roman"/>
          <w:sz w:val="18"/>
          <w:szCs w:val="18"/>
          <w:color w:val="auto"/>
        </w:rPr>
      </w:pPr>
    </w:p>
    <w:p>
      <w:pPr>
        <w:ind w:left="4" w:right="60" w:hanging="4"/>
        <w:spacing w:after="0" w:line="252"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third party, including any academic or governmental organization, possesses rights to the Intellectual Property Rights of the Company which, if exercised, could enable such party to develop, market or sell products competitive with those of the Company or to license a third party to so develop, market or sell products competitive with those of the Company; (xi) except as described in the Time of Sale Prospectus, the Company is not obligated to pay a material royalty, grant a license to, obtain a license from or provide other material consideration to any third party in connection with the Intellectual Property Rights of the Company; and (xii) all patents and patent applications owned by or licensed to the Company and included within the Intellectual Property Rights, to the knowledge of the Company, have been duly and properly filed, prosecuted and maintained.</w:t>
      </w:r>
    </w:p>
    <w:p>
      <w:pPr>
        <w:spacing w:after="0" w:line="80" w:lineRule="exact"/>
        <w:rPr>
          <w:rFonts w:ascii="Times New Roman" w:cs="Times New Roman" w:eastAsia="Times New Roman" w:hAnsi="Times New Roman"/>
          <w:sz w:val="18"/>
          <w:szCs w:val="18"/>
          <w:color w:val="auto"/>
        </w:rPr>
      </w:pPr>
    </w:p>
    <w:p>
      <w:pPr>
        <w:ind w:left="4" w:right="80" w:firstLine="419"/>
        <w:spacing w:after="0" w:line="272" w:lineRule="auto"/>
        <w:tabs>
          <w:tab w:leader="none" w:pos="68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and its Subsidiary have complied and are presently in compliance with all internal and external privacy policies, contractual obligations, industry standards, applicable laws, statutes, judgments, orders, rules and regulations of any court or arbitrator or other governmental or regulatory authority with jurisdiction over the Company, in each case, relating to the collection, use, transfer, import, export, storage, protection, disposal and disclosure by the Company or its Subsidiary of personal, personally identifiable, household, sensitive, confidential or regulated data (“</w:t>
      </w:r>
      <w:r>
        <w:rPr>
          <w:rFonts w:ascii="Times New Roman" w:cs="Times New Roman" w:eastAsia="Times New Roman" w:hAnsi="Times New Roman"/>
          <w:sz w:val="17"/>
          <w:szCs w:val="17"/>
          <w:b w:val="1"/>
          <w:bCs w:val="1"/>
          <w:color w:val="auto"/>
        </w:rPr>
        <w:t>Data Security Obligations</w:t>
      </w:r>
      <w:r>
        <w:rPr>
          <w:rFonts w:ascii="Times New Roman" w:cs="Times New Roman" w:eastAsia="Times New Roman" w:hAnsi="Times New Roman"/>
          <w:sz w:val="17"/>
          <w:szCs w:val="17"/>
          <w:color w:val="auto"/>
        </w:rPr>
        <w:t>”, and such data, “</w:t>
      </w:r>
      <w:r>
        <w:rPr>
          <w:rFonts w:ascii="Times New Roman" w:cs="Times New Roman" w:eastAsia="Times New Roman" w:hAnsi="Times New Roman"/>
          <w:sz w:val="17"/>
          <w:szCs w:val="17"/>
          <w:b w:val="1"/>
          <w:bCs w:val="1"/>
          <w:color w:val="auto"/>
        </w:rPr>
        <w:t>Confidential Data</w:t>
      </w:r>
      <w:r>
        <w:rPr>
          <w:rFonts w:ascii="Times New Roman" w:cs="Times New Roman" w:eastAsia="Times New Roman" w:hAnsi="Times New Roman"/>
          <w:sz w:val="17"/>
          <w:szCs w:val="17"/>
          <w:color w:val="auto"/>
        </w:rPr>
        <w:t>”); (ii) the Company has not received any notification of or complaint regarding and is unaware of any other facts that, individually or in the aggregate, would reasonably indicate material non-compliance with any Data Security Obligation; and (iii) there is no action, suit or proceeding by or before any court or governmental agency, authority or body pending or, to the Company’s knowledge, threatened alleging material non-compliance with any Data Security Obligation.</w:t>
      </w:r>
    </w:p>
    <w:p>
      <w:pPr>
        <w:spacing w:after="0" w:line="10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4"/>
          </w:cols>
          <w:pgMar w:left="876" w:top="270" w:right="479" w:bottom="1440" w:gutter="0" w:footer="0" w:header="0"/>
        </w:sectPr>
      </w:pPr>
    </w:p>
    <w:bookmarkStart w:id="13" w:name="page14"/>
    <w:bookmarkEnd w:id="13"/>
    <w:p>
      <w:pPr>
        <w:ind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its Subsidiary’s information technology assets and equipment, computers, systems, networks, hardware, software, websites, applications and databases used to process, store, maintain and operate data, information and functions are adequate for, and operate and perform in all material respects as required in connection with, the operation of the business of the Company and the Subsidiary as currently conducted. The Company and its Subsidiary have taken all reasonable technical and organizational measures to protect the information technology systems and Confidential Data used in connection with the operation of the Company’s and its Subsidiary’s businesses. Without limiting the foregoing, the Company and its Subsidiary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Confidential Data used in connection with the operation of the Company’s and its Subsidiary’s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Except as disclosed in the Time of Sale Prospectus and the Prospectus, there has been no material Breach, and the Company and its Subsidiary have not been notified of, and have no knowledge of any event or condition that would reasonably be expected to result in, any material Breach.</w:t>
      </w:r>
    </w:p>
    <w:p>
      <w:pPr>
        <w:spacing w:after="0" w:line="79" w:lineRule="exact"/>
        <w:rPr>
          <w:rFonts w:ascii="Times New Roman" w:cs="Times New Roman" w:eastAsia="Times New Roman" w:hAnsi="Times New Roman"/>
          <w:sz w:val="18"/>
          <w:szCs w:val="18"/>
          <w:color w:val="auto"/>
        </w:rPr>
      </w:pPr>
    </w:p>
    <w:p>
      <w:pPr>
        <w:ind w:right="500" w:firstLine="419"/>
        <w:spacing w:after="0" w:line="261"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its Subsidiary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Subsidiary, taken as a whole.</w:t>
      </w:r>
    </w:p>
    <w:p>
      <w:pPr>
        <w:spacing w:after="0" w:line="72" w:lineRule="exact"/>
        <w:rPr>
          <w:sz w:val="20"/>
          <w:szCs w:val="20"/>
          <w:color w:val="auto"/>
        </w:rPr>
      </w:pPr>
    </w:p>
    <w:p>
      <w:pPr>
        <w:ind w:right="120" w:firstLine="419"/>
        <w:spacing w:after="0" w:line="256"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described in the Time of Sale Prospectus or (ii) as would not, singly or in the aggregate, reasonably be expected to have a material adverse effect on the Company and its Subsidiary, taken as a whole,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that the Company or any member of its “Controlled Group” (defined as any organization which is under common control with the Company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sponsors or maintains has been maintained, in all material respects, in compliance with its terms and the requirements of any applicable statutes, orders, rules and regulations, including but not limited to ERISA and the Code.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right="60" w:firstLine="419"/>
        <w:spacing w:after="0" w:line="256"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its Subsidiary are insured by insurers of recognized financial responsibility against such losses and risks and in such amounts as, in the Company’s judgment, are prudent and customary in the businesses in which they are engaged; neither the Company nor its Subsidiary has been refused any insurance coverage sought or applied for; and neither the Company nor its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Subsidiary, taken as a whole, except as described in the Time of Sale Prospectus.</w:t>
      </w:r>
    </w:p>
    <w:p>
      <w:pPr>
        <w:spacing w:after="0" w:line="79" w:lineRule="exact"/>
        <w:rPr>
          <w:rFonts w:ascii="Times New Roman" w:cs="Times New Roman" w:eastAsia="Times New Roman" w:hAnsi="Times New Roman"/>
          <w:sz w:val="18"/>
          <w:szCs w:val="18"/>
          <w:color w:val="auto"/>
        </w:rPr>
      </w:pPr>
    </w:p>
    <w:p>
      <w:pPr>
        <w:ind w:right="180" w:firstLine="419"/>
        <w:spacing w:after="0" w:line="258" w:lineRule="auto"/>
        <w:tabs>
          <w:tab w:leader="none" w:pos="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possess all certificates, authorizations and permits issued by the appropriate federal, state or foreign regulatory authorities necessary to conduct their respective businesses, and neither the Company nor its Subsidiary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Subsidiary, taken as a whole, except as described in the Time of Sale Prospectus.</w:t>
      </w:r>
    </w:p>
    <w:p>
      <w:pPr>
        <w:spacing w:after="0" w:line="75"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 are and at all times have been, in all material respects, in compliance with all statutes, rules, and regulations applicable to the ownership, research, testing, development, manufacture, packaging, processing, use, storage, import, export or disposal of any product candidates of the Company or its Subsidiary, including, without limitation, the Federal Food, Drug and Cosmetic Act (21 U.S.C.§ 301 et seq.), the regulations promulgated pursuant to such laws, and any successor government programs, and comparable state laws, and all other local, state, federal, and foreign laws, rules, regulations, policies and final administrative guidance relating to the regulation of the Company (collectively, the “</w:t>
      </w:r>
      <w:r>
        <w:rPr>
          <w:rFonts w:ascii="Times New Roman" w:cs="Times New Roman" w:eastAsia="Times New Roman" w:hAnsi="Times New Roman"/>
          <w:sz w:val="18"/>
          <w:szCs w:val="18"/>
          <w:b w:val="1"/>
          <w:bCs w:val="1"/>
          <w:color w:val="auto"/>
        </w:rPr>
        <w:t>Applicable Regulatory Laws</w:t>
      </w:r>
      <w:r>
        <w:rPr>
          <w:rFonts w:ascii="Times New Roman" w:cs="Times New Roman" w:eastAsia="Times New Roman" w:hAnsi="Times New Roman"/>
          <w:sz w:val="18"/>
          <w:szCs w:val="18"/>
          <w:color w:val="auto"/>
        </w:rPr>
        <w:t>”); (ii) possess all licenses, exemptions, certificates, approvals, consents, clearances, authorizations, permits, registrations and supplements or amendments thereto required by any such Applicable Regulatory Laws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and such Regulatory Authorizations are valid and in full force and effect; (iii) are in compliance, in all material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not in violation of, or in default under, any such Regulatory Authorization, and to the Company’s knowledge, no event has occurred which allows, or after notice or lapse of time would allow, revocation, termination or modification of any Regulatory Authorization or result in any other material impairment of the rights of the holder of any Regulatory Authorization, and the Company does not have any reason to believe that any Regulatory Authorization will not be renewed in the ordinary course; (iv) have not received written notice that any court or arbitrator or governmental or regulatory authority has taken, is taking, or intends to take action to limit, suspend, modify or revoke any Regulatory Authorizations nor, to the Company’s knowledge, is any such limitation, suspension, modification or revocation threatened; (v) have not received any notice of any claim, action, suit, proceeding,</w:t>
      </w:r>
    </w:p>
    <w:p>
      <w:pPr>
        <w:spacing w:after="0" w:line="1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15" w:name="page16"/>
    <w:bookmarkEnd w:id="15"/>
    <w:p>
      <w:pPr>
        <w:ind w:right="8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hearing, enforcement, investigation, arbitration or other action, or any U.S. Food and Drug Administration (“</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Form 483, notice of adverse finding, warning letter, untitled letter or other communication from any court or arbitrator or governmental or regulatory authority alleging or asserting non-compliance with any Applicable Regulatory Laws or Regulatory Authorizations, nor, to the Company’s knowledge, is any such claim, action, suit, proceeding, hearing, enforcement, investigation, arbitration or other action or communication threatened; (vi) have filed, obtained, maintained or submitted all material reports, documents, forms, notices, applications, records, claims, submissions and supplements or amendments as required by any Applicable Regulatory Laws or Regulatory Authorizations, and all such reports, documents, forms, notices, applications, records, claims, submissions and supplements or amendments were complete and accurate on the date filed in all material respects (or were corrected or supplemented by a subsequent submission); and (vii) are not a party to any corporate integrity agreements, monitoring agreements, consent decrees, settlement orders, or similar agreements with or imposed by any governmental or regulatory authority.</w:t>
      </w:r>
    </w:p>
    <w:p>
      <w:pPr>
        <w:spacing w:after="0" w:line="69" w:lineRule="exact"/>
        <w:rPr>
          <w:sz w:val="20"/>
          <w:szCs w:val="20"/>
          <w:color w:val="auto"/>
        </w:rPr>
      </w:pPr>
    </w:p>
    <w:p>
      <w:pPr>
        <w:ind w:firstLine="419"/>
        <w:spacing w:after="0" w:line="253" w:lineRule="auto"/>
        <w:tabs>
          <w:tab w:leader="none" w:pos="7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and pre-clinical trials conducted by or on behalf of, or sponsored by, the Company or its Subsidiary, or in which the Company or its Subsidiary have participated, that are described or referred to in the Registration Statement and the Time of Sale Prospectus were and, if still pending, are being conducted, in all material respects, in compliance with the experimental protocols established for such trials, with accepted medical and scientific standards, and with all Applicable Regulatory Laws, including regulations relating to Good Clinical Practices and Good Laboratory Practices, and all Regulatory Authorizations. The descriptions of the clinical and pre-clinical trials, including the results thereof, included in the Registration Statement and the Time of Sale Prospectus are accurate and complete in all material respects and fairly present the data derived from such trials in all material respects; and neither the Company nor its Subsidiary is aware of any other clinical or pre-clinical trials, the results of which reasonably call into question the results described in the Registration Statement and the Time of Sale Prospectus. Neither the Company nor its Subsidiary have received any notices or correspondence from FDA or similar foreign, state, and local governmental or regulatory authorities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or institutional review boards or comparable authorities requiring the termination, suspension, material modification or clinical hold of any clinical or pre-clinical trials conducted by or on behalf of the Company, and to the Company’s knowledge, there are no reasonable grounds for the same.</w:t>
      </w:r>
    </w:p>
    <w:p>
      <w:pPr>
        <w:spacing w:after="0" w:line="81" w:lineRule="exact"/>
        <w:rPr>
          <w:rFonts w:ascii="Times New Roman" w:cs="Times New Roman" w:eastAsia="Times New Roman" w:hAnsi="Times New Roman"/>
          <w:sz w:val="18"/>
          <w:szCs w:val="18"/>
          <w:color w:val="auto"/>
        </w:rPr>
      </w:pPr>
    </w:p>
    <w:p>
      <w:pPr>
        <w:ind w:right="420" w:firstLine="419"/>
        <w:spacing w:after="0" w:line="266" w:lineRule="auto"/>
        <w:tabs>
          <w:tab w:leader="none" w:pos="7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Subsidiary, or any of their respective directors, officers, employees or, to the Company’s knowledge, agents, is or has been debarred, suspended or excluded, or has been convicted of any crime or engaged in any conduct that would result in debarment, suspension or exclusion by FDA or from any federal or state government health care program.</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00"/>
          </w:cols>
          <w:pgMar w:left="880" w:top="266" w:right="519" w:bottom="1440" w:gutter="0" w:footer="0" w:header="0"/>
        </w:sectPr>
      </w:pPr>
    </w:p>
    <w:bookmarkStart w:id="16" w:name="page17"/>
    <w:bookmarkEnd w:id="16"/>
    <w:p>
      <w:pPr>
        <w:ind w:left="764" w:hanging="341"/>
        <w:spacing w:after="0"/>
        <w:tabs>
          <w:tab w:leader="none" w:pos="7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Company’s or its Subsidiary’s product candidates has received marketing approval from any Regulatory Authority.</w:t>
      </w:r>
    </w:p>
    <w:p>
      <w:pPr>
        <w:spacing w:after="0" w:line="117"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which has certified certain financial statements of the Company and its Subsidiary, is an independent registered public accounting firm as required by the Securities Act and the rules and regulations of the Commission thereunder and the rules and regulations of the Public Company Accounting Oversight Board (United States).</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6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Registration Statement, the Time of Sale Prospectus and the Prospectus, together with the related notes, present fairly in all material respects the financial position of the Company and its consolidated Subsidiary at the dates indicated and, in the case of the statements of operations, stockholders’ equity and cash flows of the Company and its consolidated Subsidiary, for the periods specified. The consolidated financial statements of the Company included in the Registration Statement, the Time of Sale Prospectus and the Prospectus comply in all material respects with the applicable requirements of the Securities Act and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supporting schedules are required to be included or incorporated by reference in the Registration Statement, the Time of Sale Prospectus or the Prospectus under the Securities Act and the rules and regulations of the Commission thereunder. All other financial information included in the Registration Statement, the Time of Sale Prospectus and the Prospectus has been derived from the accounting records of the Company and its consolidated Subsidiary and presents fairly in all material respects the information shown thereby.</w:t>
      </w:r>
    </w:p>
    <w:p>
      <w:pPr>
        <w:spacing w:after="0" w:line="81"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21"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4"/>
          </w:cols>
          <w:pgMar w:left="876" w:top="270" w:right="499" w:bottom="1440" w:gutter="0" w:footer="0" w:header="0"/>
        </w:sectPr>
      </w:pPr>
    </w:p>
    <w:bookmarkStart w:id="17" w:name="page18"/>
    <w:bookmarkEnd w:id="17"/>
    <w:p>
      <w:pPr>
        <w:ind w:right="120"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maintains disclosure controls and procedures (as such term is defined in Rule 13a-15(e) under the Exchange Act) designed to comply with the requirements of the Exchange Act applicable to the Company. Such disclosure controls and procedures have been designed to ensure that material information relating to the Company is made known to the Company’s principal executive officer and principal financial officer by others within the Company.</w:t>
      </w:r>
    </w:p>
    <w:p>
      <w:pPr>
        <w:spacing w:after="0" w:line="71" w:lineRule="exact"/>
        <w:rPr>
          <w:rFonts w:ascii="Times New Roman" w:cs="Times New Roman" w:eastAsia="Times New Roman" w:hAnsi="Times New Roman"/>
          <w:sz w:val="18"/>
          <w:szCs w:val="18"/>
          <w:color w:val="auto"/>
        </w:rPr>
      </w:pPr>
    </w:p>
    <w:p>
      <w:pPr>
        <w:ind w:firstLine="419"/>
        <w:spacing w:after="0" w:line="266" w:lineRule="auto"/>
        <w:tabs>
          <w:tab w:leader="none" w:pos="6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80" w:firstLine="419"/>
        <w:spacing w:after="0" w:line="261" w:lineRule="auto"/>
        <w:tabs>
          <w:tab w:leader="none" w:pos="8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1" w:lineRule="exact"/>
        <w:rPr>
          <w:rFonts w:ascii="Times New Roman" w:cs="Times New Roman" w:eastAsia="Times New Roman" w:hAnsi="Times New Roman"/>
          <w:sz w:val="18"/>
          <w:szCs w:val="18"/>
          <w:color w:val="auto"/>
        </w:rPr>
      </w:pPr>
    </w:p>
    <w:p>
      <w:pPr>
        <w:ind w:right="60" w:firstLine="419"/>
        <w:spacing w:after="0" w:line="254"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filed all federal, state, local and foreign tax returns required to be filed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reasonably be expected to have a material adverse effect, or, except as currently being contested in good faith and for which reserves required by GAAP have been created in the financial statements of the Company), and no tax deficiency has been determined adversely to the Company or its Subsidiary which has had (nor does the Company nor its Subsidiary have any notice or knowledge of any tax deficiency which would reasonably be expected to be determined adversely to the Company or its Subsidiary and which would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its ownership of all of the equity interests of the Subsidiary, the Company does not, directly or indirectly, own capital stock or other equity or ownership or proprietary interests in any corporation, partnership, association, trust or other entity.</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date on which the Company engaged directly or through any person authorized to act on its behalf in any</w:t>
      </w:r>
    </w:p>
    <w:p>
      <w:pPr>
        <w:spacing w:after="0" w:line="2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Testing-the-Waters Communication in connection with the offering of the Shares through the date hereof, the Company has been and is an “emerging growth company,” as defined in Section 2(a) of the Securities Act (an “</w:t>
      </w:r>
      <w:r>
        <w:rPr>
          <w:rFonts w:ascii="Times New Roman" w:cs="Times New Roman" w:eastAsia="Times New Roman" w:hAnsi="Times New Roman"/>
          <w:sz w:val="17"/>
          <w:szCs w:val="17"/>
          <w:b w:val="1"/>
          <w:bCs w:val="1"/>
          <w:color w:val="auto"/>
        </w:rPr>
        <w:t>Emerging Growth 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Testing-the-Waters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Communication</w:t>
      </w:r>
      <w:r>
        <w:rPr>
          <w:rFonts w:ascii="Times New Roman" w:cs="Times New Roman" w:eastAsia="Times New Roman" w:hAnsi="Times New Roman"/>
          <w:sz w:val="17"/>
          <w:szCs w:val="17"/>
          <w:color w:val="auto"/>
        </w:rPr>
        <w:t>” means any oral or written communication with potential investors undertaken in reliance on Section 5(d) of the Securities Act.</w:t>
      </w:r>
    </w:p>
    <w:p>
      <w:pPr>
        <w:spacing w:after="0" w:line="1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60"/>
          </w:cols>
          <w:pgMar w:left="880" w:top="270" w:right="559" w:bottom="1440" w:gutter="0" w:footer="0" w:header="0"/>
        </w:sectPr>
      </w:pPr>
    </w:p>
    <w:bookmarkStart w:id="18" w:name="page19"/>
    <w:bookmarkEnd w:id="18"/>
    <w:p>
      <w:pPr>
        <w:ind w:left="440" w:right="80" w:firstLine="419"/>
        <w:spacing w:after="0" w:line="254" w:lineRule="auto"/>
        <w:tabs>
          <w:tab w:leader="none" w:pos="12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 has not alone engaged in any Testing-the-Waters Communication in connection with the offering of the Shares other than Testing-the-Waters Communications with the consent of SVB Leerink LLC and Piper Sandler &amp; Co. with entities that are qualified institutional buyers within the meaning of Rule 144A under the Securities Act or institutions that are accredited investors within the meaning of Rule 501 under the Securities Act and (ii) has not authorized anyone other than SVB Leerink LLC and Piper Sandler &amp; Co. to engage in Testing-the-Waters Communications in connection with the offering of the Shares. The Company has not distributed any Written Testing-the-Waters Communications other than those listed on Schedule III hereto.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in connection with the offering of the Shares that is a written communication within the meaning of Rule 405 under the Securities Act.</w:t>
      </w:r>
    </w:p>
    <w:p>
      <w:pPr>
        <w:spacing w:after="0" w:line="8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5"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has any securities rated by any “nationally recognized statistical rating organization,” as such term is defined in Section 3(a)(62) of the Exchange Act.</w:t>
      </w:r>
    </w:p>
    <w:p>
      <w:pPr>
        <w:spacing w:after="0" w:line="160" w:lineRule="exact"/>
        <w:rPr>
          <w:sz w:val="20"/>
          <w:szCs w:val="20"/>
          <w:color w:val="auto"/>
        </w:rPr>
      </w:pPr>
    </w:p>
    <w:p>
      <w:pPr>
        <w:ind w:right="140" w:firstLine="436"/>
        <w:spacing w:after="0" w:line="267"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The Company hereby agrees to sell to the several Underwriters, and each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herein contained, but subject to the conditions hereinafter stated, agrees, severally and not jointly, to purchase from the Company the respective numbers of Firm Shares set forth in Schedule I hereto opposite its name at $10.34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600,000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9" w:name="page20"/>
    <w:bookmarkEnd w:id="1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7" w:lineRule="exact"/>
        <w:rPr>
          <w:sz w:val="20"/>
          <w:szCs w:val="20"/>
          <w:color w:val="auto"/>
        </w:rPr>
      </w:pPr>
    </w:p>
    <w:p>
      <w:pPr>
        <w:ind w:firstLine="436"/>
        <w:spacing w:after="0" w:line="258"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$11.00 a share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$0.3960 a share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Price.</w:t>
      </w:r>
    </w:p>
    <w:p>
      <w:pPr>
        <w:spacing w:after="0" w:line="183" w:lineRule="exact"/>
        <w:rPr>
          <w:rFonts w:ascii="Times New Roman" w:cs="Times New Roman" w:eastAsia="Times New Roman" w:hAnsi="Times New Roman"/>
          <w:sz w:val="18"/>
          <w:szCs w:val="18"/>
          <w:color w:val="auto"/>
        </w:rPr>
      </w:pPr>
    </w:p>
    <w:p>
      <w:pPr>
        <w:ind w:right="360" w:firstLine="436"/>
        <w:spacing w:after="0" w:line="261"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Firm Shares shall be made to the Company in Federal or other funds immediately available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City against delivery of such Firm Shares for the respective accounts of the several Underwriters at 10:00 a.m., New York City time, on January 22, 2021, or at such other time on the same or such other date, not later than January 29, 2021,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March 4, 2021, as shall be designated in writing by the Representatives.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left="184" w:hanging="184"/>
        <w:spacing w:after="0"/>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to the Underwriters’ Obligations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conditions:</w:t>
      </w:r>
    </w:p>
    <w:p>
      <w:pPr>
        <w:spacing w:after="0" w:line="117" w:lineRule="exact"/>
        <w:rPr>
          <w:sz w:val="20"/>
          <w:szCs w:val="20"/>
          <w:color w:val="auto"/>
        </w:rPr>
      </w:pPr>
    </w:p>
    <w:p>
      <w:pPr>
        <w:ind w:left="4" w:firstLine="419"/>
        <w:spacing w:after="0" w:line="258" w:lineRule="auto"/>
        <w:tabs>
          <w:tab w:leader="none" w:pos="6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 there shall not have occurred any change, or any development involving a prospective change, in the condition, financial or otherwise, or in the earnings, business or operations of the Company and its Subsidiary,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75"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Company on behalf of the Company, to the effect set forth in Section 5(a)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officer signing and delivering such certificate may rely upon the best of his or her knowledge as to the proceedings threatened.</w:t>
      </w:r>
    </w:p>
    <w:p>
      <w:pPr>
        <w:spacing w:after="0" w:line="75" w:lineRule="exact"/>
        <w:rPr>
          <w:rFonts w:ascii="Times New Roman" w:cs="Times New Roman" w:eastAsia="Times New Roman" w:hAnsi="Times New Roman"/>
          <w:sz w:val="18"/>
          <w:szCs w:val="18"/>
          <w:color w:val="auto"/>
        </w:rPr>
      </w:pPr>
    </w:p>
    <w:p>
      <w:pPr>
        <w:ind w:left="4" w:right="200" w:firstLine="419"/>
        <w:spacing w:after="0" w:line="312" w:lineRule="auto"/>
        <w:tabs>
          <w:tab w:leader="none" w:pos="67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shall have received on the Closing Date an opinion and negative assurance letter from Wilmer Cutler Pickering Hale and Dorr LLP, outside counsel for the Company, dated the Closing Date, in form and substance reasonably satisfactory to the Underwriters.</w:t>
      </w:r>
    </w:p>
    <w:p>
      <w:pPr>
        <w:spacing w:after="0" w:line="31" w:lineRule="exact"/>
        <w:rPr>
          <w:rFonts w:ascii="Times New Roman" w:cs="Times New Roman" w:eastAsia="Times New Roman" w:hAnsi="Times New Roman"/>
          <w:sz w:val="17"/>
          <w:szCs w:val="17"/>
          <w:color w:val="auto"/>
        </w:rPr>
      </w:pPr>
    </w:p>
    <w:p>
      <w:pPr>
        <w:ind w:left="4" w:right="320" w:firstLine="419"/>
        <w:spacing w:after="0" w:line="282" w:lineRule="auto"/>
        <w:tabs>
          <w:tab w:leader="none" w:pos="6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Cooley LLP, special counsel to the Company with respect to certain intellectual property matters,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from Ropes &amp; Gray LLP, counsel for the Underwriters, dated the Closing Date, in form and substance reasonably satisfactory to the Underwriters.</w:t>
      </w:r>
    </w:p>
    <w:p>
      <w:pPr>
        <w:spacing w:after="0" w:line="54"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With respect to Sections 5(c) and 5(e) above, Wilmer Cutler Pickering Hale and Dorr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7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opinions of Wilmer Cutler Pickering Hale and Dorr LLP and Cooley LLP described in Sections 5(c) and 5(d) above, respectively, shall be rendered to the Underwriters at the request of the Company and shall so state therein.</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68" w:right="459" w:bottom="1440" w:gutter="0" w:footer="0" w:header="0"/>
        </w:sectPr>
      </w:pPr>
    </w:p>
    <w:bookmarkStart w:id="21" w:name="page22"/>
    <w:bookmarkEnd w:id="21"/>
    <w:p>
      <w:pPr>
        <w:ind w:firstLine="419"/>
        <w:spacing w:after="0" w:line="258"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included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right="200" w:firstLine="419"/>
        <w:spacing w:after="0" w:line="261"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among the SVB Leerink LLC and Piper Sandler &amp; Co. and each of the executive officers and directors and certain security holders of the Company, respectively, relating to sales and certain other dispositions of shares of Common Stock or certain other securities, delivered to the Representatives on or before the date hereof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shall be in full force and effect on the Closing Date.</w:t>
      </w:r>
    </w:p>
    <w:p>
      <w:pPr>
        <w:spacing w:after="0" w:line="71" w:lineRule="exact"/>
        <w:rPr>
          <w:rFonts w:ascii="Times New Roman" w:cs="Times New Roman" w:eastAsia="Times New Roman" w:hAnsi="Times New Roman"/>
          <w:sz w:val="18"/>
          <w:szCs w:val="18"/>
          <w:color w:val="auto"/>
        </w:rPr>
      </w:pPr>
    </w:p>
    <w:p>
      <w:pPr>
        <w:jc w:val="both"/>
        <w:ind w:firstLine="419"/>
        <w:spacing w:after="0" w:line="289" w:lineRule="auto"/>
        <w:tabs>
          <w:tab w:leader="none" w:pos="6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shall have received, on each of the date hereof and the Closing Date, a certificate of the Company’s principal financial officer dated as of the date hereof or the Closing Date, as applicable, certifying as to the accuracy of certain financial information contained in the Registration Statement, the Time of Sale Prospectus and the Prospectus, in form and substance reasonably satisfactory to the Underwriters.</w:t>
      </w:r>
    </w:p>
    <w:p>
      <w:pPr>
        <w:spacing w:after="0" w:line="49" w:lineRule="exact"/>
        <w:rPr>
          <w:rFonts w:ascii="Times New Roman" w:cs="Times New Roman" w:eastAsia="Times New Roman" w:hAnsi="Times New Roman"/>
          <w:sz w:val="17"/>
          <w:szCs w:val="17"/>
          <w:color w:val="auto"/>
        </w:rPr>
      </w:pPr>
    </w:p>
    <w:p>
      <w:pPr>
        <w:ind w:right="20" w:firstLine="419"/>
        <w:spacing w:after="0" w:line="266" w:lineRule="auto"/>
        <w:tabs>
          <w:tab w:leader="none" w:pos="6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Underwriters on the Closing Date of such other documents as the Representatives may reasonably request with respect to the good standing of the Company and the Subsidiary, the due authorization and issuance of the Firm Shares to be sold on the Closing Date and other matters related to the issuance of the Firm Shares.</w:t>
      </w:r>
    </w:p>
    <w:p>
      <w:pPr>
        <w:spacing w:after="0" w:line="67" w:lineRule="exact"/>
        <w:rPr>
          <w:rFonts w:ascii="Times New Roman" w:cs="Times New Roman" w:eastAsia="Times New Roman" w:hAnsi="Times New Roman"/>
          <w:sz w:val="18"/>
          <w:szCs w:val="18"/>
          <w:color w:val="auto"/>
        </w:rPr>
      </w:pPr>
    </w:p>
    <w:p>
      <w:pPr>
        <w:ind w:right="180" w:firstLine="419"/>
        <w:spacing w:after="0" w:line="282" w:lineRule="auto"/>
        <w:tabs>
          <w:tab w:leader="none" w:pos="6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Underwriters on the applicable Option Closing Date of the following:</w:t>
      </w:r>
    </w:p>
    <w:p>
      <w:pPr>
        <w:spacing w:after="0" w:line="53" w:lineRule="exact"/>
        <w:rPr>
          <w:rFonts w:ascii="Times New Roman" w:cs="Times New Roman" w:eastAsia="Times New Roman" w:hAnsi="Times New Roman"/>
          <w:sz w:val="18"/>
          <w:szCs w:val="18"/>
          <w:color w:val="auto"/>
        </w:rPr>
      </w:pPr>
    </w:p>
    <w:p>
      <w:pPr>
        <w:ind w:left="540" w:right="240" w:firstLine="408"/>
        <w:spacing w:after="0" w:line="266" w:lineRule="auto"/>
        <w:tabs>
          <w:tab w:leader="none" w:pos="11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on behalf of the Company, confirming that the certificate delivered on the Closing Date pursuant to Section 5(b) hereof remains true and correct as of such Option Closing Date;</w:t>
      </w:r>
    </w:p>
    <w:p>
      <w:pPr>
        <w:spacing w:after="0" w:line="67"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from Wilmer Cutler Pickering Hale and Dorr LLP , outside counsel for the Company, dated the Option Closing Date, relating to the Additional Shares to be purchased on such Option Closing Date and otherwise to the same effect as the opinion required by Section 5(c) hereof;</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00"/>
          </w:cols>
          <w:pgMar w:left="880" w:top="270" w:right="519" w:bottom="1440" w:gutter="0" w:footer="0" w:header="0"/>
        </w:sectPr>
      </w:pPr>
    </w:p>
    <w:bookmarkStart w:id="22" w:name="page23"/>
    <w:bookmarkEnd w:id="22"/>
    <w:p>
      <w:pPr>
        <w:ind w:left="544" w:right="40" w:firstLine="408"/>
        <w:spacing w:after="0" w:line="282" w:lineRule="auto"/>
        <w:tabs>
          <w:tab w:leader="none" w:pos="125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opinion of Cooley LLP, special counsel to the Company with respect to certain intellectual property matters, dated the Option Closing Date and otherwise to the same effect as the opinion required by Section 5(d) hereof;</w:t>
      </w:r>
    </w:p>
    <w:p>
      <w:pPr>
        <w:spacing w:after="0" w:line="53" w:lineRule="exact"/>
        <w:rPr>
          <w:rFonts w:ascii="Times New Roman" w:cs="Times New Roman" w:eastAsia="Times New Roman" w:hAnsi="Times New Roman"/>
          <w:sz w:val="18"/>
          <w:szCs w:val="18"/>
          <w:color w:val="auto"/>
        </w:rPr>
      </w:pPr>
    </w:p>
    <w:p>
      <w:pPr>
        <w:jc w:val="both"/>
        <w:ind w:left="544" w:right="80" w:firstLine="408"/>
        <w:spacing w:after="0" w:line="266" w:lineRule="auto"/>
        <w:tabs>
          <w:tab w:leader="none" w:pos="124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from Ropes &amp; Gray LLP, counsel for the Underwriters, dated the Option Closing Date, relating to the Additional Shares to be purchased on such Option Closing Date and otherwise to the same effect as the opinion required by Section 5(e) hereof;</w:t>
      </w:r>
    </w:p>
    <w:p>
      <w:pPr>
        <w:spacing w:after="0" w:line="67" w:lineRule="exact"/>
        <w:rPr>
          <w:rFonts w:ascii="Times New Roman" w:cs="Times New Roman" w:eastAsia="Times New Roman" w:hAnsi="Times New Roman"/>
          <w:sz w:val="18"/>
          <w:szCs w:val="18"/>
          <w:color w:val="auto"/>
        </w:rPr>
      </w:pPr>
    </w:p>
    <w:p>
      <w:pPr>
        <w:ind w:left="544" w:right="260" w:firstLine="408"/>
        <w:spacing w:after="0" w:line="261" w:lineRule="auto"/>
        <w:tabs>
          <w:tab w:leader="none" w:pos="119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5(f)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w:t>
      </w:r>
    </w:p>
    <w:p>
      <w:pPr>
        <w:spacing w:after="0" w:line="71" w:lineRule="exact"/>
        <w:rPr>
          <w:rFonts w:ascii="Times New Roman" w:cs="Times New Roman" w:eastAsia="Times New Roman" w:hAnsi="Times New Roman"/>
          <w:sz w:val="18"/>
          <w:szCs w:val="18"/>
          <w:color w:val="auto"/>
        </w:rPr>
      </w:pPr>
    </w:p>
    <w:p>
      <w:pPr>
        <w:ind w:left="544" w:right="320" w:firstLine="408"/>
        <w:spacing w:after="0" w:line="266" w:lineRule="auto"/>
        <w:tabs>
          <w:tab w:leader="none" w:pos="124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Company’s principal financial officer dated as of the Option Closing Date, certifying as to the accuracy of certain financial information contained in the Registration Statement, the Time of Sale Prospectus and the Prospectus, in form and substance reasonably satisfactory to the Underwriters; and</w:t>
      </w:r>
    </w:p>
    <w:p>
      <w:pPr>
        <w:spacing w:after="0" w:line="67" w:lineRule="exact"/>
        <w:rPr>
          <w:rFonts w:ascii="Times New Roman" w:cs="Times New Roman" w:eastAsia="Times New Roman" w:hAnsi="Times New Roman"/>
          <w:sz w:val="18"/>
          <w:szCs w:val="18"/>
          <w:color w:val="auto"/>
        </w:rPr>
      </w:pPr>
    </w:p>
    <w:p>
      <w:pPr>
        <w:ind w:left="544" w:firstLine="408"/>
        <w:spacing w:after="0" w:line="266" w:lineRule="auto"/>
        <w:tabs>
          <w:tab w:leader="none" w:pos="129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and its Subsidiary, the due authorization and issuance of the Additional Shares to be sold on such Option Closing Date and other matters related to the issuance of such Additional Shares.</w:t>
      </w:r>
    </w:p>
    <w:p>
      <w:pPr>
        <w:spacing w:after="0" w:line="17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6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the Representatives, to furnish to the Representatives,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second business day succeeding the date of this Agreement and during the periods mentioned in Section 6(e) and 6(f) below, as many copies of the Time of Sale Prospectus, the Prospectus and any supplements and amendments thereto or to the Registration Statement as the Representatives may reasonably request.</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23" w:name="page24"/>
    <w:bookmarkEnd w:id="23"/>
    <w:p>
      <w:pPr>
        <w:ind w:firstLine="419"/>
        <w:spacing w:after="0" w:line="255"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amending or supplementing the Registration Statement, the Time of Sale Prospectus or the Prospectus, during such period as in the opinion of counsel for the Underwriters the Prospectus (or in lieu thereof the notice referred to in Rule 173(a) of the Securities Act) is required by law to be delivered in connection with sales by an Underwriter or dealer (including in circumstances where such requirement may be satisfied pursuant to Rule 172 of the Securities Act)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to furnish to the Representatives a copy of each such proposed amendment or supplement and not to file any such proposed amendment or supplement to which the Representatives reasonably object in a timely manner, and to file with the Commission within the applicable period specified in Rule 424(b) under the Securities Act any prospectus required to be filed pursuant to such Rule.</w:t>
      </w:r>
    </w:p>
    <w:p>
      <w:pPr>
        <w:spacing w:after="0" w:line="80" w:lineRule="exact"/>
        <w:rPr>
          <w:rFonts w:ascii="Times New Roman" w:cs="Times New Roman" w:eastAsia="Times New Roman" w:hAnsi="Times New Roman"/>
          <w:sz w:val="18"/>
          <w:szCs w:val="18"/>
          <w:color w:val="auto"/>
        </w:rPr>
      </w:pPr>
    </w:p>
    <w:p>
      <w:pPr>
        <w:ind w:right="100" w:firstLine="419"/>
        <w:spacing w:after="0" w:line="282" w:lineRule="auto"/>
        <w:tabs>
          <w:tab w:leader="none" w:pos="6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right="40" w:firstLine="419"/>
        <w:spacing w:after="0" w:line="253" w:lineRule="auto"/>
        <w:tabs>
          <w:tab w:leader="none" w:pos="6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right="300" w:firstLine="419"/>
        <w:spacing w:after="0" w:line="261" w:lineRule="auto"/>
        <w:tabs>
          <w:tab w:leader="none" w:pos="6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70" w:right="479" w:bottom="1440" w:gutter="0" w:footer="0" w:header="0"/>
        </w:sectPr>
      </w:pPr>
    </w:p>
    <w:bookmarkStart w:id="24" w:name="page25"/>
    <w:bookmarkEnd w:id="2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79" w:lineRule="exact"/>
        <w:rPr>
          <w:sz w:val="20"/>
          <w:szCs w:val="20"/>
          <w:color w:val="auto"/>
        </w:rPr>
      </w:pPr>
    </w:p>
    <w:p>
      <w:pPr>
        <w:ind w:firstLine="419"/>
        <w:spacing w:after="0" w:line="261"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applicable law, 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a general consent of service of process in any jurisdiction or to subject itself to taxation in any jurisdiction in which it is not otherwise subject.</w:t>
      </w:r>
    </w:p>
    <w:p>
      <w:pPr>
        <w:spacing w:after="0" w:line="71" w:lineRule="exact"/>
        <w:rPr>
          <w:rFonts w:ascii="Times New Roman" w:cs="Times New Roman" w:eastAsia="Times New Roman" w:hAnsi="Times New Roman"/>
          <w:sz w:val="18"/>
          <w:szCs w:val="18"/>
          <w:color w:val="auto"/>
        </w:rPr>
      </w:pPr>
    </w:p>
    <w:p>
      <w:pPr>
        <w:ind w:right="180" w:firstLine="419"/>
        <w:spacing w:after="0" w:line="258"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Representatives as soon as reasonably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provided that the Company will be deemed to have furnished such statement to its security holders to the extent it is filed on the Commission’s Electronic Data Gathering, Analysis and Retrieval System.</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and documented fees and disbursements of counsel for the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Underwriters in connection with such qualification and in connection with the Blue Sky or Legal Investment memorandum (provided that the amount payable by the Company with respect to the fees and disbursements of counsel for the Underwriters pursuant to clause (iii) shall not exceed $2,500), (iv) all filing fees and the reasonable fees and disbursements of counsel to the Underwriters incurred in connection with the review and qualification of the offering of the Shares by FINRA (provided that the amount payable by the Company with respect to the fees and disbursements of counsel for the Underwriters pursuant to clause (iv) shall not exceed $10,000), (v) the cost of printing certificates, if any, representing the Shares, (vi) the costs and charges of any transfer agent, registrar or depositary, (vii)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and travel and lodging expenses of the representatives and officers of the Company and any such consultants, (viii) the document production charges and expenses associated with printing this Agreement and (ix)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88" w:lineRule="exact"/>
        <w:rPr>
          <w:sz w:val="20"/>
          <w:szCs w:val="20"/>
          <w:color w:val="auto"/>
        </w:rPr>
      </w:pPr>
    </w:p>
    <w:p>
      <w:pPr>
        <w:ind w:right="40" w:firstLine="419"/>
        <w:spacing w:after="0" w:line="266" w:lineRule="auto"/>
        <w:tabs>
          <w:tab w:leader="none" w:pos="6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67"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75" w:lineRule="exact"/>
        <w:rPr>
          <w:rFonts w:ascii="Times New Roman" w:cs="Times New Roman" w:eastAsia="Times New Roman" w:hAnsi="Times New Roman"/>
          <w:sz w:val="18"/>
          <w:szCs w:val="18"/>
          <w:color w:val="auto"/>
        </w:rPr>
      </w:pPr>
    </w:p>
    <w:p>
      <w:pPr>
        <w:jc w:val="both"/>
        <w:ind w:right="320" w:firstLine="419"/>
        <w:spacing w:after="0" w:line="261" w:lineRule="auto"/>
        <w:tabs>
          <w:tab w:leader="none" w:pos="6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80" w:top="270" w:right="439" w:bottom="1440" w:gutter="0" w:footer="0" w:header="0"/>
        </w:sectPr>
      </w:pPr>
    </w:p>
    <w:bookmarkStart w:id="26" w:name="page27"/>
    <w:bookmarkEnd w:id="2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also covenants with each Underwriter that, without the prior written consent of SVB Leerink LLC and Piper Sandler &amp; Co. on behalf of the Underwriters, it will not, and will not publicly disclose an intention to, during the period ending 90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restrictions contained in this paragraph shall not apply to (a) the Shares to be sold hereunder, (b) the issuance by the Company of shares of Common Stock upon the exercise of an option or warrant or the conversion of a security outstanding on the date hereof and described in the Prospectus, (c) the grant by the Company of any options to purchase shares of Common Stock or other awards granted under a stock incentive plan or stock purchase plan described in the Prospectus, and the issuance by the Company of shares of Common Stock upon the exercise thereof, (d) the filing by the Company of any registration statement on Form S-8 or a successor form thereto relating to the shares of Common Stock granted pursuant to or reserved for issuance under a stock incentive plan or stock purchase plan described in the Prospectus or (e) 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clause (e) shall not exceed 5% of the total number of outstanding shares of Common Stock immediately following the issuance and sale of the Shares to be sold hereunder and (y) the recipient of any such shares of Common Stock and securities issued pursuant to this clause (e) during the Restricted Period shall enter into an agreement substantially in the form of Exhibit A hereto.</w:t>
      </w:r>
    </w:p>
    <w:p>
      <w:pPr>
        <w:spacing w:after="0" w:line="189" w:lineRule="exact"/>
        <w:rPr>
          <w:sz w:val="20"/>
          <w:szCs w:val="20"/>
          <w:color w:val="auto"/>
        </w:rPr>
      </w:pPr>
    </w:p>
    <w:p>
      <w:pPr>
        <w:ind w:right="380" w:firstLine="436"/>
        <w:spacing w:after="0" w:line="267"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firstLine="436"/>
        <w:spacing w:after="0" w:line="253"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documented legal or other expenses reasonably incurred in connection with defending or investigating any such action or claim) that arise out of, relate to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Written Testing-the-Waters Communication, or arising out of, related to or based upon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83"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79" w:lineRule="exact"/>
        <w:rPr>
          <w:rFonts w:ascii="Times New Roman" w:cs="Times New Roman" w:eastAsia="Times New Roman" w:hAnsi="Times New Roman"/>
          <w:sz w:val="18"/>
          <w:szCs w:val="18"/>
          <w:color w:val="auto"/>
        </w:rPr>
      </w:pPr>
    </w:p>
    <w:p>
      <w:pPr>
        <w:ind w:left="440" w:firstLine="419"/>
        <w:spacing w:after="0" w:line="268" w:lineRule="auto"/>
        <w:tabs>
          <w:tab w:leader="none" w:pos="110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2" w:lineRule="exact"/>
        <w:rPr>
          <w:rFonts w:ascii="Times New Roman" w:cs="Times New Roman" w:eastAsia="Times New Roman" w:hAnsi="Times New Roman"/>
          <w:sz w:val="17"/>
          <w:szCs w:val="17"/>
          <w:color w:val="auto"/>
        </w:rPr>
      </w:pPr>
    </w:p>
    <w:p>
      <w:pPr>
        <w:ind w:left="44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8" w:name="page29"/>
    <w:bookmarkEnd w:id="2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or related proceedings in the same jurisdiction, be liable for the fees and expenses of more than one separate firm (in addition to any local counsel) for all such indemnified parties and that all such fees and expenses shall be reimbursed as they are incurred upon receipt from the indemnified party of a written request for payment thereof.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w:t>
      </w:r>
    </w:p>
    <w:p>
      <w:pPr>
        <w:spacing w:after="0" w:line="1" w:lineRule="exact"/>
        <w:rPr>
          <w:sz w:val="20"/>
          <w:szCs w:val="20"/>
          <w:color w:val="auto"/>
        </w:rPr>
      </w:pPr>
    </w:p>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such indemnified party from all liability on claims that are the subject matter of such proceeding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statement admitting fault, culpability or a failure to act, by or on behalf of any indemnified party.</w:t>
      </w:r>
    </w:p>
    <w:p>
      <w:pPr>
        <w:spacing w:after="0" w:line="98"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w:t>
      </w:r>
    </w:p>
    <w:p>
      <w:pPr>
        <w:spacing w:after="0" w:line="12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24"/>
          </w:cols>
          <w:pgMar w:left="876" w:top="270" w:right="499" w:bottom="1440" w:gutter="0" w:footer="0" w:header="0"/>
        </w:sectPr>
      </w:pPr>
    </w:p>
    <w:bookmarkStart w:id="29" w:name="page30"/>
    <w:bookmarkEnd w:id="29"/>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79" w:lineRule="exact"/>
        <w:rPr>
          <w:sz w:val="20"/>
          <w:szCs w:val="20"/>
          <w:color w:val="auto"/>
        </w:rPr>
      </w:pPr>
    </w:p>
    <w:p>
      <w:pPr>
        <w:ind w:left="4" w:right="20" w:firstLine="419"/>
        <w:spacing w:after="0" w:line="253" w:lineRule="auto"/>
        <w:tabs>
          <w:tab w:leader="none" w:pos="6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underwriting discounts and commissions received by such Underwriter with respect to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1" w:lineRule="exact"/>
        <w:rPr>
          <w:rFonts w:ascii="Times New Roman" w:cs="Times New Roman" w:eastAsia="Times New Roman" w:hAnsi="Times New Roman"/>
          <w:sz w:val="18"/>
          <w:szCs w:val="18"/>
          <w:color w:val="auto"/>
        </w:rPr>
      </w:pPr>
    </w:p>
    <w:p>
      <w:pPr>
        <w:ind w:left="4" w:right="360" w:firstLine="419"/>
        <w:spacing w:after="0" w:line="276" w:lineRule="auto"/>
        <w:tabs>
          <w:tab w:leader="none" w:pos="65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 w:hanging="4"/>
        <w:spacing w:after="0" w:line="255" w:lineRule="auto"/>
        <w:tabs>
          <w:tab w:leader="none" w:pos="2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84" w:lineRule="exact"/>
        <w:rPr>
          <w:sz w:val="20"/>
          <w:szCs w:val="20"/>
          <w:color w:val="auto"/>
        </w:rPr>
      </w:pPr>
    </w:p>
    <w:p>
      <w:pPr>
        <w:ind w:left="184" w:hanging="184"/>
        <w:spacing w:after="0"/>
        <w:tabs>
          <w:tab w:leader="none" w:pos="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4"/>
          </w:cols>
          <w:pgMar w:left="876" w:top="270" w:right="459" w:bottom="1440" w:gutter="0" w:footer="0" w:header="0"/>
        </w:sectPr>
      </w:pPr>
    </w:p>
    <w:bookmarkStart w:id="30" w:name="page31"/>
    <w:bookmarkEnd w:id="30"/>
    <w:p>
      <w:pPr>
        <w:ind w:right="160" w:firstLine="436"/>
        <w:spacing w:after="0" w:line="254" w:lineRule="auto"/>
        <w:tabs>
          <w:tab w:leader="none" w:pos="7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delivery of this Agreement and prior to the Closing Date, or any Option Closing Date, as the case may be, (i) trading generally shall have been suspended or materially limited on, or by, as the case may be, either the New York Stock Exchange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68" w:right="479" w:bottom="1440" w:gutter="0" w:footer="0" w:header="0"/>
        </w:sectPr>
      </w:pPr>
    </w:p>
    <w:bookmarkStart w:id="31" w:name="page32"/>
    <w:bookmarkEnd w:id="31"/>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following termination of this Agreement pursuant to clauses (i), (iii), (iv) or (v) of Section 10,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85" w:lineRule="exact"/>
        <w:rPr>
          <w:sz w:val="20"/>
          <w:szCs w:val="20"/>
          <w:color w:val="auto"/>
        </w:rPr>
      </w:pPr>
    </w:p>
    <w:p>
      <w:pPr>
        <w:ind w:right="40" w:firstLine="436"/>
        <w:spacing w:after="0" w:line="261"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3" w:lineRule="exact"/>
        <w:rPr>
          <w:rFonts w:ascii="Times New Roman" w:cs="Times New Roman" w:eastAsia="Times New Roman" w:hAnsi="Times New Roman"/>
          <w:sz w:val="18"/>
          <w:szCs w:val="18"/>
          <w:color w:val="auto"/>
        </w:rPr>
      </w:pPr>
    </w:p>
    <w:p>
      <w:pPr>
        <w:ind w:left="440" w:firstLine="419"/>
        <w:spacing w:after="0" w:line="274" w:lineRule="auto"/>
        <w:tabs>
          <w:tab w:leader="none" w:pos="111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the Underwriters are not advising the Company or any other person as to any legal, tax, investment, accounting or regulatory matters in any jurisdiction. The Company waives to the full extent permitted by applicable law any claims it may have against the Underwriters arising from an alleged breach of fiduciary duty in connection with the offering of the Shares.</w:t>
      </w:r>
    </w:p>
    <w:p>
      <w:pPr>
        <w:spacing w:after="0" w:line="170" w:lineRule="exact"/>
        <w:rPr>
          <w:rFonts w:ascii="Times New Roman" w:cs="Times New Roman" w:eastAsia="Times New Roman" w:hAnsi="Times New Roman"/>
          <w:sz w:val="17"/>
          <w:szCs w:val="17"/>
          <w:color w:val="auto"/>
        </w:rPr>
      </w:pPr>
    </w:p>
    <w:p>
      <w:pPr>
        <w:ind w:right="120" w:firstLine="436"/>
        <w:spacing w:after="0" w:line="261"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7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right="120" w:firstLine="436"/>
        <w:spacing w:after="0" w:line="258"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40" w:firstLine="436"/>
        <w:spacing w:after="0" w:line="284"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Representatives in care of SVB Leerink LLC, 1301 Avenue of the Americas,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10019, Attention Stuart Nayman; in care of Piper Sandler &amp; Co., U.S. Bancorp Center, 800 Nicollet Mall, Minneapolis, Minnesota 55402, Attention Equity Capital Markets, with a copy to Piper Sandler General Counsel at 800 Nicollet Mall, Minneapolis, MN 55402 and LegalCapMarkets@pjc.com; in care of Credit Suisse Securities (USA) LLC, Eleven Madison Avenue, New York, New York 10010, Facsimile: (212) 325-4296, Attention: IBCM-Legal, and in each case, with a copy (which copy shall not constitute notice) to Ropes &amp; Gray LLP, Prudential Tower, 800 Boylston Street, Boston, Massachusetts, 02199, Attention: Patrick O’Brien; and if to the Company shall be delivered, mailed or sent to Fulcrum Therapeutics, Inc., 26 Landsdowne Street, Cambridge, Massachusetts 02139, Attention: Chief Executive Officer, with a copy (which copy shall not constitute notice) to Wilmer Cutler Pickering Hale and Dorr LLP, 60 State Street, Boston, Massachusetts 02109, Attention: Lia Der Marderosian.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3" w:name="page34"/>
    <w:bookmarkEnd w:id="33"/>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Bryan Stuart</w:t>
      </w:r>
    </w:p>
    <w:p>
      <w:pPr>
        <w:spacing w:after="0" w:line="27"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several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SVB Leerink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Irena Melnikova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Irena Melnikova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Neil Riley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Joshua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Joshua Pinto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3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240" w:type="dxa"/>
            <w:vAlign w:val="bottom"/>
            <w:gridSpan w:val="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000" w:type="dxa"/>
            <w:vAlign w:val="bottom"/>
            <w:vMerge w:val="restart"/>
          </w:tcPr>
          <w:p>
            <w:pPr>
              <w:spacing w:after="0"/>
              <w:rPr>
                <w:sz w:val="24"/>
                <w:szCs w:val="24"/>
                <w:color w:val="auto"/>
              </w:rPr>
            </w:pPr>
          </w:p>
        </w:tc>
        <w:tc>
          <w:tcPr>
            <w:tcW w:w="5520" w:type="dxa"/>
            <w:vAlign w:val="bottom"/>
          </w:tcPr>
          <w:p>
            <w:pPr>
              <w:spacing w:after="0"/>
              <w:rPr>
                <w:sz w:val="24"/>
                <w:szCs w:val="24"/>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Firm Shares To</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5520" w:type="dxa"/>
            <w:vAlign w:val="bottom"/>
          </w:tcPr>
          <w:p>
            <w:pPr>
              <w:spacing w:after="0"/>
              <w:rPr>
                <w:sz w:val="15"/>
                <w:szCs w:val="15"/>
                <w:color w:val="auto"/>
              </w:rPr>
            </w:pPr>
          </w:p>
        </w:tc>
        <w:tc>
          <w:tcPr>
            <w:tcW w:w="17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SVB Leerink LLC</w:t>
            </w:r>
          </w:p>
        </w:tc>
        <w:tc>
          <w:tcPr>
            <w:tcW w:w="55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7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1,320,000</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7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840,000</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55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2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24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color w:val="auto"/>
                <w:w w:val="95"/>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135"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January 19, 2021.</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all free writing prospectuses filed by the Company under Rule 433(d) of the Securities Act: None.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for the Shares is $11.00.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Firm Shares is 4,000,000.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Shares is 600,000.</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Testing-the-Waters Presentations: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0"/>
          </w:cols>
          <w:pgMar w:left="440" w:top="26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Leerink LLC</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One Federal Street, 37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345 Park Avenue,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SVB Leerink LLC and Piper Sandler &amp; Co.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Fulcrum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of the common stock, par value $0.001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during the period commencing on the date hereof and ending 90 days after the date of the final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or make any public announcement of its intention to do any of the foregoing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shall not apply to:</w:t>
      </w:r>
    </w:p>
    <w:p>
      <w:pPr>
        <w:spacing w:after="0" w:line="194" w:lineRule="exact"/>
        <w:rPr>
          <w:sz w:val="20"/>
          <w:szCs w:val="20"/>
          <w:color w:val="auto"/>
        </w:rPr>
      </w:pPr>
    </w:p>
    <w:p>
      <w:pPr>
        <w:jc w:val="both"/>
        <w:ind w:right="360" w:firstLine="436"/>
        <w:spacing w:after="0" w:line="26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Common Stock or other securities acquired in such open market transactions;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38" w:name="page39"/>
    <w:bookmarkEnd w:id="38"/>
    <w:p>
      <w:pPr>
        <w:ind w:right="10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transfers of shares of Common Stock or any security convertible into or exercisable or exchangeable for Common Stock as a bona fide gift or gifts, or (ii) to a charitable organization or educational institution in a transaction not involving a disposition for value;</w:t>
      </w:r>
    </w:p>
    <w:p>
      <w:pPr>
        <w:spacing w:after="0" w:line="53"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67"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solely by operation of law pursuant to a qualified domestic order or in connection with a divorce settlement;</w:t>
      </w:r>
    </w:p>
    <w:p>
      <w:pPr>
        <w:spacing w:after="0" w:line="67" w:lineRule="exact"/>
        <w:rPr>
          <w:rFonts w:ascii="Times New Roman" w:cs="Times New Roman" w:eastAsia="Times New Roman" w:hAnsi="Times New Roman"/>
          <w:sz w:val="18"/>
          <w:szCs w:val="18"/>
          <w:color w:val="auto"/>
        </w:rPr>
      </w:pPr>
    </w:p>
    <w:p>
      <w:pPr>
        <w:jc w:val="both"/>
        <w:ind w:right="60" w:firstLine="436"/>
        <w:spacing w:after="0" w:line="289" w:lineRule="auto"/>
        <w:tabs>
          <w:tab w:leader="none" w:pos="68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an entity, transfers or distributions of shares of Common Stock or any security convertible into Common Stock to general or limited partners, members or stockholders of the undersigned, its direct or indirect affiliates (as defined in Rule 405 promulgated under the Securities Act of 1933, as amended) or to an investment fund or other entity that controls or manages, or is under common control with, the undersigned;</w:t>
      </w:r>
    </w:p>
    <w:p>
      <w:pPr>
        <w:spacing w:after="0" w:line="4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disposition or distribution pursuant to clause (b), (c), (d) or (e), (i) each transferee, donee or distributee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 and 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in the case of a transfer or other disposition pursuant to clause (c) above,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76" w:lineRule="exact"/>
        <w:rPr>
          <w:sz w:val="20"/>
          <w:szCs w:val="20"/>
          <w:color w:val="auto"/>
        </w:rPr>
      </w:pPr>
    </w:p>
    <w:p>
      <w:pPr>
        <w:ind w:right="60" w:firstLine="436"/>
        <w:spacing w:after="0" w:line="273" w:lineRule="auto"/>
        <w:tabs>
          <w:tab w:leader="none" w:pos="66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transfers or dispositions of shares of Common Stock or any security convertible into or exercisable or exchangeable for Common Stock to the Company pursuant to any contractual arrangement in effect on the date of this agreement and disclosed to the Underwriters that provides for the repurchase of the undersigned’s Common Stock or other securities by the Company or in connection with the termination of the undersigned’s employment with or service to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filing under Section 16(a) of the Exchange Act reporting a reduction in beneficial ownership of shares of Common Stock, shall be required or shall be voluntarily made during the Restricted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w:t>
      </w:r>
    </w:p>
    <w:p>
      <w:pPr>
        <w:spacing w:after="0" w:line="63" w:lineRule="exact"/>
        <w:rPr>
          <w:rFonts w:ascii="Times New Roman" w:cs="Times New Roman" w:eastAsia="Times New Roman" w:hAnsi="Times New Roman"/>
          <w:sz w:val="17"/>
          <w:szCs w:val="17"/>
          <w:color w:val="auto"/>
        </w:rPr>
      </w:pPr>
    </w:p>
    <w:p>
      <w:pPr>
        <w:ind w:right="140" w:firstLine="436"/>
        <w:spacing w:after="0" w:line="261"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stock options to purchase shares of Common Stock granted under plans described in the Prospectus and any related transfer to the Company of shares of Common Stock (including by way of “net” or “cashless” exercise solely to cover withholding tax obligations in connection with such exercise and any transfer to the Company for the payment of taxes as a result of such exercise);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of Common Stock received upon exercise shall be subject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39" w:name="page40"/>
    <w:bookmarkEnd w:id="39"/>
    <w:p>
      <w:pPr>
        <w:ind w:left="4" w:right="220" w:firstLine="436"/>
        <w:spacing w:after="0" w:line="267" w:lineRule="auto"/>
        <w:tabs>
          <w:tab w:leader="none" w:pos="69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restrictions on transfer set forth in this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w:t>
      </w:r>
    </w:p>
    <w:p>
      <w:pPr>
        <w:spacing w:after="0" w:line="6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pursuant to Rule 10b5-l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80"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5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pursuant to a trading plan established pursuant to Rule 10b5-1 under the Exchange Act prior to the date hereof, which trading plan shall not be amended during the Restricted Period but may be terminated during the Restricted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a public announcement or filing under the Exchange Act, if any, is required of or voluntarily made by or on behalf of the undersigned or the Company regarding sales made under the undersigned’s 10b5-1 Plan, such announcement or filing shall include a statement to the effect that such sales of Common Stock are being made pursuant to the undersigned’s 10b5-1 Plan established prior to the date hereof; or</w:t>
      </w:r>
    </w:p>
    <w:p>
      <w:pPr>
        <w:spacing w:after="0" w:line="75"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and (ii) entry into any lock-up, voting or similar agreement pursuant to which the undersigned may agree to transfer, sell, tender or otherwise dispose of shares of Common Stock or such other securities in connection with a transaction described in (i)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change of control transaction is not completed, the Common Stock (or any security convertible into or exercisable or exchangeable for Common Stock) owned by the undersigned shall remain subject to the restrictions contained in this agreement.</w:t>
      </w:r>
    </w:p>
    <w:p>
      <w:pPr>
        <w:spacing w:after="0" w:line="188"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agreement, “immediate family” shall mean any relationship by blood, marriage, domestic partnership or adoption, not more remote than first cousin.</w:t>
      </w:r>
    </w:p>
    <w:p>
      <w:pPr>
        <w:spacing w:after="0" w:line="162"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undersigned may make a demand under any registration rights agreement with the Company described in the Prospectus for, and exercise its rights under any such registration rights agreement with respect to, the registration after the expiration of the Restricted Period of shares of Common Stock that does not require the filing of any registration statement or any public announcement or activity regarding such registration during the Restricted Period (and no such public announcement or activity shall be voluntarily made or taken by the undersigned during the Restricted Period).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24"/>
          </w:cols>
          <w:pgMar w:left="436" w:top="268" w:right="439" w:bottom="1440" w:gutter="0" w:footer="0" w:header="0"/>
        </w:sectPr>
      </w:pPr>
    </w:p>
    <w:bookmarkStart w:id="40" w:name="page41"/>
    <w:bookmarkEnd w:id="40"/>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(i) if either the Representatives, on the one hand, or the Company, on the other hand, informs the other in writing, prior to the execution of the Underwriting Agreement, that it has determined not to proceed with the Public Offering, (ii) if the Underwriting Agreement (other than the provisions thereof which survive termination) shall terminate or be terminated prior to payment for and delivery of the securities to be sold thereunder, (iii) if the registration statement related to the Public Offering has been withdrawn prior to the execution of the Underwriting Agreement or (iv) the Underwriting Agreement is not executed on or before February 15, 2021, then, in each case, this agreement shall automatically, and without any action on the part of any other party, be of no further force and effect, and the undersigned shall be automatically released from all obligations under this agreement.</w:t>
      </w:r>
    </w:p>
    <w:p>
      <w:pPr>
        <w:spacing w:after="0" w:line="18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173990</wp:posOffset>
            </wp:positionV>
            <wp:extent cx="112331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233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January 20, 2021</w:t>
            </w: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Fulcrum Therapeutics, Inc.</w:t>
            </w:r>
          </w:p>
        </w:tc>
        <w:tc>
          <w:tcPr>
            <w:tcW w:w="5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+1 617 526 6000 (t)</w:t>
            </w:r>
          </w:p>
        </w:tc>
        <w:tc>
          <w:tcPr>
            <w:tcW w:w="0" w:type="dxa"/>
            <w:vAlign w:val="bottom"/>
          </w:tcPr>
          <w:p>
            <w:pPr>
              <w:spacing w:after="0"/>
              <w:rPr>
                <w:sz w:val="1"/>
                <w:szCs w:val="1"/>
                <w:color w:val="auto"/>
              </w:rPr>
            </w:pPr>
          </w:p>
        </w:tc>
      </w:tr>
      <w:tr>
        <w:trPr>
          <w:trHeight w:val="112"/>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26 Landsdowne Street</w:t>
            </w:r>
          </w:p>
        </w:tc>
        <w:tc>
          <w:tcPr>
            <w:tcW w:w="512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color w:val="auto"/>
              </w:rPr>
              <w:t>+1 617 526 5000 (f)</w:t>
            </w:r>
          </w:p>
        </w:tc>
        <w:tc>
          <w:tcPr>
            <w:tcW w:w="0" w:type="dxa"/>
            <w:vAlign w:val="bottom"/>
          </w:tcPr>
          <w:p>
            <w:pPr>
              <w:spacing w:after="0"/>
              <w:rPr>
                <w:sz w:val="1"/>
                <w:szCs w:val="1"/>
                <w:color w:val="auto"/>
              </w:rPr>
            </w:pPr>
          </w:p>
        </w:tc>
      </w:tr>
      <w:tr>
        <w:trPr>
          <w:trHeight w:val="159"/>
        </w:trPr>
        <w:tc>
          <w:tcPr>
            <w:tcW w:w="5900" w:type="dxa"/>
            <w:vAlign w:val="bottom"/>
            <w:vMerge w:val="continue"/>
          </w:tcPr>
          <w:p>
            <w:pPr>
              <w:spacing w:after="0"/>
              <w:rPr>
                <w:sz w:val="13"/>
                <w:szCs w:val="13"/>
                <w:color w:val="auto"/>
              </w:rPr>
            </w:pPr>
          </w:p>
        </w:tc>
        <w:tc>
          <w:tcPr>
            <w:tcW w:w="5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wilmerhale.com</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Prospectus Supplement to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opinion is furnished to you in connection with (i) the Registration Statement on Form S-3 (File No. 333-244136) (the “Registration Statement”) filed by Fulcrum Therapeutics, Inc., a Delaware corporation (the “Company”), with the Securities and Exchange Commission (the “Commission”) under the Securities Act of 1933, as amended (the “Securities Act”), for the registration of, among other things, shares of the Company’s common stock, $0.001 par value per share (the “Common Stock”), which may be issued from time to time on a delayed or continuous basis pursuant to Rule 415 under the Securities Act at an aggregate initial offering price not to exceed $250,000,000, as set forth in the Registration Statement, the prospectus contained therein (the “Base Prospectus”) and any amendments or supplements thereto; (ii) the preliminary prospectus supplement, dated January 19, 2021 (the “Preliminary Prospectus Supplement”); and (iii) the prospectus supplement, dated January 19, 2021 (the “Final Prospectus Supplement” and together with the Preliminary Prospectus Supplement, the “Prospectuses”), relating to the issuance and sale pursuant to the Registration Statement of up to 4,000,000 shares of Common Stock, and up to an additional 600,000 shares of Common Stock issuable upon exercise of an option to purchase additional shares granted by the Company (collectively, the “Shares”).</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Shares are to be issued and sold by the Company pursuant to the underwriting agreement, dated as of January 19, 2021 (the “Underwriting Agreement”), by and among the Company and the several underwriters named on Schedule I thereto, for whom SVB Leerink LLC, Piper Sandler &amp; Co. and Credit Suisse Securities (USA) LLC are acting as representatives, the form of which is being filed as Exhibit 1.1 to the Company’s Current Report on Form 8-K filed on the date hereof.</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issue and sale by the Company of the Shares. We have examined and relied upon a signed copy of the Registration Statement and copies of the Base Prospectus and the Prospectuses, each as filed with the Commission. We have also examined and relied upon the Underwriting Agreement, minutes of meetings of the stockholders and the Board of Directors of the Company, including the committees thereof, as provided to us by the Company, the Certificate of Incorporation and Bylaws of the Company, each as restated and/or amended to date, and such other documents as we have deemed necessary for purposes of rendering the opinions hereinafter set forth.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Wilmer Cutler Pickering Hale and Dorr LLP, 60 State Street, Boston, Massachusetts 02109</w:t>
      </w:r>
    </w:p>
    <w:p>
      <w:pPr>
        <w:spacing w:after="0" w:line="9" w:lineRule="exact"/>
        <w:rPr>
          <w:sz w:val="20"/>
          <w:szCs w:val="20"/>
          <w:color w:val="auto"/>
        </w:rPr>
      </w:pPr>
    </w:p>
    <w:p>
      <w:pPr>
        <w:ind w:left="120"/>
        <w:spacing w:after="0"/>
        <w:tabs>
          <w:tab w:leader="none" w:pos="840" w:val="left"/>
          <w:tab w:leader="none" w:pos="1680" w:val="left"/>
          <w:tab w:leader="none" w:pos="2540" w:val="left"/>
          <w:tab w:leader="none" w:pos="3440" w:val="left"/>
          <w:tab w:leader="none" w:pos="4320" w:val="left"/>
          <w:tab w:leader="none" w:pos="5300" w:val="left"/>
          <w:tab w:leader="none" w:pos="6180" w:val="left"/>
          <w:tab w:leader="none" w:pos="7260" w:val="left"/>
          <w:tab w:leader="none" w:pos="8280" w:val="left"/>
          <w:tab w:leader="none" w:pos="9260" w:val="left"/>
          <w:tab w:leader="none" w:pos="10360" w:val="left"/>
        </w:tabs>
        <w:rPr>
          <w:sz w:val="20"/>
          <w:szCs w:val="20"/>
          <w:color w:val="auto"/>
        </w:rPr>
      </w:pPr>
      <w:r>
        <w:rPr>
          <w:rFonts w:ascii="Times New Roman" w:cs="Times New Roman" w:eastAsia="Times New Roman" w:hAnsi="Times New Roman"/>
          <w:sz w:val="11"/>
          <w:szCs w:val="11"/>
          <w:color w:val="auto"/>
        </w:rPr>
        <w:t>Beijing</w:t>
      </w:r>
      <w:r>
        <w:rPr>
          <w:sz w:val="20"/>
          <w:szCs w:val="20"/>
          <w:color w:val="auto"/>
        </w:rPr>
        <w:tab/>
      </w:r>
      <w:r>
        <w:rPr>
          <w:rFonts w:ascii="Times New Roman" w:cs="Times New Roman" w:eastAsia="Times New Roman" w:hAnsi="Times New Roman"/>
          <w:sz w:val="11"/>
          <w:szCs w:val="11"/>
          <w:color w:val="auto"/>
        </w:rPr>
        <w:t>Berlin</w:t>
      </w:r>
      <w:r>
        <w:rPr>
          <w:sz w:val="20"/>
          <w:szCs w:val="20"/>
          <w:color w:val="auto"/>
        </w:rPr>
        <w:tab/>
      </w:r>
      <w:r>
        <w:rPr>
          <w:rFonts w:ascii="Times New Roman" w:cs="Times New Roman" w:eastAsia="Times New Roman" w:hAnsi="Times New Roman"/>
          <w:sz w:val="11"/>
          <w:szCs w:val="11"/>
          <w:color w:val="auto"/>
        </w:rPr>
        <w:t>Boston</w:t>
      </w:r>
      <w:r>
        <w:rPr>
          <w:sz w:val="20"/>
          <w:szCs w:val="20"/>
          <w:color w:val="auto"/>
        </w:rPr>
        <w:tab/>
      </w:r>
      <w:r>
        <w:rPr>
          <w:rFonts w:ascii="Times New Roman" w:cs="Times New Roman" w:eastAsia="Times New Roman" w:hAnsi="Times New Roman"/>
          <w:sz w:val="11"/>
          <w:szCs w:val="11"/>
          <w:color w:val="auto"/>
        </w:rPr>
        <w:t>Brussels</w:t>
      </w:r>
      <w:r>
        <w:rPr>
          <w:sz w:val="20"/>
          <w:szCs w:val="20"/>
          <w:color w:val="auto"/>
        </w:rPr>
        <w:tab/>
      </w:r>
      <w:r>
        <w:rPr>
          <w:rFonts w:ascii="Times New Roman" w:cs="Times New Roman" w:eastAsia="Times New Roman" w:hAnsi="Times New Roman"/>
          <w:sz w:val="11"/>
          <w:szCs w:val="11"/>
          <w:color w:val="auto"/>
        </w:rPr>
        <w:t>Denver</w:t>
      </w:r>
      <w:r>
        <w:rPr>
          <w:sz w:val="20"/>
          <w:szCs w:val="20"/>
          <w:color w:val="auto"/>
        </w:rPr>
        <w:tab/>
      </w:r>
      <w:r>
        <w:rPr>
          <w:rFonts w:ascii="Times New Roman" w:cs="Times New Roman" w:eastAsia="Times New Roman" w:hAnsi="Times New Roman"/>
          <w:sz w:val="11"/>
          <w:szCs w:val="11"/>
          <w:color w:val="auto"/>
        </w:rPr>
        <w:t>Frankfurt</w:t>
      </w:r>
      <w:r>
        <w:rPr>
          <w:sz w:val="20"/>
          <w:szCs w:val="20"/>
          <w:color w:val="auto"/>
        </w:rPr>
        <w:tab/>
      </w:r>
      <w:r>
        <w:rPr>
          <w:rFonts w:ascii="Times New Roman" w:cs="Times New Roman" w:eastAsia="Times New Roman" w:hAnsi="Times New Roman"/>
          <w:sz w:val="11"/>
          <w:szCs w:val="11"/>
          <w:color w:val="auto"/>
        </w:rPr>
        <w:t>London</w:t>
      </w:r>
      <w:r>
        <w:rPr>
          <w:sz w:val="20"/>
          <w:szCs w:val="20"/>
          <w:color w:val="auto"/>
        </w:rPr>
        <w:tab/>
      </w:r>
      <w:r>
        <w:rPr>
          <w:rFonts w:ascii="Times New Roman" w:cs="Times New Roman" w:eastAsia="Times New Roman" w:hAnsi="Times New Roman"/>
          <w:sz w:val="11"/>
          <w:szCs w:val="11"/>
          <w:color w:val="auto"/>
        </w:rPr>
        <w:t>Los Angeles</w:t>
      </w:r>
      <w:r>
        <w:rPr>
          <w:sz w:val="20"/>
          <w:szCs w:val="20"/>
          <w:color w:val="auto"/>
        </w:rPr>
        <w:tab/>
      </w:r>
      <w:r>
        <w:rPr>
          <w:rFonts w:ascii="Times New Roman" w:cs="Times New Roman" w:eastAsia="Times New Roman" w:hAnsi="Times New Roman"/>
          <w:sz w:val="11"/>
          <w:szCs w:val="11"/>
          <w:color w:val="auto"/>
        </w:rPr>
        <w:t>New York</w:t>
      </w:r>
      <w:r>
        <w:rPr>
          <w:sz w:val="20"/>
          <w:szCs w:val="20"/>
          <w:color w:val="auto"/>
        </w:rPr>
        <w:tab/>
      </w:r>
      <w:r>
        <w:rPr>
          <w:rFonts w:ascii="Times New Roman" w:cs="Times New Roman" w:eastAsia="Times New Roman" w:hAnsi="Times New Roman"/>
          <w:sz w:val="11"/>
          <w:szCs w:val="11"/>
          <w:color w:val="auto"/>
        </w:rPr>
        <w:t>Palo Alto</w:t>
      </w:r>
      <w:r>
        <w:rPr>
          <w:sz w:val="20"/>
          <w:szCs w:val="20"/>
          <w:color w:val="auto"/>
        </w:rPr>
        <w:tab/>
      </w:r>
      <w:r>
        <w:rPr>
          <w:rFonts w:ascii="Times New Roman" w:cs="Times New Roman" w:eastAsia="Times New Roman" w:hAnsi="Times New Roman"/>
          <w:sz w:val="11"/>
          <w:szCs w:val="11"/>
          <w:color w:val="auto"/>
        </w:rPr>
        <w:t>San Francisco</w:t>
      </w:r>
      <w:r>
        <w:rPr>
          <w:sz w:val="20"/>
          <w:szCs w:val="20"/>
          <w:color w:val="auto"/>
        </w:rPr>
        <w:tab/>
      </w:r>
      <w:r>
        <w:rPr>
          <w:rFonts w:ascii="Times New Roman" w:cs="Times New Roman" w:eastAsia="Times New Roman" w:hAnsi="Times New Roman"/>
          <w:sz w:val="10"/>
          <w:szCs w:val="10"/>
          <w:color w:val="auto"/>
        </w:rPr>
        <w:t>Washington</w:t>
      </w:r>
    </w:p>
    <w:p>
      <w:pPr>
        <w:sectPr>
          <w:pgSz w:w="11900" w:h="16838" w:orient="portrait"/>
          <w:cols w:equalWidth="0" w:num="1">
            <w:col w:w="11020"/>
          </w:cols>
          <w:pgMar w:left="440" w:top="117"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6148705</wp:posOffset>
            </wp:positionH>
            <wp:positionV relativeFrom="page">
              <wp:posOffset>183515</wp:posOffset>
            </wp:positionV>
            <wp:extent cx="112331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71450"/>
                    </a:xfrm>
                    <a:prstGeom prst="rect">
                      <a:avLst/>
                    </a:prstGeom>
                    <a:noFill/>
                  </pic:spPr>
                </pic:pic>
              </a:graphicData>
            </a:graphic>
          </wp:anchor>
        </w:drawing>
        <w:t>Fulcrum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Based upon and subject to the foregoing, we are of the opinion that the Shares have been duly authorized for issuance and, when the Shares are issued and paid for in accordance with the terms and conditions of the Underwriting Agreement, the Shares will be validly issued, fully paid and nonassessable.</w:t>
      </w:r>
    </w:p>
    <w:p>
      <w:pPr>
        <w:spacing w:after="0" w:line="1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Current Report on Form 8-K to be filed by the Company in connection with the sale of the Shares in accordance with the requirements of Item 601(b)(5) of Regulation S-K under the Securities Act and to the use of our name therein and in the Prospectuses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HALE AND DORR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Lia Der Marderosian, a Partner</w:t>
      </w:r>
    </w:p>
    <w:p>
      <w:pPr>
        <w:sectPr>
          <w:pgSz w:w="11900" w:h="16838" w:orient="portrait"/>
          <w:cols w:equalWidth="0" w:num="1">
            <w:col w:w="11000"/>
          </w:cols>
          <w:pgMar w:left="440" w:top="594" w:right="4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Fulcrum Therapeutics Announces Pricing of Public Offering of Common Stock</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CAMBRIDGE, Massachusetts, January 19, 2021 </w:t>
      </w:r>
      <w:r>
        <w:rPr>
          <w:rFonts w:ascii="Times New Roman" w:cs="Times New Roman" w:eastAsia="Times New Roman" w:hAnsi="Times New Roman"/>
          <w:sz w:val="18"/>
          <w:szCs w:val="18"/>
          <w:color w:val="auto"/>
        </w:rPr>
        <w:t>– Fulcrum Therapeutics, Inc. (Nasdaq: FULC), a clinical-stage biopharmaceutical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improving the lives of patients with genetically defined rare diseases, today announced that it has priced an underwritten public offering of 4,000,000 shares of its common stock at a public offering price of $11.00 per share, for total gross proceeds of $44.0 million, before deducting underwriting discounts and commissions and offering expenses payable by Fulcrum. All of the shares in the offering are being sold by Fulcrum. In addition, Fulcrum has granted the underwriters a 30-day option to purchase up to 600,000 additional shares of its common stock at the public offering price, less the underwriting discount and commissions. The offering is expected to close on January 22, 2021, subject to customary closing conditions.</w:t>
      </w:r>
    </w:p>
    <w:p>
      <w:pPr>
        <w:spacing w:after="0" w:line="1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SVB Leerink, Piper Sandler &amp; Co. and Credit Suisse are acting as joint book-running managers for the offering. H.C. Wainwright &amp; Co. is acting as lead manager for the offering.</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shares are being offered by Fulcrum pursuant to a shelf registration statement on Form S-3 that was previously filed with and declared effective by the Securities and Exchange Commission (“SEC”).</w:t>
      </w:r>
    </w:p>
    <w:p>
      <w:pPr>
        <w:spacing w:after="0" w:line="16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This offering is being made only by means of a prospectus and prospectus supplement that form a part of the registration statement. A preliminary prospectus supplement relating to and describing the terms of the offering has been filed with the SEC and is available on the SEC’s website at www.sec.gov. A final prospectus supplement relating to the offering will be filed with the SEC. When available, copies of the final prospectus supplement and the accompanying prospectus may also be obtained by contacting: SVB Leerink LLC, Attention: Syndicate Department, One Federal Street, 37th Floor, Boston, MA 02110, by telephone at (800) 808-7525, ext. 6132, or by email at syndicate@svbleerink.com; Piper Sandler &amp; Co., Attention: Prospectus Department, 800 Nicollet Mall, J12S03, Minneapolis, MN 55402, by telephone at (800) 747-3924, or by email at prospectus@psc.com; or Credit Suisse Securities (USA) LLC, Attention: Prospectus Department, 6933 Louis Stephens Drive, Morrisville, NC 27560, by telephone at (800) 221-1037, or by e-mail at usa.prospectus@credit-suisse.com.</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Phase 3 for the treatment of COVID-19. Fulcrum has also advanced FTX-6058, a small molecule designed to increase expression of fetal hemoglobin for the treatment of sickle cell disease and beta-thalassemia, into Phase 1 clinical development.</w:t>
      </w:r>
    </w:p>
    <w:p>
      <w:pPr>
        <w:sectPr>
          <w:pgSz w:w="11900" w:h="16838" w:orient="portrait"/>
          <w:cols w:equalWidth="0" w:num="1">
            <w:col w:w="11020"/>
          </w:cols>
          <w:pgMar w:left="440" w:top="117"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as those, among others, relating to the Company’s plans to consummate the public offering.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projected or implied in these forward-looking statements. Factors that may cause such a difference include, without limitation, risks and uncertainties related to the satisfaction of customary closing conditions related to the public offering and the impact of general economic, industry or political conditions in the United States or internationally. There can be no assurance that the Company will be able to complete the public offering on the anticipated terms, or at all. You should not place undue reliance on these forward-looking statements. Additional risks and uncertainties relating to the offering, Fulcrum and its business can be found under the caption “Risk Factors” included in the Company’s Quarterly Report on Form 10-Q for the quarter ended September 30, 2020, the Company’s preliminary prospectus supplement filed with the SEC on January 19, 2021, and other filings that the Company may make with the SEC in the future.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 Waarich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617-651-8664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cwaarich@fulcrumtx.com</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lvl w:ilvl="1">
      <w:lvlJc w:val="left"/>
      <w:lvlText w:val="(%2)"/>
      <w:numFmt w:val="lowerLetter"/>
      <w:start w:val="1"/>
    </w:lvl>
  </w:abstractNum>
  <w:abstractNum w:abstractNumId="2">
    <w:nsid w:val="6763845E"/>
    <w:multiLevelType w:val="hybridMultilevel"/>
    <w:lvl w:ilvl="0">
      <w:lvlJc w:val="left"/>
      <w:lvlText w:val="(%1)"/>
      <w:numFmt w:val="lowerLetter"/>
      <w:start w:val="3"/>
    </w:lvl>
  </w:abstractNum>
  <w:abstractNum w:abstractNumId="3">
    <w:nsid w:val="75A2A8D4"/>
    <w:multiLevelType w:val="hybridMultilevel"/>
    <w:lvl w:ilvl="0">
      <w:lvlJc w:val="left"/>
      <w:lvlText w:val="(%1)"/>
      <w:numFmt w:val="lowerLetter"/>
      <w:start w:val="4"/>
    </w:lvl>
  </w:abstractNum>
  <w:abstractNum w:abstractNumId="4">
    <w:nsid w:val="8EDBDAB"/>
    <w:multiLevelType w:val="hybridMultilevel"/>
    <w:lvl w:ilvl="0">
      <w:lvlJc w:val="left"/>
      <w:lvlText w:val="(%1)"/>
      <w:numFmt w:val="lowerLetter"/>
      <w:start w:val="11"/>
    </w:lvl>
  </w:abstractNum>
  <w:abstractNum w:abstractNumId="5">
    <w:nsid w:val="79838CB2"/>
    <w:multiLevelType w:val="hybridMultilevel"/>
    <w:lvl w:ilvl="0">
      <w:lvlJc w:val="left"/>
      <w:lvlText w:val="(%1)"/>
      <w:numFmt w:val="lowerLetter"/>
      <w:start w:val="16"/>
    </w:lvl>
  </w:abstractNum>
  <w:abstractNum w:abstractNumId="6">
    <w:nsid w:val="4353D0CD"/>
    <w:multiLevelType w:val="hybridMultilevel"/>
    <w:lvl w:ilvl="0">
      <w:lvlJc w:val="left"/>
      <w:lvlText w:val="(%1)"/>
      <w:numFmt w:val="lowerLetter"/>
      <w:start w:val="19"/>
    </w:lvl>
    <w:lvl w:ilvl="1">
      <w:lvlJc w:val="left"/>
      <w:lvlText w:val="(%2)"/>
      <w:numFmt w:val="lowerRoman"/>
      <w:start w:val="1"/>
    </w:lvl>
    <w:lvl w:ilvl="2">
      <w:lvlJc w:val="left"/>
      <w:lvlText w:val="(%3)"/>
      <w:numFmt w:val="upperLetter"/>
      <w:start w:val="1"/>
    </w:lvl>
  </w:abstractNum>
  <w:abstractNum w:abstractNumId="7">
    <w:nsid w:val="B03E0C6"/>
    <w:multiLevelType w:val="hybridMultilevel"/>
    <w:lvl w:ilvl="0">
      <w:lvlJc w:val="left"/>
      <w:lvlText w:val="%1"/>
      <w:numFmt w:val="lowerLetter"/>
      <w:start w:val="1"/>
    </w:lvl>
    <w:lvl w:ilvl="1">
      <w:lvlJc w:val="left"/>
      <w:lvlText w:val="(%2)"/>
      <w:numFmt w:val="lowerLetter"/>
      <w:start w:val="21"/>
    </w:lvl>
  </w:abstractNum>
  <w:abstractNum w:abstractNumId="8">
    <w:nsid w:val="189A769B"/>
    <w:multiLevelType w:val="hybridMultilevel"/>
    <w:lvl w:ilvl="0">
      <w:lvlJc w:val="left"/>
      <w:lvlText w:val="(%1)"/>
      <w:numFmt w:val="lowerLetter"/>
      <w:start w:val="61"/>
    </w:lvl>
    <w:lvl w:ilvl="1">
      <w:lvlJc w:val="left"/>
      <w:lvlText w:val="(%2)"/>
      <w:numFmt w:val="lowerLetter"/>
      <w:start w:val="22"/>
    </w:lvl>
  </w:abstractNum>
  <w:abstractNum w:abstractNumId="9">
    <w:nsid w:val="54E49EB4"/>
    <w:multiLevelType w:val="hybridMultilevel"/>
    <w:lvl w:ilvl="0">
      <w:lvlJc w:val="left"/>
      <w:lvlText w:val="(%1)"/>
      <w:numFmt w:val="lowerRoman"/>
      <w:start w:val="6"/>
    </w:lvl>
    <w:lvl w:ilvl="1">
      <w:lvlJc w:val="left"/>
      <w:lvlText w:val="%2"/>
      <w:numFmt w:val="lowerRoman"/>
      <w:start w:val="1"/>
    </w:lvl>
  </w:abstractNum>
  <w:abstractNum w:abstractNumId="10">
    <w:nsid w:val="71F32454"/>
    <w:multiLevelType w:val="hybridMultilevel"/>
    <w:lvl w:ilvl="0">
      <w:lvlJc w:val="left"/>
      <w:lvlText w:val="(%1)"/>
      <w:numFmt w:val="lowerRoman"/>
      <w:start w:val="9"/>
    </w:lvl>
    <w:lvl w:ilvl="1">
      <w:lvlJc w:val="left"/>
      <w:lvlText w:val="(%2)"/>
      <w:numFmt w:val="lowerRoman"/>
      <w:start w:val="10"/>
    </w:lvl>
  </w:abstractNum>
  <w:abstractNum w:abstractNumId="11">
    <w:nsid w:val="2CA88611"/>
    <w:multiLevelType w:val="hybridMultilevel"/>
    <w:lvl w:ilvl="0">
      <w:lvlJc w:val="left"/>
      <w:lvlText w:val="(%1)"/>
      <w:numFmt w:val="lowerLetter"/>
      <w:start w:val="25"/>
    </w:lvl>
  </w:abstractNum>
  <w:abstractNum w:abstractNumId="12">
    <w:nsid w:val="836C40E"/>
    <w:multiLevelType w:val="hybridMultilevel"/>
    <w:lvl w:ilvl="0">
      <w:lvlJc w:val="left"/>
      <w:lvlText w:val="(%1)"/>
      <w:numFmt w:val="lowerLetter"/>
      <w:start w:val="27"/>
    </w:lvl>
  </w:abstractNum>
  <w:abstractNum w:abstractNumId="13">
    <w:nsid w:val="2901D82"/>
    <w:multiLevelType w:val="hybridMultilevel"/>
    <w:lvl w:ilvl="0">
      <w:lvlJc w:val="left"/>
      <w:lvlText w:val="(%1)"/>
      <w:numFmt w:val="lowerLetter"/>
      <w:start w:val="28"/>
    </w:lvl>
  </w:abstractNum>
  <w:abstractNum w:abstractNumId="14">
    <w:nsid w:val="3A95F874"/>
    <w:multiLevelType w:val="hybridMultilevel"/>
    <w:lvl w:ilvl="0">
      <w:lvlJc w:val="left"/>
      <w:lvlText w:val="(%1)"/>
      <w:numFmt w:val="lowerLetter"/>
      <w:start w:val="31"/>
    </w:lvl>
  </w:abstractNum>
  <w:abstractNum w:abstractNumId="15">
    <w:nsid w:val="8138641"/>
    <w:multiLevelType w:val="hybridMultilevel"/>
    <w:lvl w:ilvl="0">
      <w:lvlJc w:val="left"/>
      <w:lvlText w:val="%1"/>
      <w:numFmt w:val="lowerLetter"/>
      <w:start w:val="1"/>
    </w:lvl>
    <w:lvl w:ilvl="1">
      <w:lvlJc w:val="left"/>
      <w:lvlText w:val="(%2)"/>
      <w:numFmt w:val="lowerLetter"/>
      <w:start w:val="33"/>
    </w:lvl>
  </w:abstractNum>
  <w:abstractNum w:abstractNumId="16">
    <w:nsid w:val="1E7FF521"/>
    <w:multiLevelType w:val="hybridMultilevel"/>
    <w:lvl w:ilvl="0">
      <w:lvlJc w:val="left"/>
      <w:lvlText w:val="(%1)"/>
      <w:numFmt w:val="lowerLetter"/>
      <w:start w:val="9"/>
    </w:lvl>
    <w:lvl w:ilvl="1">
      <w:lvlJc w:val="left"/>
      <w:lvlText w:val="%2"/>
      <w:numFmt w:val="lowerLetter"/>
      <w:start w:val="1"/>
    </w:lvl>
  </w:abstractNum>
  <w:abstractNum w:abstractNumId="17">
    <w:nsid w:val="7C3DBD3D"/>
    <w:multiLevelType w:val="hybridMultilevel"/>
    <w:lvl w:ilvl="0">
      <w:lvlJc w:val="left"/>
      <w:lvlText w:val="(%1)"/>
      <w:numFmt w:val="lowerLetter"/>
      <w:start w:val="37"/>
    </w:lvl>
  </w:abstractNum>
  <w:abstractNum w:abstractNumId="18">
    <w:nsid w:val="737B8DDC"/>
    <w:multiLevelType w:val="hybridMultilevel"/>
    <w:lvl w:ilvl="0">
      <w:lvlJc w:val="left"/>
      <w:lvlText w:val="(%1)"/>
      <w:numFmt w:val="lowerLetter"/>
      <w:start w:val="43"/>
    </w:lvl>
  </w:abstractNum>
  <w:abstractNum w:abstractNumId="19">
    <w:nsid w:val="6CEAF087"/>
    <w:multiLevelType w:val="hybridMultilevel"/>
    <w:lvl w:ilvl="0">
      <w:lvlJc w:val="left"/>
      <w:lvlText w:val="%1."/>
      <w:numFmt w:val="decimal"/>
      <w:start w:val="2"/>
    </w:lvl>
  </w:abstractNum>
  <w:abstractNum w:abstractNumId="20">
    <w:nsid w:val="22221A70"/>
    <w:multiLevelType w:val="hybridMultilevel"/>
    <w:lvl w:ilvl="0">
      <w:lvlJc w:val="left"/>
      <w:lvlText w:val="%1."/>
      <w:numFmt w:val="decimal"/>
      <w:start w:val="3"/>
    </w:lvl>
  </w:abstractNum>
  <w:abstractNum w:abstractNumId="21">
    <w:nsid w:val="4516DDE9"/>
    <w:multiLevelType w:val="hybridMultilevel"/>
    <w:lvl w:ilvl="0">
      <w:lvlJc w:val="left"/>
      <w:lvlText w:val="%1."/>
      <w:numFmt w:val="decimal"/>
      <w:start w:val="5"/>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6"/>
    </w:lvl>
    <w:lvl w:ilvl="1">
      <w:lvlJc w:val="left"/>
      <w:lvlText w:val="(%2)"/>
      <w:numFmt w:val="lowerRoman"/>
      <w:start w:val="1"/>
    </w:lvl>
  </w:abstractNum>
  <w:abstractNum w:abstractNumId="24">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5">
    <w:nsid w:val="5577F8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
    <w:nsid w:val="440BADFC"/>
    <w:multiLevelType w:val="hybridMultilevel"/>
    <w:lvl w:ilvl="0">
      <w:lvlJc w:val="left"/>
      <w:lvlText w:val="(%1)"/>
      <w:numFmt w:val="lowerLetter"/>
      <w:start w:val="2"/>
    </w:lvl>
  </w:abstractNum>
  <w:abstractNum w:abstractNumId="27">
    <w:nsid w:val="5072367"/>
    <w:multiLevelType w:val="hybridMultilevel"/>
    <w:lvl w:ilvl="0">
      <w:lvlJc w:val="left"/>
      <w:lvlText w:val="(%1)"/>
      <w:numFmt w:val="lowerLetter"/>
      <w:start w:val="7"/>
    </w:lvl>
  </w:abstractNum>
  <w:abstractNum w:abstractNumId="28">
    <w:nsid w:val="3804823E"/>
    <w:multiLevelType w:val="hybridMultilevel"/>
    <w:lvl w:ilvl="0">
      <w:lvlJc w:val="left"/>
      <w:lvlText w:val="(%1)"/>
      <w:numFmt w:val="lowerLetter"/>
      <w:start w:val="10"/>
    </w:lvl>
  </w:abstractNum>
  <w:abstractNum w:abstractNumId="29">
    <w:nsid w:val="77465F01"/>
    <w:multiLevelType w:val="hybridMultilevel"/>
    <w:lvl w:ilvl="0">
      <w:lvlJc w:val="left"/>
      <w:lvlText w:val="%1."/>
      <w:numFmt w:val="decimal"/>
      <w:start w:val="7"/>
    </w:lvl>
  </w:abstractNum>
  <w:abstractNum w:abstractNumId="30">
    <w:nsid w:val="7724C67E"/>
    <w:multiLevelType w:val="hybridMultilevel"/>
    <w:lvl w:ilvl="0">
      <w:lvlJc w:val="left"/>
      <w:lvlText w:val="%1."/>
      <w:numFmt w:val="decimal"/>
      <w:start w:val="8"/>
    </w:lvl>
    <w:lvl w:ilvl="1">
      <w:lvlJc w:val="left"/>
      <w:lvlText w:val="(%2)"/>
      <w:numFmt w:val="lowerLetter"/>
      <w:start w:val="2"/>
    </w:lvl>
  </w:abstractNum>
  <w:abstractNum w:abstractNumId="31">
    <w:nsid w:val="5C482A97"/>
    <w:multiLevelType w:val="hybridMultilevel"/>
    <w:lvl w:ilvl="0">
      <w:lvlJc w:val="left"/>
      <w:lvlText w:val="(%1)"/>
      <w:numFmt w:val="lowerLetter"/>
      <w:start w:val="24"/>
    </w:lvl>
    <w:lvl w:ilvl="1">
      <w:lvlJc w:val="left"/>
      <w:lvlText w:val="(%2)"/>
      <w:numFmt w:val="lowerLetter"/>
      <w:start w:val="4"/>
    </w:lvl>
  </w:abstractNum>
  <w:abstractNum w:abstractNumId="32">
    <w:nsid w:val="2463B9EA"/>
    <w:multiLevelType w:val="hybridMultilevel"/>
    <w:lvl w:ilvl="0">
      <w:lvlJc w:val="left"/>
      <w:lvlText w:val="%1"/>
      <w:numFmt w:val="lowerLetter"/>
      <w:start w:val="1"/>
    </w:lvl>
    <w:lvl w:ilvl="1">
      <w:lvlJc w:val="left"/>
      <w:lvlText w:val="(%2)"/>
      <w:numFmt w:val="lowerLetter"/>
      <w:start w:val="5"/>
    </w:lvl>
  </w:abstractNum>
  <w:abstractNum w:abstractNumId="33">
    <w:nsid w:val="5E884ADC"/>
    <w:multiLevelType w:val="hybridMultilevel"/>
    <w:lvl w:ilvl="0">
      <w:lvlJc w:val="left"/>
      <w:lvlText w:val="(%1)"/>
      <w:numFmt w:val="lowerLetter"/>
      <w:start w:val="35"/>
    </w:lvl>
    <w:lvl w:ilvl="1">
      <w:lvlJc w:val="left"/>
      <w:lvlText w:val="%2"/>
      <w:numFmt w:val="lowerLetter"/>
      <w:start w:val="1"/>
    </w:lvl>
  </w:abstractNum>
  <w:abstractNum w:abstractNumId="34">
    <w:nsid w:val="51EAD36B"/>
    <w:multiLevelType w:val="hybridMultilevel"/>
    <w:lvl w:ilvl="0">
      <w:lvlJc w:val="left"/>
      <w:lvlText w:val="%1."/>
      <w:numFmt w:val="decimal"/>
      <w:start w:val="9"/>
    </w:lvl>
  </w:abstractNum>
  <w:abstractNum w:abstractNumId="35">
    <w:nsid w:val="2D517796"/>
    <w:multiLevelType w:val="hybridMultilevel"/>
    <w:lvl w:ilvl="0">
      <w:lvlJc w:val="left"/>
      <w:lvlText w:val="%1."/>
      <w:numFmt w:val="decimal"/>
      <w:start w:val="10"/>
    </w:lvl>
  </w:abstractNum>
  <w:abstractNum w:abstractNumId="36">
    <w:nsid w:val="580BD78F"/>
    <w:multiLevelType w:val="hybridMultilevel"/>
    <w:lvl w:ilvl="0">
      <w:lvlJc w:val="left"/>
      <w:lvlText w:val="%1."/>
      <w:numFmt w:val="decimal"/>
      <w:start w:val="12"/>
    </w:lvl>
    <w:lvl w:ilvl="1">
      <w:lvlJc w:val="left"/>
      <w:lvlText w:val="(%2)"/>
      <w:numFmt w:val="lowerLetter"/>
      <w:start w:val="2"/>
    </w:lvl>
  </w:abstractNum>
  <w:abstractNum w:abstractNumId="37">
    <w:nsid w:val="153EA438"/>
    <w:multiLevelType w:val="hybridMultilevel"/>
    <w:lvl w:ilvl="0">
      <w:lvlJc w:val="left"/>
      <w:lvlText w:val="%1."/>
      <w:numFmt w:val="decimal"/>
      <w:start w:val="14"/>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2"/>
    </w:lvl>
  </w:abstractNum>
  <w:abstractNum w:abstractNumId="41">
    <w:nsid w:val="2A487CB0"/>
    <w:multiLevelType w:val="hybridMultilevel"/>
    <w:lvl w:ilvl="0">
      <w:lvlJc w:val="left"/>
      <w:lvlText w:val="(%1)"/>
      <w:numFmt w:val="lowerLetter"/>
      <w:start w:val="6"/>
    </w:lvl>
  </w:abstractNum>
  <w:abstractNum w:abstractNumId="42">
    <w:nsid w:val="1D4ED43B"/>
    <w:multiLevelType w:val="hybridMultilevel"/>
    <w:lvl w:ilvl="0">
      <w:lvlJc w:val="left"/>
      <w:lvlText w:val="%1"/>
      <w:numFmt w:val="lowerLetter"/>
      <w:start w:val="1"/>
    </w:lvl>
    <w:lvl w:ilvl="1">
      <w:lvlJc w:val="left"/>
      <w:lvlText w:val="(%2)"/>
      <w:numFmt w:val="lowerLetter"/>
      <w:start w:val="8"/>
    </w:lvl>
  </w:abstractNum>
  <w:abstractNum w:abstractNumId="43">
    <w:nsid w:val="725A06FB"/>
    <w:multiLevelType w:val="hybridMultilevel"/>
    <w:lvl w:ilvl="0">
      <w:lvlJc w:val="left"/>
      <w:lvlText w:val="(%1)"/>
      <w:numFmt w:val="lowerLetter"/>
      <w:start w:val="9"/>
    </w:lvl>
    <w:lvl w:ilvl="1">
      <w:lvlJc w:val="left"/>
      <w:lvlText w:val="(%2)"/>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2021-01-20T15:07:32Z</dcterms:created>
  <dcterms:modified xsi:type="dcterms:W3CDTF">2021-01-20T15:07:32Z</dcterms:modified>
</cp:coreProperties>
</file>