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10,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740" w:type="dxa"/>
        <w:tblCellMar>
          <w:top w:w="0" w:type="dxa"/>
          <w:left w:w="0" w:type="dxa"/>
          <w:bottom w:w="0" w:type="dxa"/>
          <w:right w:w="0" w:type="dxa"/>
        </w:tblCellMar>
      </w:tblPr>
      <w:tr>
        <w:trPr>
          <w:trHeight w:val="212"/>
        </w:trPr>
        <w:tc>
          <w:tcPr>
            <w:tcW w:w="3480" w:type="dxa"/>
            <w:vAlign w:val="bottom"/>
          </w:tcPr>
          <w:p>
            <w:pPr>
              <w:jc w:val="center"/>
              <w:ind w:right="919"/>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ind w:left="1020"/>
              <w:spacing w:after="0"/>
              <w:rPr>
                <w:sz w:val="20"/>
                <w:szCs w:val="20"/>
                <w:color w:val="auto"/>
              </w:rPr>
            </w:pPr>
            <w:r>
              <w:rPr>
                <w:rFonts w:ascii="Arial" w:cs="Arial" w:eastAsia="Arial" w:hAnsi="Arial"/>
                <w:sz w:val="18"/>
                <w:szCs w:val="18"/>
                <w:b w:val="1"/>
                <w:bCs w:val="1"/>
                <w:color w:val="auto"/>
              </w:rPr>
              <w:t>001-38978</w:t>
            </w:r>
          </w:p>
        </w:tc>
        <w:tc>
          <w:tcPr>
            <w:tcW w:w="2460" w:type="dxa"/>
            <w:vAlign w:val="bottom"/>
          </w:tcPr>
          <w:p>
            <w:pPr>
              <w:jc w:val="right"/>
              <w:ind w:right="41"/>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3480" w:type="dxa"/>
            <w:vAlign w:val="bottom"/>
          </w:tcPr>
          <w:p>
            <w:pPr>
              <w:jc w:val="center"/>
              <w:ind w:right="919"/>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3160" w:type="dxa"/>
            <w:vAlign w:val="bottom"/>
          </w:tcPr>
          <w:p>
            <w:pPr>
              <w:ind w:left="100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480" w:type="dxa"/>
            <w:vAlign w:val="bottom"/>
          </w:tcPr>
          <w:p>
            <w:pPr>
              <w:jc w:val="center"/>
              <w:ind w:right="919"/>
              <w:spacing w:after="0"/>
              <w:rPr>
                <w:sz w:val="20"/>
                <w:szCs w:val="20"/>
                <w:color w:val="auto"/>
              </w:rPr>
            </w:pPr>
            <w:r>
              <w:rPr>
                <w:rFonts w:ascii="Arial" w:cs="Arial" w:eastAsia="Arial" w:hAnsi="Arial"/>
                <w:sz w:val="14"/>
                <w:szCs w:val="14"/>
                <w:b w:val="1"/>
                <w:bCs w:val="1"/>
                <w:color w:val="auto"/>
                <w:w w:val="96"/>
              </w:rPr>
              <w:t>of Incorporation)</w:t>
            </w:r>
          </w:p>
        </w:tc>
        <w:tc>
          <w:tcPr>
            <w:tcW w:w="3160" w:type="dxa"/>
            <w:vAlign w:val="bottom"/>
          </w:tcPr>
          <w:p>
            <w:pPr>
              <w:ind w:left="100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61"/>
              <w:spacing w:after="0"/>
              <w:rPr>
                <w:sz w:val="20"/>
                <w:szCs w:val="20"/>
                <w:color w:val="auto"/>
              </w:rPr>
            </w:pPr>
            <w:r>
              <w:rPr>
                <w:rFonts w:ascii="Arial" w:cs="Arial" w:eastAsia="Arial" w:hAnsi="Arial"/>
                <w:sz w:val="14"/>
                <w:szCs w:val="14"/>
                <w:b w:val="1"/>
                <w:bCs w:val="1"/>
                <w:color w:val="auto"/>
                <w:w w:val="94"/>
              </w:rPr>
              <w:t>Identification No.)</w:t>
            </w:r>
          </w:p>
        </w:tc>
      </w:tr>
      <w:tr>
        <w:trPr>
          <w:trHeight w:val="345"/>
        </w:trPr>
        <w:tc>
          <w:tcPr>
            <w:tcW w:w="3480" w:type="dxa"/>
            <w:vAlign w:val="bottom"/>
          </w:tcPr>
          <w:p>
            <w:pPr>
              <w:jc w:val="center"/>
              <w:ind w:right="919"/>
              <w:spacing w:after="0"/>
              <w:rPr>
                <w:sz w:val="20"/>
                <w:szCs w:val="20"/>
                <w:color w:val="auto"/>
              </w:rPr>
            </w:pPr>
            <w:r>
              <w:rPr>
                <w:rFonts w:ascii="Arial" w:cs="Arial" w:eastAsia="Arial" w:hAnsi="Arial"/>
                <w:sz w:val="18"/>
                <w:szCs w:val="18"/>
                <w:b w:val="1"/>
                <w:bCs w:val="1"/>
                <w:color w:val="auto"/>
                <w:w w:val="90"/>
              </w:rPr>
              <w:t>26 Landsdowne Street</w:t>
            </w:r>
          </w:p>
        </w:tc>
        <w:tc>
          <w:tcPr>
            <w:tcW w:w="31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2"/>
        </w:trPr>
        <w:tc>
          <w:tcPr>
            <w:tcW w:w="3480" w:type="dxa"/>
            <w:vAlign w:val="bottom"/>
          </w:tcPr>
          <w:p>
            <w:pPr>
              <w:jc w:val="center"/>
              <w:ind w:right="919"/>
              <w:spacing w:after="0"/>
              <w:rPr>
                <w:sz w:val="20"/>
                <w:szCs w:val="20"/>
                <w:color w:val="auto"/>
              </w:rPr>
            </w:pPr>
            <w:r>
              <w:rPr>
                <w:rFonts w:ascii="Arial" w:cs="Arial" w:eastAsia="Arial" w:hAnsi="Arial"/>
                <w:sz w:val="18"/>
                <w:szCs w:val="18"/>
                <w:b w:val="1"/>
                <w:bCs w:val="1"/>
                <w:color w:val="auto"/>
                <w:w w:val="89"/>
              </w:rPr>
              <w:t>Cambridge, Massachusetts</w:t>
            </w:r>
          </w:p>
        </w:tc>
        <w:tc>
          <w:tcPr>
            <w:tcW w:w="316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3480" w:type="dxa"/>
            <w:vAlign w:val="bottom"/>
          </w:tcPr>
          <w:p>
            <w:pPr>
              <w:jc w:val="center"/>
              <w:ind w:right="9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6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00" w:firstLine="8"/>
        <w:spacing w:after="0" w:line="402" w:lineRule="auto"/>
        <w:tabs>
          <w:tab w:leader="none" w:pos="49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4520" w:type="dxa"/>
            <w:vAlign w:val="bottom"/>
            <w:gridSpan w:val="2"/>
          </w:tcPr>
          <w:p>
            <w:pPr>
              <w:ind w:left="1640"/>
              <w:spacing w:after="0"/>
              <w:rPr>
                <w:sz w:val="20"/>
                <w:szCs w:val="20"/>
                <w:color w:val="auto"/>
              </w:rPr>
            </w:pPr>
            <w:r>
              <w:rPr>
                <w:rFonts w:ascii="Arial" w:cs="Arial" w:eastAsia="Arial" w:hAnsi="Arial"/>
                <w:sz w:val="14"/>
                <w:szCs w:val="14"/>
                <w:b w:val="1"/>
                <w:bCs w:val="1"/>
                <w:color w:val="auto"/>
              </w:rPr>
              <w:t>Title of each class</w:t>
            </w:r>
          </w:p>
        </w:tc>
        <w:tc>
          <w:tcPr>
            <w:tcW w:w="2340" w:type="dxa"/>
            <w:vAlign w:val="bottom"/>
            <w:gridSpan w:val="2"/>
          </w:tcPr>
          <w:p>
            <w:pPr>
              <w:ind w:left="600"/>
              <w:spacing w:after="0"/>
              <w:rPr>
                <w:sz w:val="20"/>
                <w:szCs w:val="20"/>
                <w:color w:val="auto"/>
              </w:rPr>
            </w:pPr>
            <w:r>
              <w:rPr>
                <w:rFonts w:ascii="Arial" w:cs="Arial" w:eastAsia="Arial" w:hAnsi="Arial"/>
                <w:sz w:val="14"/>
                <w:szCs w:val="14"/>
                <w:b w:val="1"/>
                <w:bCs w:val="1"/>
                <w:color w:val="auto"/>
              </w:rPr>
              <w:t>Trading Symbol(s)</w:t>
            </w:r>
          </w:p>
        </w:tc>
        <w:tc>
          <w:tcPr>
            <w:tcW w:w="4380" w:type="dxa"/>
            <w:vAlign w:val="bottom"/>
          </w:tcPr>
          <w:p>
            <w:pPr>
              <w:ind w:left="90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8"/>
        </w:trPr>
        <w:tc>
          <w:tcPr>
            <w:tcW w:w="4400" w:type="dxa"/>
            <w:vAlign w:val="bottom"/>
            <w:tcBorders>
              <w:top w:val="single" w:sz="8" w:color="auto"/>
            </w:tcBorders>
          </w:tcPr>
          <w:p>
            <w:pPr>
              <w:ind w:left="560"/>
              <w:spacing w:after="0"/>
              <w:rPr>
                <w:sz w:val="20"/>
                <w:szCs w:val="20"/>
                <w:color w:val="auto"/>
              </w:rPr>
            </w:pPr>
            <w:r>
              <w:rPr>
                <w:rFonts w:ascii="Arial" w:cs="Arial" w:eastAsia="Arial" w:hAnsi="Arial"/>
                <w:sz w:val="18"/>
                <w:szCs w:val="18"/>
                <w:b w:val="1"/>
                <w:bCs w:val="1"/>
                <w:color w:val="auto"/>
              </w:rPr>
              <w:t>Common stock, par value $0.001 per share</w:t>
            </w:r>
          </w:p>
        </w:tc>
        <w:tc>
          <w:tcPr>
            <w:tcW w:w="120" w:type="dxa"/>
            <w:vAlign w:val="bottom"/>
          </w:tcPr>
          <w:p>
            <w:pPr>
              <w:spacing w:after="0"/>
              <w:rPr>
                <w:sz w:val="19"/>
                <w:szCs w:val="19"/>
                <w:color w:val="auto"/>
              </w:rPr>
            </w:pPr>
          </w:p>
        </w:tc>
        <w:tc>
          <w:tcPr>
            <w:tcW w:w="2240" w:type="dxa"/>
            <w:vAlign w:val="bottom"/>
            <w:tcBorders>
              <w:top w:val="single" w:sz="8" w:color="auto"/>
            </w:tcBorders>
          </w:tcPr>
          <w:p>
            <w:pPr>
              <w:ind w:left="880"/>
              <w:spacing w:after="0"/>
              <w:rPr>
                <w:sz w:val="20"/>
                <w:szCs w:val="20"/>
                <w:color w:val="auto"/>
              </w:rPr>
            </w:pPr>
            <w:r>
              <w:rPr>
                <w:rFonts w:ascii="Arial" w:cs="Arial" w:eastAsia="Arial" w:hAnsi="Arial"/>
                <w:sz w:val="18"/>
                <w:szCs w:val="18"/>
                <w:b w:val="1"/>
                <w:bCs w:val="1"/>
                <w:color w:val="auto"/>
              </w:rPr>
              <w:t>FULC</w:t>
            </w:r>
          </w:p>
        </w:tc>
        <w:tc>
          <w:tcPr>
            <w:tcW w:w="100" w:type="dxa"/>
            <w:vAlign w:val="bottom"/>
          </w:tcPr>
          <w:p>
            <w:pPr>
              <w:spacing w:after="0"/>
              <w:rPr>
                <w:sz w:val="19"/>
                <w:szCs w:val="19"/>
                <w:color w:val="auto"/>
              </w:rPr>
            </w:pPr>
          </w:p>
        </w:tc>
        <w:tc>
          <w:tcPr>
            <w:tcW w:w="4380" w:type="dxa"/>
            <w:vAlign w:val="bottom"/>
            <w:tcBorders>
              <w:top w:val="single" w:sz="8" w:color="auto"/>
            </w:tcBorders>
          </w:tcPr>
          <w:p>
            <w:pPr>
              <w:ind w:left="1300"/>
              <w:spacing w:after="0"/>
              <w:rPr>
                <w:sz w:val="20"/>
                <w:szCs w:val="20"/>
                <w:color w:val="auto"/>
              </w:rPr>
            </w:pPr>
            <w:r>
              <w:rPr>
                <w:rFonts w:ascii="Arial" w:cs="Arial" w:eastAsia="Arial" w:hAnsi="Arial"/>
                <w:sz w:val="18"/>
                <w:szCs w:val="18"/>
                <w:b w:val="1"/>
                <w:bCs w:val="1"/>
                <w:color w:val="auto"/>
              </w:rPr>
              <w:t>Nasdaq Global Market</w:t>
            </w:r>
          </w:p>
        </w:tc>
      </w:tr>
    </w:tbl>
    <w:p>
      <w:pPr>
        <w:spacing w:after="0" w:line="8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 November 10, 2020, Fulcrum Therapeutics, Inc. (the “Company”) announced its financial results for the quarter ended September 30, 2020. The full text of the press release issued in connection with the announcement is being furnished as Exhibit 99.1 to this Current Report on Form 8-K and is incorporated herein by reference.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this Item 2.02, including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2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herewith:</w:t>
      </w:r>
    </w:p>
    <w:p>
      <w:pPr>
        <w:spacing w:after="0" w:line="225" w:lineRule="exact"/>
        <w:rPr>
          <w:sz w:val="20"/>
          <w:szCs w:val="20"/>
          <w:color w:val="auto"/>
        </w:rPr>
      </w:pPr>
    </w:p>
    <w:p>
      <w:pPr>
        <w:ind w:left="140"/>
        <w:spacing w:after="0"/>
        <w:tabs>
          <w:tab w:leader="none" w:pos="6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issued by the Company on November 10,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7200" w:type="dxa"/>
            <w:vAlign w:val="bottom"/>
            <w:gridSpan w:val="2"/>
          </w:tcPr>
          <w:p>
            <w:pPr>
              <w:ind w:left="2160"/>
              <w:spacing w:after="0"/>
              <w:rPr>
                <w:sz w:val="20"/>
                <w:szCs w:val="20"/>
                <w:color w:val="auto"/>
              </w:rPr>
            </w:pPr>
            <w:r>
              <w:rPr>
                <w:rFonts w:ascii="Arial" w:cs="Arial" w:eastAsia="Arial" w:hAnsi="Arial"/>
                <w:sz w:val="18"/>
                <w:szCs w:val="18"/>
                <w:color w:val="auto"/>
              </w:rPr>
              <w:t>FULCRUM THERAPEUTICS, INC.</w:t>
            </w:r>
          </w:p>
        </w:tc>
      </w:tr>
      <w:tr>
        <w:trPr>
          <w:trHeight w:val="338"/>
        </w:trPr>
        <w:tc>
          <w:tcPr>
            <w:tcW w:w="4040" w:type="dxa"/>
            <w:vAlign w:val="bottom"/>
          </w:tcPr>
          <w:p>
            <w:pPr>
              <w:spacing w:after="0"/>
              <w:rPr>
                <w:sz w:val="20"/>
                <w:szCs w:val="20"/>
                <w:color w:val="auto"/>
              </w:rPr>
            </w:pPr>
            <w:r>
              <w:rPr>
                <w:rFonts w:ascii="Arial" w:cs="Arial" w:eastAsia="Arial" w:hAnsi="Arial"/>
                <w:sz w:val="18"/>
                <w:szCs w:val="18"/>
                <w:color w:val="auto"/>
              </w:rPr>
              <w:t>Date: November 10, 2020</w:t>
            </w:r>
          </w:p>
        </w:tc>
        <w:tc>
          <w:tcPr>
            <w:tcW w:w="7200" w:type="dxa"/>
            <w:vAlign w:val="bottom"/>
            <w:gridSpan w:val="2"/>
          </w:tcPr>
          <w:p>
            <w:pPr>
              <w:ind w:left="2160"/>
              <w:spacing w:after="0"/>
              <w:rPr>
                <w:sz w:val="20"/>
                <w:szCs w:val="20"/>
                <w:color w:val="auto"/>
              </w:rPr>
            </w:pPr>
            <w:r>
              <w:rPr>
                <w:rFonts w:ascii="Arial" w:cs="Arial" w:eastAsia="Arial" w:hAnsi="Arial"/>
                <w:sz w:val="18"/>
                <w:szCs w:val="18"/>
                <w:color w:val="auto"/>
              </w:rPr>
              <w:t>By: /s/ Robert J. Gould</w:t>
            </w:r>
          </w:p>
        </w:tc>
      </w:tr>
      <w:tr>
        <w:trPr>
          <w:trHeight w:val="195"/>
        </w:trPr>
        <w:tc>
          <w:tcPr>
            <w:tcW w:w="40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Robert J. Gould</w:t>
            </w:r>
          </w:p>
        </w:tc>
      </w:tr>
      <w:tr>
        <w:trPr>
          <w:trHeight w:val="230"/>
        </w:trPr>
        <w:tc>
          <w:tcPr>
            <w:tcW w:w="40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654175"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417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Fulcrum Therapeutics Reports Recent Business Highlights and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Third Quarter 2020 Financial Results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ReDUX4 trial progressing; full data with losmapimod in facioscapulohumeral muscular dystrophy (FSHD) expected in 2Q 2021</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On track to begin dosing Phase 1 trial with FTX-6058 for sickle cell disease before YE 2020</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Cash runway into 2Q 2022</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K</w:t>
      </w:r>
      <w:r>
        <w:rPr>
          <w:rFonts w:ascii="Arial" w:cs="Arial" w:eastAsia="Arial" w:hAnsi="Arial"/>
          <w:sz w:val="18"/>
          <w:szCs w:val="18"/>
          <w:b w:val="1"/>
          <w:bCs w:val="1"/>
          <w:i w:val="1"/>
          <w:iCs w:val="1"/>
          <w:color w:val="auto"/>
        </w:rPr>
        <w:t>e</w:t>
      </w:r>
      <w:r>
        <w:rPr>
          <w:rFonts w:ascii="Arial" w:cs="Arial" w:eastAsia="Arial" w:hAnsi="Arial"/>
          <w:sz w:val="18"/>
          <w:szCs w:val="18"/>
          <w:i w:val="1"/>
          <w:iCs w:val="1"/>
          <w:color w:val="auto"/>
        </w:rPr>
        <w:t>y appointments to management team</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Conference call scheduled for 8:00 a.m. ET today</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CAMBRIDGE, Mass. – November 10, 2020 </w:t>
      </w:r>
      <w:r>
        <w:rPr>
          <w:rFonts w:ascii="Arial" w:cs="Arial" w:eastAsia="Arial" w:hAnsi="Arial"/>
          <w:sz w:val="18"/>
          <w:szCs w:val="18"/>
          <w:color w:val="auto"/>
        </w:rPr>
        <w:t>– Fulcrum Therapeutics, Inc. (Nasdaq: FULC), a clinical-stage biopharmaceutical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improving the lives of patients with genetically defined rare diseases, today provided a business update and reported financial results for the third quarter of 2020.</w:t>
      </w:r>
    </w:p>
    <w:p>
      <w:pPr>
        <w:spacing w:after="0" w:line="18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“We’ve made significant progress in 2020, which will lead to a number of key data readouts as we move into 2021,” said Robert J. Gould, Ph.D., president and chief executive officer. “We plan to announce full data from our ReDUX4 trial with losmapimod in facioscapulohumeral muscular dystrophy (FSHD), including the primary endpoint in the second quarter of 2021. We are encouraged by the interim analysis from ReDUX4, which assessed reductions in DUX4-driven gene expression, the root cause of the disease, via muscle biopsy. The full data will also contain a number of validated and novel endpoints and we look forward to presenting a comprehensive assessment of the data in its entirety. Our select hemoglobinopathy program, FTX-6058, a highly potent small molecule EED inhibitor, has made important progress as well, and we are currently screening healthy volunteers in our Phase 1 trial. We believe FTX-6058 has the potential to offer a transformative small molecule treatment option that could represent a significant development for sickle cell patients.”</w:t>
      </w:r>
    </w:p>
    <w:p>
      <w:pPr>
        <w:spacing w:after="0" w:line="192"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color w:val="auto"/>
        </w:rPr>
        <w:t>“I am also pleased to report that Curtis Oltmans will be joining Fulcrum as Senior Vice President, General Counsel and Kim Hazen has been promoted to Senior Vice President, Human Resources,” continued Dr. Gould. “In addition, Alan Ezekowitz, MBChB, D.Phil will take on the responsibility of clinical advisor as Diego Cadavid, MD is leaving his position as Senior Vice President, Clinical Development. Curt has an extensive record of legal and corporate development accomplishments. Kim has made important contributions since joining Fulcrum in 2017 and Alan has served on our Board of Directors since 2016. We are thrilled to have them on our leadership team. We thank Diego for his many contributions to Fulcrum.”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and Recent Business Highlights</w:t>
      </w:r>
    </w:p>
    <w:p>
      <w:pPr>
        <w:spacing w:after="0" w:line="121" w:lineRule="exact"/>
        <w:rPr>
          <w:sz w:val="20"/>
          <w:szCs w:val="20"/>
          <w:color w:val="auto"/>
        </w:rPr>
      </w:pPr>
    </w:p>
    <w:p>
      <w:pPr>
        <w:ind w:left="1120" w:right="620" w:hanging="370"/>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interim data for ReDUX4, a Phase 2b trial of losmapimod, a selective p38α/β mitogen activated protein kinase (MAPK) inhibitor, in FSHD.</w:t>
      </w:r>
    </w:p>
    <w:p>
      <w:pPr>
        <w:spacing w:after="0" w:line="62" w:lineRule="exact"/>
        <w:rPr>
          <w:sz w:val="20"/>
          <w:szCs w:val="20"/>
          <w:color w:val="auto"/>
        </w:rPr>
      </w:pPr>
    </w:p>
    <w:p>
      <w:pPr>
        <w:ind w:left="1860" w:right="320" w:hanging="367"/>
        <w:spacing w:after="0" w:line="289" w:lineRule="auto"/>
        <w:tabs>
          <w:tab w:leader="none" w:pos="1860" w:val="left"/>
        </w:tabs>
        <w:numPr>
          <w:ilvl w:val="1"/>
          <w:numId w:val="4"/>
        </w:numPr>
        <w:rPr>
          <w:rFonts w:ascii="Courier New" w:cs="Courier New" w:eastAsia="Courier New" w:hAnsi="Courier New"/>
          <w:sz w:val="17"/>
          <w:szCs w:val="17"/>
          <w:color w:val="auto"/>
        </w:rPr>
      </w:pPr>
      <w:r>
        <w:rPr>
          <w:rFonts w:ascii="Arial" w:cs="Arial" w:eastAsia="Arial" w:hAnsi="Arial"/>
          <w:sz w:val="17"/>
          <w:szCs w:val="17"/>
          <w:color w:val="auto"/>
        </w:rPr>
        <w:t>Encouraging data suggest that muscles with the highest DUX4-driven gene expression in pre-treatment biopsies showed large reductions in DUX4-driven gene expression following treatment with losmapimod compared to placebo.</w:t>
      </w:r>
    </w:p>
    <w:p>
      <w:pPr>
        <w:spacing w:after="0" w:line="51" w:lineRule="exact"/>
        <w:rPr>
          <w:rFonts w:ascii="Courier New" w:cs="Courier New" w:eastAsia="Courier New" w:hAnsi="Courier New"/>
          <w:sz w:val="17"/>
          <w:szCs w:val="17"/>
          <w:color w:val="auto"/>
        </w:rPr>
      </w:pPr>
    </w:p>
    <w:p>
      <w:pPr>
        <w:jc w:val="both"/>
        <w:ind w:left="1860" w:right="60" w:hanging="367"/>
        <w:spacing w:after="0" w:line="254" w:lineRule="auto"/>
        <w:tabs>
          <w:tab w:leader="none" w:pos="186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Remain on track to report full data in the second quarter of 2021. Data will include the primary endpoint, reduction from baseline of DUX4-driven gene expression, as well as a pre-specified sensitivity analysis assessing biopsies with the highest pre-treatment level of DUX4-driven gene expression, in addition to secondary and exploratory endpoints.</w:t>
      </w:r>
    </w:p>
    <w:p>
      <w:pPr>
        <w:spacing w:after="0" w:line="81" w:lineRule="exact"/>
        <w:rPr>
          <w:rFonts w:ascii="Courier New" w:cs="Courier New" w:eastAsia="Courier New" w:hAnsi="Courier New"/>
          <w:sz w:val="18"/>
          <w:szCs w:val="18"/>
          <w:color w:val="auto"/>
        </w:rPr>
      </w:pPr>
    </w:p>
    <w:p>
      <w:pPr>
        <w:ind w:left="1860" w:hanging="367"/>
        <w:spacing w:after="0"/>
        <w:tabs>
          <w:tab w:leader="none" w:pos="186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Continued evaluation of the Open Label Study and ReSOLVE Natural History Study</w:t>
      </w:r>
    </w:p>
    <w:p>
      <w:pPr>
        <w:spacing w:after="0" w:line="101" w:lineRule="exact"/>
        <w:rPr>
          <w:rFonts w:ascii="Courier New" w:cs="Courier New" w:eastAsia="Courier New" w:hAnsi="Courier New"/>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track to begin dosing healthy volunteers in a Phase 1 trial for sickle cell disease with FTX-6058 before year-end 2020.</w:t>
      </w:r>
    </w:p>
    <w:p>
      <w:pPr>
        <w:spacing w:after="0" w:line="117" w:lineRule="exact"/>
        <w:rPr>
          <w:rFonts w:ascii="Arial" w:cs="Arial" w:eastAsia="Arial" w:hAnsi="Arial"/>
          <w:sz w:val="18"/>
          <w:szCs w:val="18"/>
          <w:color w:val="auto"/>
        </w:rPr>
      </w:pPr>
    </w:p>
    <w:p>
      <w:pPr>
        <w:ind w:left="1860" w:right="200" w:hanging="367"/>
        <w:spacing w:after="0" w:line="269" w:lineRule="auto"/>
        <w:tabs>
          <w:tab w:leader="none" w:pos="1860" w:val="left"/>
        </w:tabs>
        <w:numPr>
          <w:ilvl w:val="1"/>
          <w:numId w:val="4"/>
        </w:numPr>
        <w:rPr>
          <w:rFonts w:ascii="Courier New" w:cs="Courier New" w:eastAsia="Courier New" w:hAnsi="Courier New"/>
          <w:sz w:val="18"/>
          <w:szCs w:val="18"/>
          <w:color w:val="auto"/>
        </w:rPr>
      </w:pPr>
      <w:r>
        <w:rPr>
          <w:rFonts w:ascii="Arial" w:cs="Arial" w:eastAsia="Arial" w:hAnsi="Arial"/>
          <w:sz w:val="18"/>
          <w:szCs w:val="18"/>
          <w:color w:val="auto"/>
        </w:rPr>
        <w:t>FTX-6058, a highly potent small molecule EED inhibitor, is designed to induce expression of fetal hemoglobin (HbF) in red blood cells to compensate for the mutated adult hemoglobin for the potential treatment of hemoglobinopathies, including sickle cell disease and beta-thalassemia.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1110" w:right="300" w:hanging="367"/>
        <w:spacing w:after="0" w:line="259" w:lineRule="auto"/>
        <w:tabs>
          <w:tab w:leader="none" w:pos="111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Preclinical data with FTX-6058 showed an increase in HbF levels up to approximately 30% of total hemoglobin showing the potential to have a significant impact on the sickle cell patient population.</w:t>
      </w:r>
    </w:p>
    <w:p>
      <w:pPr>
        <w:spacing w:after="0" w:line="76" w:lineRule="exact"/>
        <w:rPr>
          <w:rFonts w:ascii="Courier New" w:cs="Courier New" w:eastAsia="Courier New" w:hAnsi="Courier New"/>
          <w:sz w:val="18"/>
          <w:szCs w:val="18"/>
          <w:color w:val="auto"/>
        </w:rPr>
      </w:pPr>
    </w:p>
    <w:p>
      <w:pPr>
        <w:ind w:left="1110" w:hanging="367"/>
        <w:spacing w:after="0"/>
        <w:tabs>
          <w:tab w:leader="none" w:pos="1110" w:val="left"/>
        </w:tabs>
        <w:numPr>
          <w:ilvl w:val="1"/>
          <w:numId w:val="5"/>
        </w:numPr>
        <w:rPr>
          <w:rFonts w:ascii="Courier New" w:cs="Courier New" w:eastAsia="Courier New" w:hAnsi="Courier New"/>
          <w:sz w:val="17"/>
          <w:szCs w:val="17"/>
          <w:color w:val="auto"/>
        </w:rPr>
      </w:pPr>
      <w:r>
        <w:rPr>
          <w:rFonts w:ascii="Arial" w:cs="Arial" w:eastAsia="Arial" w:hAnsi="Arial"/>
          <w:sz w:val="17"/>
          <w:szCs w:val="17"/>
          <w:color w:val="auto"/>
        </w:rPr>
        <w:t>Fulcrum’s non-provisional composition of matter patent application covering FTX-6058 and related structures published.</w:t>
      </w:r>
    </w:p>
    <w:p>
      <w:pPr>
        <w:spacing w:after="0" w:line="113" w:lineRule="exact"/>
        <w:rPr>
          <w:rFonts w:ascii="Courier New" w:cs="Courier New" w:eastAsia="Courier New" w:hAnsi="Courier New"/>
          <w:sz w:val="17"/>
          <w:szCs w:val="17"/>
          <w:color w:val="auto"/>
        </w:rPr>
      </w:pPr>
    </w:p>
    <w:p>
      <w:pPr>
        <w:ind w:left="370" w:hanging="370"/>
        <w:spacing w:after="0" w:line="286" w:lineRule="auto"/>
        <w:tabs>
          <w:tab w:leader="none" w:pos="370" w:val="left"/>
        </w:tabs>
        <w:numPr>
          <w:ilvl w:val="0"/>
          <w:numId w:val="5"/>
        </w:numPr>
        <w:rPr>
          <w:rFonts w:ascii="Arial" w:cs="Arial" w:eastAsia="Arial" w:hAnsi="Arial"/>
          <w:sz w:val="17"/>
          <w:szCs w:val="17"/>
          <w:color w:val="auto"/>
        </w:rPr>
      </w:pPr>
      <w:r>
        <w:rPr>
          <w:rFonts w:ascii="Arial" w:cs="Arial" w:eastAsia="Arial" w:hAnsi="Arial"/>
          <w:sz w:val="17"/>
          <w:szCs w:val="17"/>
          <w:color w:val="auto"/>
        </w:rPr>
        <w:t>Enrolling patients in the international, multicenter Phase 3 trial with losmapimod for hospitalized subjects with COVID-19 (LOSVID). The trial is designed to assess the safety and efficacy of losmapimod compared to placebo for 14 days on top of standard of care in approximately 400 patients who are at risk of progression to critical illness based on older age and elevated systemic inflammation.</w:t>
      </w:r>
    </w:p>
    <w:p>
      <w:pPr>
        <w:spacing w:after="0" w:line="57" w:lineRule="exact"/>
        <w:rPr>
          <w:rFonts w:ascii="Arial" w:cs="Arial" w:eastAsia="Arial" w:hAnsi="Arial"/>
          <w:sz w:val="17"/>
          <w:szCs w:val="17"/>
          <w:color w:val="auto"/>
        </w:rPr>
      </w:pPr>
    </w:p>
    <w:p>
      <w:pPr>
        <w:ind w:left="1110" w:right="460" w:hanging="367"/>
        <w:spacing w:after="0" w:line="259" w:lineRule="auto"/>
        <w:tabs>
          <w:tab w:leader="none" w:pos="111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Progress in opening trial sites has been slower than anticipated. Based on assessments of enrollment thus far we anticipate providing an update on the LOSVID trial in the first quarter of 2021.</w:t>
      </w:r>
    </w:p>
    <w:p>
      <w:pPr>
        <w:spacing w:after="0" w:line="76" w:lineRule="exact"/>
        <w:rPr>
          <w:rFonts w:ascii="Courier New" w:cs="Courier New" w:eastAsia="Courier New" w:hAnsi="Courier New"/>
          <w:sz w:val="18"/>
          <w:szCs w:val="18"/>
          <w:color w:val="auto"/>
        </w:rPr>
      </w:pPr>
    </w:p>
    <w:p>
      <w:pPr>
        <w:ind w:left="370" w:hanging="370"/>
        <w:spacing w:after="0"/>
        <w:tabs>
          <w:tab w:leader="none" w:pos="37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Announced multiple scientific meeting presentations</w:t>
      </w:r>
    </w:p>
    <w:p>
      <w:pPr>
        <w:spacing w:after="0" w:line="117" w:lineRule="exact"/>
        <w:rPr>
          <w:rFonts w:ascii="Arial" w:cs="Arial" w:eastAsia="Arial" w:hAnsi="Arial"/>
          <w:sz w:val="18"/>
          <w:szCs w:val="18"/>
          <w:color w:val="auto"/>
        </w:rPr>
      </w:pPr>
    </w:p>
    <w:p>
      <w:pPr>
        <w:ind w:left="1110" w:right="280" w:hanging="367"/>
        <w:spacing w:after="0" w:line="254" w:lineRule="auto"/>
        <w:tabs>
          <w:tab w:leader="none" w:pos="111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Presented target engagement and good tolerability with FTX-6058 in multiple preclinical rodent models with once-a-day oral dosing at the 14th Annual Sickle Cell Disease Research &amp; Educational Symposium and 43rd National Sickle Cell Disease Scientific Meeting, September 25, 2020.</w:t>
      </w:r>
    </w:p>
    <w:p>
      <w:pPr>
        <w:spacing w:after="0" w:line="81" w:lineRule="exact"/>
        <w:rPr>
          <w:rFonts w:ascii="Courier New" w:cs="Courier New" w:eastAsia="Courier New" w:hAnsi="Courier New"/>
          <w:sz w:val="18"/>
          <w:szCs w:val="18"/>
          <w:color w:val="auto"/>
        </w:rPr>
      </w:pPr>
    </w:p>
    <w:p>
      <w:pPr>
        <w:ind w:left="1110" w:right="420" w:hanging="367"/>
        <w:spacing w:after="0" w:line="259" w:lineRule="auto"/>
        <w:tabs>
          <w:tab w:leader="none" w:pos="111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Presented multiple posters demonstrating Fulcrum’s integrated approach to the evaluation of FSHD patients during the 25</w:t>
      </w:r>
      <w:r>
        <w:rPr>
          <w:rFonts w:ascii="Arial" w:cs="Arial" w:eastAsia="Arial" w:hAnsi="Arial"/>
          <w:sz w:val="15"/>
          <w:szCs w:val="15"/>
          <w:color w:val="auto"/>
        </w:rPr>
        <w:t>th</w:t>
      </w:r>
      <w:r>
        <w:rPr>
          <w:rFonts w:ascii="Arial" w:cs="Arial" w:eastAsia="Arial" w:hAnsi="Arial"/>
          <w:sz w:val="18"/>
          <w:szCs w:val="18"/>
          <w:color w:val="auto"/>
        </w:rPr>
        <w:t xml:space="preserve"> International Congress of the World Muscle Society (WMS), October 1, 2020.</w:t>
      </w:r>
    </w:p>
    <w:p>
      <w:pPr>
        <w:spacing w:after="0" w:line="76" w:lineRule="exact"/>
        <w:rPr>
          <w:rFonts w:ascii="Courier New" w:cs="Courier New" w:eastAsia="Courier New" w:hAnsi="Courier New"/>
          <w:sz w:val="18"/>
          <w:szCs w:val="18"/>
          <w:color w:val="auto"/>
        </w:rPr>
      </w:pPr>
    </w:p>
    <w:p>
      <w:pPr>
        <w:ind w:left="1110" w:right="300" w:hanging="367"/>
        <w:spacing w:after="0" w:line="259" w:lineRule="auto"/>
        <w:tabs>
          <w:tab w:leader="none" w:pos="111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Announced multiple posters demonstrating the potential of FTX-6058 accepted at the 62</w:t>
      </w:r>
      <w:r>
        <w:rPr>
          <w:rFonts w:ascii="Arial" w:cs="Arial" w:eastAsia="Arial" w:hAnsi="Arial"/>
          <w:sz w:val="15"/>
          <w:szCs w:val="15"/>
          <w:color w:val="auto"/>
        </w:rPr>
        <w:t>nd</w:t>
      </w:r>
      <w:r>
        <w:rPr>
          <w:rFonts w:ascii="Arial" w:cs="Arial" w:eastAsia="Arial" w:hAnsi="Arial"/>
          <w:sz w:val="18"/>
          <w:szCs w:val="18"/>
          <w:color w:val="auto"/>
        </w:rPr>
        <w:t xml:space="preserve"> American Society of Hematology (ASH) annual meeting, December 5-8, 2020.</w:t>
      </w:r>
    </w:p>
    <w:p>
      <w:pPr>
        <w:spacing w:after="0" w:line="76" w:lineRule="exact"/>
        <w:rPr>
          <w:rFonts w:ascii="Courier New" w:cs="Courier New" w:eastAsia="Courier New" w:hAnsi="Courier New"/>
          <w:sz w:val="18"/>
          <w:szCs w:val="18"/>
          <w:color w:val="auto"/>
        </w:rPr>
      </w:pPr>
    </w:p>
    <w:p>
      <w:pPr>
        <w:ind w:left="370" w:right="60" w:hanging="370"/>
        <w:spacing w:after="0" w:line="277" w:lineRule="auto"/>
        <w:tabs>
          <w:tab w:leader="none" w:pos="37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Executed strategic collaboration and license agreement in July 2020 with MyoKardia to identify therapeutics that control the expression of genes that are known to be underlying drivers of genetic cardiomyopathies.</w:t>
      </w:r>
    </w:p>
    <w:p>
      <w:pPr>
        <w:spacing w:after="0" w:line="62" w:lineRule="exact"/>
        <w:rPr>
          <w:rFonts w:ascii="Arial" w:cs="Arial" w:eastAsia="Arial" w:hAnsi="Arial"/>
          <w:sz w:val="18"/>
          <w:szCs w:val="18"/>
          <w:color w:val="auto"/>
        </w:rPr>
      </w:pPr>
    </w:p>
    <w:p>
      <w:pPr>
        <w:ind w:left="1110" w:right="40" w:hanging="367"/>
        <w:spacing w:after="0" w:line="300" w:lineRule="auto"/>
        <w:tabs>
          <w:tab w:leader="none" w:pos="1110" w:val="left"/>
        </w:tabs>
        <w:numPr>
          <w:ilvl w:val="1"/>
          <w:numId w:val="5"/>
        </w:numPr>
        <w:rPr>
          <w:rFonts w:ascii="Courier New" w:cs="Courier New" w:eastAsia="Courier New" w:hAnsi="Courier New"/>
          <w:sz w:val="16"/>
          <w:szCs w:val="16"/>
          <w:color w:val="auto"/>
        </w:rPr>
      </w:pPr>
      <w:r>
        <w:rPr>
          <w:rFonts w:ascii="Arial" w:cs="Arial" w:eastAsia="Arial" w:hAnsi="Arial"/>
          <w:sz w:val="16"/>
          <w:szCs w:val="16"/>
          <w:color w:val="auto"/>
        </w:rPr>
        <w:t>Fulcrum is eligible to receive preclinical milestone payments, development milestone payments and sales milestone payments of up to $298.5 million for a first product to progress through development and commercialization and may be eligible for up to $150.0 million in milestone payments for additional targets, as well as reimbursement for the costs of the research activities.</w:t>
      </w:r>
    </w:p>
    <w:p>
      <w:pPr>
        <w:spacing w:after="0" w:line="48" w:lineRule="exact"/>
        <w:rPr>
          <w:rFonts w:ascii="Courier New" w:cs="Courier New" w:eastAsia="Courier New" w:hAnsi="Courier New"/>
          <w:sz w:val="16"/>
          <w:szCs w:val="16"/>
          <w:color w:val="auto"/>
        </w:rPr>
      </w:pPr>
    </w:p>
    <w:p>
      <w:pPr>
        <w:ind w:left="1110" w:right="60" w:hanging="367"/>
        <w:spacing w:after="0" w:line="259" w:lineRule="auto"/>
        <w:tabs>
          <w:tab w:leader="none" w:pos="111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Fulcrum may also be eligible to receive tiered royalty payments in the mid-single digit to low double-digit range on net sales for any products under the collaboration that are commercialized.</w:t>
      </w:r>
    </w:p>
    <w:p>
      <w:pPr>
        <w:spacing w:after="0" w:line="76" w:lineRule="exact"/>
        <w:rPr>
          <w:rFonts w:ascii="Courier New" w:cs="Courier New" w:eastAsia="Courier New" w:hAnsi="Courier New"/>
          <w:sz w:val="18"/>
          <w:szCs w:val="18"/>
          <w:color w:val="auto"/>
        </w:rPr>
      </w:pPr>
    </w:p>
    <w:p>
      <w:pPr>
        <w:ind w:left="370" w:hanging="370"/>
        <w:spacing w:after="0"/>
        <w:tabs>
          <w:tab w:leader="none" w:pos="370" w:val="left"/>
        </w:tabs>
        <w:numPr>
          <w:ilvl w:val="0"/>
          <w:numId w:val="5"/>
        </w:numPr>
        <w:rPr>
          <w:rFonts w:ascii="Arial" w:cs="Arial" w:eastAsia="Arial" w:hAnsi="Arial"/>
          <w:sz w:val="18"/>
          <w:szCs w:val="18"/>
          <w:color w:val="auto"/>
        </w:rPr>
      </w:pPr>
      <w:r>
        <w:rPr>
          <w:rFonts w:ascii="Arial" w:cs="Arial" w:eastAsia="Arial" w:hAnsi="Arial"/>
          <w:sz w:val="18"/>
          <w:szCs w:val="18"/>
          <w:color w:val="auto"/>
        </w:rPr>
        <w:t>Key appointments to management team</w:t>
      </w:r>
    </w:p>
    <w:p>
      <w:pPr>
        <w:spacing w:after="0" w:line="117" w:lineRule="exact"/>
        <w:rPr>
          <w:rFonts w:ascii="Arial" w:cs="Arial" w:eastAsia="Arial" w:hAnsi="Arial"/>
          <w:sz w:val="18"/>
          <w:szCs w:val="18"/>
          <w:color w:val="auto"/>
        </w:rPr>
      </w:pPr>
    </w:p>
    <w:p>
      <w:pPr>
        <w:ind w:left="1110" w:right="240" w:hanging="367"/>
        <w:spacing w:after="0" w:line="259" w:lineRule="auto"/>
        <w:tabs>
          <w:tab w:leader="none" w:pos="111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Curtis Oltmans will join Fulcrum as Senior Vice President, General Counsel and Corporate Secretary, effective November 30, 2020.</w:t>
      </w:r>
    </w:p>
    <w:p>
      <w:pPr>
        <w:spacing w:after="0" w:line="76" w:lineRule="exact"/>
        <w:rPr>
          <w:rFonts w:ascii="Courier New" w:cs="Courier New" w:eastAsia="Courier New" w:hAnsi="Courier New"/>
          <w:sz w:val="18"/>
          <w:szCs w:val="18"/>
          <w:color w:val="auto"/>
        </w:rPr>
      </w:pPr>
    </w:p>
    <w:p>
      <w:pPr>
        <w:ind w:left="1870" w:right="40" w:hanging="371"/>
        <w:spacing w:after="0" w:line="296" w:lineRule="auto"/>
        <w:tabs>
          <w:tab w:leader="none" w:pos="1870" w:val="left"/>
        </w:tabs>
        <w:numPr>
          <w:ilvl w:val="2"/>
          <w:numId w:val="5"/>
        </w:numPr>
        <w:rPr>
          <w:rFonts w:ascii="Arial" w:cs="Arial" w:eastAsia="Arial" w:hAnsi="Arial"/>
          <w:sz w:val="16"/>
          <w:szCs w:val="16"/>
          <w:color w:val="auto"/>
        </w:rPr>
      </w:pPr>
      <w:r>
        <w:rPr>
          <w:rFonts w:ascii="Arial" w:cs="Arial" w:eastAsia="Arial" w:hAnsi="Arial"/>
          <w:sz w:val="16"/>
          <w:szCs w:val="16"/>
          <w:color w:val="auto"/>
        </w:rPr>
        <w:t>Most recently, Mr. Oltmans served as Vice President, Head of Litigation for DaVita, Inc. where he was responsible for strategy and initiatives in the areas of law, including litigation, employee safety and insurance. Prior to DaVita, he served as General Counsel for Array BioPharma (acquired by Pfizer). Prior to Array BioPharma, Mr. Oltmans served as the US General Counsel for Novo Nordisk. Mr. Oltmans earned his undergraduate degree in political science at the University of Nebraska and his Juris Doctorate Degree at the University of Nebraska College of Law.</w:t>
      </w:r>
    </w:p>
    <w:p>
      <w:pPr>
        <w:spacing w:after="0" w:line="53" w:lineRule="exact"/>
        <w:rPr>
          <w:rFonts w:ascii="Arial" w:cs="Arial" w:eastAsia="Arial" w:hAnsi="Arial"/>
          <w:sz w:val="16"/>
          <w:szCs w:val="16"/>
          <w:color w:val="auto"/>
        </w:rPr>
      </w:pPr>
    </w:p>
    <w:p>
      <w:pPr>
        <w:ind w:left="1110" w:hanging="367"/>
        <w:spacing w:after="0"/>
        <w:tabs>
          <w:tab w:leader="none" w:pos="111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Alan Ezekowitz, MBChB, D.Phil will take on the responsibility of clinical advisor.</w:t>
      </w:r>
    </w:p>
    <w:p>
      <w:pPr>
        <w:spacing w:after="0" w:line="101" w:lineRule="exact"/>
        <w:rPr>
          <w:rFonts w:ascii="Courier New" w:cs="Courier New" w:eastAsia="Courier New" w:hAnsi="Courier New"/>
          <w:sz w:val="18"/>
          <w:szCs w:val="18"/>
          <w:color w:val="auto"/>
        </w:rPr>
      </w:pPr>
    </w:p>
    <w:p>
      <w:pPr>
        <w:ind w:left="1870" w:right="100" w:hanging="371"/>
        <w:spacing w:after="0" w:line="287" w:lineRule="auto"/>
        <w:tabs>
          <w:tab w:leader="none" w:pos="1870" w:val="left"/>
        </w:tabs>
        <w:numPr>
          <w:ilvl w:val="2"/>
          <w:numId w:val="5"/>
        </w:numPr>
        <w:rPr>
          <w:rFonts w:ascii="Arial" w:cs="Arial" w:eastAsia="Arial" w:hAnsi="Arial"/>
          <w:sz w:val="16"/>
          <w:szCs w:val="16"/>
          <w:color w:val="auto"/>
        </w:rPr>
      </w:pPr>
      <w:r>
        <w:rPr>
          <w:rFonts w:ascii="Arial" w:cs="Arial" w:eastAsia="Arial" w:hAnsi="Arial"/>
          <w:sz w:val="16"/>
          <w:szCs w:val="16"/>
          <w:color w:val="auto"/>
        </w:rPr>
        <w:t>Dr. Ezekowitz has served on our board of directors since December 2016 and has served as a venture partner at Third Rock Ventures, LLC since December 2019. Prior to Third Rock Ventures, Dr. Ezekowitz served as the president and chief executive officer of Abide Therapeutics, Inc. (acquired by H. Lundbeck A/S). Prior to founding Abide, Dr.</w:t>
      </w:r>
    </w:p>
    <w:p>
      <w:pPr>
        <w:spacing w:after="0" w:line="2" w:lineRule="exact"/>
        <w:rPr>
          <w:rFonts w:ascii="Arial" w:cs="Arial" w:eastAsia="Arial" w:hAnsi="Arial"/>
          <w:sz w:val="16"/>
          <w:szCs w:val="16"/>
          <w:color w:val="auto"/>
        </w:rPr>
      </w:pPr>
    </w:p>
    <w:p>
      <w:pPr>
        <w:ind w:left="1870" w:right="20"/>
        <w:spacing w:after="0" w:line="277" w:lineRule="auto"/>
        <w:rPr>
          <w:rFonts w:ascii="Arial" w:cs="Arial" w:eastAsia="Arial" w:hAnsi="Arial"/>
          <w:sz w:val="16"/>
          <w:szCs w:val="16"/>
          <w:color w:val="auto"/>
        </w:rPr>
      </w:pPr>
      <w:r>
        <w:rPr>
          <w:rFonts w:ascii="Arial" w:cs="Arial" w:eastAsia="Arial" w:hAnsi="Arial"/>
          <w:sz w:val="17"/>
          <w:szCs w:val="17"/>
          <w:color w:val="auto"/>
        </w:rPr>
        <w:t>Ezekowitz was the senior vice president and franchise head for disease areas including bone, respiratory, immunology, muscle, dermatology and urology at Merck. Dr. Ezekowitz received his medical training at the University of Cape Town in South Africa and received a Doctor of Philosophy degree from Oxford University.</w:t>
      </w:r>
    </w:p>
    <w:p>
      <w:pPr>
        <w:spacing w:after="0" w:line="64" w:lineRule="exact"/>
        <w:rPr>
          <w:rFonts w:ascii="Arial" w:cs="Arial" w:eastAsia="Arial" w:hAnsi="Arial"/>
          <w:sz w:val="16"/>
          <w:szCs w:val="16"/>
          <w:color w:val="auto"/>
        </w:rPr>
      </w:pPr>
    </w:p>
    <w:p>
      <w:pPr>
        <w:ind w:left="1110" w:hanging="367"/>
        <w:spacing w:after="0"/>
        <w:tabs>
          <w:tab w:leader="none" w:pos="111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Kim Hazen promoted to Senior Vice President, Human Resources.</w:t>
      </w:r>
    </w:p>
    <w:p>
      <w:pPr>
        <w:spacing w:after="0" w:line="101" w:lineRule="exact"/>
        <w:rPr>
          <w:rFonts w:ascii="Courier New" w:cs="Courier New" w:eastAsia="Courier New" w:hAnsi="Courier New"/>
          <w:sz w:val="18"/>
          <w:szCs w:val="18"/>
          <w:color w:val="auto"/>
        </w:rPr>
      </w:pPr>
    </w:p>
    <w:p>
      <w:pPr>
        <w:ind w:left="1870" w:right="140" w:hanging="371"/>
        <w:spacing w:after="0" w:line="277" w:lineRule="auto"/>
        <w:tabs>
          <w:tab w:leader="none" w:pos="1870" w:val="left"/>
        </w:tabs>
        <w:numPr>
          <w:ilvl w:val="2"/>
          <w:numId w:val="5"/>
        </w:numPr>
        <w:rPr>
          <w:rFonts w:ascii="Arial" w:cs="Arial" w:eastAsia="Arial" w:hAnsi="Arial"/>
          <w:sz w:val="18"/>
          <w:szCs w:val="18"/>
          <w:color w:val="auto"/>
        </w:rPr>
      </w:pPr>
      <w:r>
        <w:rPr>
          <w:rFonts w:ascii="Arial" w:cs="Arial" w:eastAsia="Arial" w:hAnsi="Arial"/>
          <w:sz w:val="18"/>
          <w:szCs w:val="18"/>
          <w:color w:val="auto"/>
        </w:rPr>
        <w:t>Ms. Hazen has over 25 years of experience in human resources and has been an invaluable member of the leadership team since she joined Fulcrum in September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48895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10"/>
          </w:cols>
          <w:pgMar w:left="1070" w:top="125"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Third Quarter 2020 Financial Results</w:t>
      </w:r>
    </w:p>
    <w:p>
      <w:pPr>
        <w:spacing w:after="0" w:line="117" w:lineRule="exact"/>
        <w:rPr>
          <w:sz w:val="20"/>
          <w:szCs w:val="20"/>
          <w:color w:val="auto"/>
        </w:rPr>
      </w:pPr>
    </w:p>
    <w:p>
      <w:pPr>
        <w:ind w:left="1140" w:right="420" w:hanging="376"/>
        <w:spacing w:after="0" w:line="261"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September 30, 2020, cash, cash equivalents, and marketable securities were $127.0 million,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$96.7 million as of December 31, 2019. Based on its current plans, the Company expects that its existing cash, cash equivalents, and marketable securities will be sufficient to enable it to fund its operating expenses and capital expenditure requirements into the second quarter of 2022.</w:t>
      </w:r>
    </w:p>
    <w:p>
      <w:pPr>
        <w:spacing w:after="0" w:line="71" w:lineRule="exact"/>
        <w:rPr>
          <w:rFonts w:ascii="Arial" w:cs="Arial" w:eastAsia="Arial" w:hAnsi="Arial"/>
          <w:sz w:val="18"/>
          <w:szCs w:val="18"/>
          <w:color w:val="auto"/>
        </w:rPr>
      </w:pPr>
    </w:p>
    <w:p>
      <w:pPr>
        <w:ind w:left="1140" w:hanging="376"/>
        <w:spacing w:after="0" w:line="298"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R&amp;D Expenses: </w:t>
      </w:r>
      <w:r>
        <w:rPr>
          <w:rFonts w:ascii="Arial" w:cs="Arial" w:eastAsia="Arial" w:hAnsi="Arial"/>
          <w:sz w:val="16"/>
          <w:szCs w:val="16"/>
          <w:color w:val="auto"/>
        </w:rPr>
        <w:t>Research and development expenses were $15.6 million for the third quarter of 2020, as compared to $13.5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third quarter of 2019. The increase of $2.1 million was primarily due to increased costs to support our ongoing and planned clinical trials and increased personnel-related costs to support the growth of Fulcrum’s research and development organization, including increased stock-based compensation expense. Research and development expenses for the third quarter of 2019 include $2.5 million of one-time costs incurred associated with the achievement of a milestone under the Company’s license agreement with GSK for losmapimod.</w:t>
      </w:r>
    </w:p>
    <w:p>
      <w:pPr>
        <w:spacing w:after="0" w:line="45" w:lineRule="exact"/>
        <w:rPr>
          <w:rFonts w:ascii="Arial" w:cs="Arial" w:eastAsia="Arial" w:hAnsi="Arial"/>
          <w:sz w:val="16"/>
          <w:szCs w:val="16"/>
          <w:color w:val="auto"/>
        </w:rPr>
      </w:pPr>
    </w:p>
    <w:p>
      <w:pPr>
        <w:jc w:val="both"/>
        <w:ind w:left="1140" w:right="100" w:hanging="376"/>
        <w:spacing w:after="0" w:line="314"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G&amp;A Expenses: </w:t>
      </w:r>
      <w:r>
        <w:rPr>
          <w:rFonts w:ascii="Arial" w:cs="Arial" w:eastAsia="Arial" w:hAnsi="Arial"/>
          <w:sz w:val="16"/>
          <w:szCs w:val="16"/>
          <w:color w:val="auto"/>
        </w:rPr>
        <w:t>General and administrative expenses were $5.3 million for the third quarter of 2020, as compared to $3.5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third quarter of 2019. The increase of $1.8 million was primarily due to increased costs associated with operating as a public company and increased personnel-related costs to support the growth of our organization, including increased stock-based compensation expense.</w:t>
      </w:r>
    </w:p>
    <w:p>
      <w:pPr>
        <w:spacing w:after="0" w:line="33" w:lineRule="exact"/>
        <w:rPr>
          <w:rFonts w:ascii="Arial" w:cs="Arial" w:eastAsia="Arial" w:hAnsi="Arial"/>
          <w:sz w:val="16"/>
          <w:szCs w:val="16"/>
          <w:color w:val="auto"/>
        </w:rPr>
      </w:pPr>
    </w:p>
    <w:p>
      <w:pPr>
        <w:ind w:left="1140" w:hanging="376"/>
        <w:spacing w:after="0"/>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Net Loss: </w:t>
      </w:r>
      <w:r>
        <w:rPr>
          <w:rFonts w:ascii="Arial" w:cs="Arial" w:eastAsia="Arial" w:hAnsi="Arial"/>
          <w:sz w:val="16"/>
          <w:szCs w:val="16"/>
          <w:color w:val="auto"/>
        </w:rPr>
        <w:t>Net loss was $19.0 million for the third quarter of 2020, as compared to a net loss of $16.5 million for the third quarter of 2019.</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and Webcast</w:t>
      </w:r>
    </w:p>
    <w:p>
      <w:pPr>
        <w:spacing w:after="0" w:line="12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 xml:space="preserve">Fulcrum Therapeutics, Inc. will host a conference call and webcast today at 8:00 a.m. ET to discuss the Company’s third quarter 2020 recent business highlights and financial results. The webcast will be accessible through the Investor Relations section of Fulcrum’s website at </w:t>
      </w:r>
      <w:r>
        <w:rPr>
          <w:rFonts w:ascii="Arial" w:cs="Arial" w:eastAsia="Arial" w:hAnsi="Arial"/>
          <w:sz w:val="18"/>
          <w:szCs w:val="18"/>
          <w:u w:val="single" w:color="auto"/>
          <w:color w:val="auto"/>
        </w:rPr>
        <w:t>www.fulcrumtx.com</w:t>
      </w:r>
      <w:r>
        <w:rPr>
          <w:rFonts w:ascii="Arial" w:cs="Arial" w:eastAsia="Arial" w:hAnsi="Arial"/>
          <w:sz w:val="18"/>
          <w:szCs w:val="18"/>
          <w:color w:val="auto"/>
        </w:rPr>
        <w:t>. Following the live webcast, an archived replay will also be available.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Dial-in Number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U.S./Canada Dial-in Number: 800-527-6973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470-495-9162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2408316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 Dial-in Number: 855-859-2056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Replay International Dial-in Number: 404-537-3406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2408316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FSHD</w:t>
      </w:r>
    </w:p>
    <w:p>
      <w:pPr>
        <w:spacing w:after="0" w:line="12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FSHD is characterized by progressive skeletal muscle loss that initially causes weakness in muscles in the face, shoulders, arms and trunk, and progresses to weakness throughout the lower body. Skeletal muscle weakness results in significant physical limitations, including an inability to smile and difficulty using arms for activities, with many patients ultimately becoming dependent upon the use of a wheelchair for daily mobility.</w:t>
      </w:r>
    </w:p>
    <w:p>
      <w:pPr>
        <w:spacing w:after="0" w:line="16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FSHD is caused by mis-expression of DUX4 in skeletal muscle, resulting in the presence of DUX4 proteins that are toxic to muscle tissue. Normally, DUX4-driven gene expression is limited to early embryonic development, after which time the DUX4 gene is silenced. In people with FSHD, the DUX4 gene is turned “on” as a result of a genetic mutation. The result is death of muscle and its replacement by fat, leading to skeletal muscle weakness and progressive disability. There are no approved therapies for FSHD, one of the most common forms of muscular dystrophy, with an estimated patient population of 16,000 to 38,000 in the United States alone.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Losmapimod</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Losmapimod is a selective p38α/β mitogen activated protein kinase (MAPK) inhibitor that was exclusively in-licensed from GSK by Fulcrum Therapeutics following Fulcrum’s discovery of the role of p38α/β inhibitors in the reduction of DUX4 expression and an extensive review of known compounds. Utilizing its internal product engine, Fulcrum discovered that inhibition of p38α/β reduced expression of the DUX4 gene in muscle cells derived from patients with FSHD. Researchers at Fulcrum also believe that losmapimod has the potential to treat COVID-19 by reducing the acute exaggerated pro-inflammatory responses to SARS-CoV-2 infection and restoring the antigen-specific immune responses needed for viral clearance, potentially leading to improved clinical outcomes. Losmapimod has been evaluated in more than 3,600 subjects in clinical research across multiple indications, including in several Phase 2 trials and a large Phase 3 trial in acute myocardial infarction. No safety signals were attributed to losmapimod in any of these trials. In 2020, the Company received U.S. and European Orphan Drug Designation for losmapimod for the treatment of FSHD. Fulcrum is currently conducting Phase 2 trials investigating the safety, tolerability, and efficacy of losmapimod to treat the root cause of FSHD and a Phase 3 trial investigating the safety, tolerability, and efficacy of losmapimod to treat hospitalized patients with COVID-19.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Sickle Cell Disease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Sickle cell disease (SCD)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SCD patients typically suffer from serious clinical consequences, which may include anemia, pain, infections, stroke, heart disease, pulmonary hypertension, kidney failure, liver disease and reduced life expectancy.</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FTX-6058</w:t>
      </w:r>
    </w:p>
    <w:p>
      <w:pPr>
        <w:spacing w:after="0" w:line="11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FTX-6058 is a highly potent small molecule inhibitor of Embryonic Ectoderm Development (EED) capable of inducing robust HbF protein expression in cell and murine models. Fulcrum believes the pharmacokinetics and human dose simulations support that FTX-6058 may be given as a once daily oral compound. The validation of EED as a target for sickle cell disease and the discovery of FTX-6058 as a novel HbF-inducing small molecule were conducted using Fulcrum’s proprietary Product Engine. Preclinical data with FTX-6058 showed an increase in HbF levels up to approximately 30% of total hemoglobin. Fulcrum has initiated a Phase 1 trial with FTX-6058 in healthy volunteers.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Fulcrum Therapeutics</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Fulcrum Therapeutics is a clinical-stage biopharmaceutical company focused on improving the lives of patients with genetically defined rare diseases in areas of high unmet medical need. Fulcrum’s proprietary product engine identifies drug targets which can modulate gene expression to treat the known root cause of gene mis-expression. The company has advanced losmapimod to Phase 2 clinical development for the treatment of facioscapulohumeral muscular dystrophy (FSHD) and Phase 3 for the treatment of COVID-19. Fulcrum has also advanced FTX-6058, a small molecule designed to increase expression of fetal hemoglobin for the treatment of sickle cell disease and beta thalassemia into Phase 1 clinical development.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Please visit www.fulcrumtx.com.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that involve substantial risks and uncertainties, including statements regarding the development status of the Company’s product candidates, the potential advantages and therapeutic potential of our product candidates, initiation and enrollment of clinical trials and availability of clinical trial data, and the Company’s ability to fund its operations with cash on hand. All statements, other than statements of historical facts, contained in this press release, including statements regarding the Company’s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obtain and maintain necessary approvals from the FDA and other regulatory authorities; continue to advance its product candidates in clinical trials; initiate and enroll clinical trials on the timeline expected or at all; correctly estimate the potential patient population and/or market for the Company’s product candidates; replicate in clinical trials positive results found in preclinical studies and/or earlier-stage clinical trials of losmapimod and its other product candidates; advance the development of its product candidates under the timelines it anticipates in current and future clinical trials;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Securities and Exchange Commission. In addition, the forward-looking statements included in this press release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Balance Sheet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256"/>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marketable securities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127,025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96,713</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105,657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87,943</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142,215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110,439</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104,985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87,153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9512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0"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define working capital as current assets minus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42,897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15,525</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58,422</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(53,824)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(18,962)</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(16,542)</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(53,099)</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(66,554)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Cumulative convertible preferred stock dividends</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(18,962)</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(17,338)</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(53,099)</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(73,682)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Net loss per share attributable to common stockholders, basic and diluted</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used in net loss per share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attributable to common stockholders, basic and diluted</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24,621</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Christi Waarich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cwaarich@fulcrumtx.com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617-651-8664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Stephanie Ascher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stephanie.ascher@sternir.com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Kaitlin Gallagher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Berry &amp; Company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kgallagher@berrypr.com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212-253-8881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o"/>
      <w:numFmt w:val="bullet"/>
      <w:start w:val="1"/>
    </w:lvl>
  </w:abstractNum>
  <w:abstractNum w:abstractNumId="4">
    <w:nsid w:val="507ED7AB"/>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2020-11-10T06:06:44Z</dcterms:created>
  <dcterms:modified xsi:type="dcterms:W3CDTF">2020-11-10T06:06:44Z</dcterms:modified>
</cp:coreProperties>
</file>