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5,475,040.00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5,475,040.00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5,475,040.00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5,475,040.00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5,475,040.00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5,475,040.00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5,475,040.00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5,475,040.00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5,475,040.00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Nantahala may be deemed to be the beneficial owner of 5,475,040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following percentage of the total number of Shares outstanding: (1) Nantahala Capital Management, LLC ("Nantahala") : 8.22% (2) Wilmot B. Harkey: 8.22% (3) Daniel Mack: 8.22%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5,475,040 Shares. (2) Wilmot B. Harkey: 5,475,040 Shares. (3) Daniel Mack: 5,475,040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5,475,040 Shares. (2) Wilmot B. Harkey: 5,475,040 Shares. (3) Daniel Mack: 5,475,040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1282</Words>
  <Characters>6687</Characters>
  <CharactersWithSpaces>7919</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