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Fulcrum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AMERICA CORP /DE/</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4,468,123.00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4,468,123.00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4,468,123.00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calculation relies on the 66,633,321 outstanding shares disclosed in the Form 10-Q by the issuer on April 27, 2026, which reports share totals as of April 20,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88"/>
        <w:gridCol w:w="8962"/>
        <w:gridCol w:w="155"/>
      </w:tblGrid>
      <w:tr>
        <w:trPr/>
        <w:tc>
          <w:tcPr>
            <w:tcW w:w="1088" w:type="dxa"/>
            <w:tcBorders/>
            <w:vAlign w:val="center"/>
          </w:tcPr>
          <w:p>
            <w:pPr>
              <w:pStyle w:val="TableContents"/>
              <w:bidi w:val="0"/>
              <w:spacing w:before="0" w:after="283"/>
              <w:jc w:val="left"/>
              <w:rPr/>
            </w:pPr>
            <w:r>
              <w:rPr/>
              <w:t>Item 1.</w:t>
            </w:r>
          </w:p>
        </w:tc>
        <w:tc>
          <w:tcPr>
            <w:tcW w:w="896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Name of issuer: </w:t>
            </w:r>
          </w:p>
          <w:p>
            <w:pPr>
              <w:pStyle w:val="TableContents"/>
              <w:bidi w:val="0"/>
              <w:spacing w:before="0" w:after="0"/>
              <w:jc w:val="left"/>
              <w:rPr/>
            </w:pPr>
            <w:r>
              <w:rPr/>
              <w:t>Fulcrum Therapeutics, Inc.</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 LANDSDOWNE STREET, CAMBRIDGE, MASSACHUSETTS, 02139.</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2.</w:t>
            </w:r>
          </w:p>
        </w:tc>
        <w:tc>
          <w:tcPr>
            <w:tcW w:w="896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BANK OF AMERICA CORP /DE/</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N TRYON ST CHARLOTTE, NC 28255</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(d)</w:t>
            </w:r>
          </w:p>
        </w:tc>
        <w:tc>
          <w:tcPr>
            <w:tcW w:w="896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(e)</w:t>
            </w:r>
          </w:p>
        </w:tc>
        <w:tc>
          <w:tcPr>
            <w:tcW w:w="896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3.</w:t>
            </w:r>
          </w:p>
        </w:tc>
        <w:tc>
          <w:tcPr>
            <w:tcW w:w="896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(d)</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(e)</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(f)</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(g)</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(h)</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(j)</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(k)</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9117" w:type="dxa"/>
            <w:gridSpan w:val="2"/>
            <w:tcBorders/>
            <w:vAlign w:val="center"/>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4.</w:t>
            </w:r>
          </w:p>
        </w:tc>
        <w:tc>
          <w:tcPr>
            <w:tcW w:w="896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4,468,123.00</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4,468,123.00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4,468,123.00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5.</w:t>
            </w:r>
          </w:p>
        </w:tc>
        <w:tc>
          <w:tcPr>
            <w:tcW w:w="896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6.</w:t>
            </w:r>
          </w:p>
        </w:tc>
        <w:tc>
          <w:tcPr>
            <w:tcW w:w="896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7.</w:t>
            </w:r>
          </w:p>
        </w:tc>
        <w:tc>
          <w:tcPr>
            <w:tcW w:w="896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and Merrill Lynch International, a non-U.S. institution in accordance with section 240.13d-1(b)(1)(ii)(J).</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8.</w:t>
            </w:r>
          </w:p>
        </w:tc>
        <w:tc>
          <w:tcPr>
            <w:tcW w:w="896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9.</w:t>
            </w:r>
          </w:p>
        </w:tc>
        <w:tc>
          <w:tcPr>
            <w:tcW w:w="896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BANK OF AMERICA CORP /DE/</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Monica Yako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880</Words>
  <Characters>4577</Characters>
  <CharactersWithSpaces>5448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