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1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ind w:left="120"/>
        <w:spacing w:after="0" w:line="207" w:lineRule="exact"/>
        <w:tabs>
          <w:tab w:leader="none" w:pos="26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3"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FULCRUM THERAPEUTICS, INC.</w:t>
      </w:r>
    </w:p>
    <w:p>
      <w:pPr>
        <w:spacing w:after="0" w:line="4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80" w:right="180" w:hanging="564"/>
        <w:spacing w:after="0" w:line="264" w:lineRule="auto"/>
        <w:tabs>
          <w:tab w:leader="none" w:pos="6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-2436495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-2007870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-1716405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-1424940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-721995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-430530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151765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323215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205740</wp:posOffset>
            </wp:positionV>
            <wp:extent cx="202311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2020 ANNUAL MEETING OF STOCKHOLDERS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11, 2020</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You are cordially invited to virtually attend the 2020 annual meeting of stockholders, or the Annual Meeting, of Fulcrum Therapeutics, Inc. To support the health and well-being of our stockholders, employees and directors in light of the recent novel coronavirus (COVID-19) pandemic, the Annual Meeting will be held via the Internet at a virtual audio web conference at www.proxydocs.com/FULC on Thursday, June 11, 2020 at 9:00 a.m., Eastern time.</w:t>
      </w:r>
    </w:p>
    <w:p>
      <w:pPr>
        <w:spacing w:after="0" w:line="187"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Only stockholders who owned shares of our common stock at the close of business on April 14, 2020 can vote at the Annual Meeting or any adjournment thereof. At the Annual Meeting, the stockholders will consider and vote on the following matters:</w:t>
      </w:r>
    </w:p>
    <w:p>
      <w:pPr>
        <w:spacing w:after="0" w:line="76" w:lineRule="exact"/>
        <w:rPr>
          <w:sz w:val="20"/>
          <w:szCs w:val="20"/>
          <w:color w:val="auto"/>
        </w:rPr>
      </w:pPr>
    </w:p>
    <w:p>
      <w:pPr>
        <w:ind w:left="10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two Class I directors, Alan Ezekowitz and Mark Levin, nominated by our board of directors, each to serve for a three-year term expiring at the 2023 annual meeting of stockholders;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Transaction of any other business that may properly come before the Annual Meeting or any adjournment or postponement thereof.</w:t>
      </w:r>
    </w:p>
    <w:p>
      <w:pPr>
        <w:spacing w:after="0" w:line="23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As noted above, due to the COVID-19 pandemic, our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the online meeting. In order to attend the meeting and vote your shares electronically during the meeting, you must register in advance at www.proxydocs.com/FULC prior to the deadline of Tuesday, June 9, 2020 at 5:00 p.m., Eastern time. Upon completing your registration, you will receive further instructions via email, including your unique links that will allow you to attend the Annual Meeting, vote your shares and submit questions. In light of the public health and safety concerns related to COVID-19, we believe that hosting a “virtual meeting” will enable greater stockholder attendance and participation from any location around the world. We intend to hold an in-person meeting next year.</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You can find more information, including the nominees for director, in the proxy statement for the Annual Meeting, which is available for viewing, printing and downloading at www.proxydocs.com/FULC. The board of directors recommends that you vote “FOR” each of the Class I directors (Proposal 1) and “FOR” the ratification of the appointment of the proposed independent registered public accounting firm (Proposal 2) as outlined in the attached proxy statement.</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are pleased to comply with the rules of the Securities and Exchange Commission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 December 31, 2019, or the 2019 Annual Report. We will mail the Notice of Availability on or about April 29, 2020, and the</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Notice of Availability contains instructions on how to access our proxy materials over the Internet. The Notice of Availability also contains instructions on how each of our stockholders can receive a paper copy of our proxy materials, including the proxy statement, our 2019 Annual Report, and a form of proxy card.</w:t>
      </w:r>
    </w:p>
    <w:p>
      <w:pPr>
        <w:spacing w:after="0" w:line="18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Stockholders of record at the close of business on April 14, 2020, the record date for the Annual Meeting, are entitled to notice of, and to vote at, the Annual Meeting or any adjournment or postponement thereof.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Your vote is important regardless of the number of shares you own. If you mail your proxy card or vote by telephone or the Internet and then decide to attend the Annual Meeting and vote your shares online during the Annual Meeting, you may still do so. Your proxy is revocable in accordance with the procedures set forth in the proxy statement.</w:t>
      </w:r>
    </w:p>
    <w:p>
      <w:pPr>
        <w:spacing w:after="0" w:line="16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your shares are held in “street name,” that is, held for your account by a bank, broker or other nominee, you will receive instructions from the bank, broker or other nominee that you must follow for your shares to be voted. Stockholders that own shares in “street name” must demonstrate proof of beneficial ownership to virtually attend the Annual Meeting and must obtain a legal proxy from their bank, broker or other nominee to vote during the Annual Meeting.</w:t>
      </w:r>
    </w:p>
    <w:p>
      <w:pPr>
        <w:spacing w:after="0" w:line="18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186055</wp:posOffset>
            </wp:positionV>
            <wp:extent cx="178308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J. Gould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color w:val="auto"/>
        </w:rPr>
        <w:t xml:space="preserve">Important Notice Regarding Internet Availability of Proxy Materials: </w:t>
      </w:r>
      <w:r>
        <w:rPr>
          <w:rFonts w:ascii="Arial" w:cs="Arial" w:eastAsia="Arial" w:hAnsi="Arial"/>
          <w:sz w:val="17"/>
          <w:szCs w:val="17"/>
          <w:color w:val="auto"/>
        </w:rPr>
        <w:t>The attached proxy statement and our 2019 annual report to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which includes our annual report on Form 10-K for the fiscal year ended December 31, 2019,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and our annual report on Form 10-K for the fiscal year ended December 31, 2019 are also available on the SEC’s website at http://www.sec.gov.</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4"/>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INFORMATION CONCERNING SOLICITATION AND VOTING</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10660" w:type="dxa"/>
            <w:vAlign w:val="bottom"/>
            <w:gridSpan w:val="4"/>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66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IMPORTANT INFORMATION ABOUT THE ANNUAL MEETING AND VOTING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NO. 1—ELECTION OF TWO CLASS I DIRECTORS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91"/>
        </w:trPr>
        <w:tc>
          <w:tcPr>
            <w:tcW w:w="1066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PROPOSAL 2—RATIFICATION OF THE APPOINTMENT OF ERNST &amp; YOUNG LLP AS OUR INDEPENDENT REGISTERED</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PUBLIC ACCOUNTING FIRM FOR THE FISCAL YEAR ENDING DECEMBER 31, 2020</w:t>
              </w:r>
            </w:hyperlink>
          </w:p>
        </w:tc>
        <w:tc>
          <w:tcPr>
            <w:tcW w:w="278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53"/>
        </w:trPr>
        <w:tc>
          <w:tcPr>
            <w:tcW w:w="1066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CORPORATE GOVERNANCE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EXECUTIVE AND DIRECTOR COMPENSATION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TRANSACTIONS WITH RELATED PERSONS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PRINCIPAL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 OF THE AUDIT COMMITTEE OF THE BOARD OF DIRECTORS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HOUSEHOLDING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STOCKHOLDER PROPOSALS FOR OUR 2021 ANNUAL MEETING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1066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205740</wp:posOffset>
            </wp:positionV>
            <wp:extent cx="202311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(617) 651-8851</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2020 ANNUAL MEETING OF STOCKHOLDERS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11, 2020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proxy statement contains information about the Annual Meeting of Stockholders of Fulcrum Therapeutics, Inc., or the Annual Meeting, to be held on Thursday, June 11, 2020 at 9:00 a.m., Eastern time. To support the health and well-being of our stockholders, directors and employees in light of the recent novel coronavirus (COVID-19) pandemic,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spacing w:after="0" w:line="18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Instead of mailing a paper copy of our proxy materials to all of our stockholders, we are providing access to our proxy materials over the Internet under the Securities and Exchange Commission’s “notice and access” rules. As a result, we are mailing to our stockholders a Notice of Internet Availability of Proxy Materials, or Notice of Availability, instead of a paper copy of this proxy statement and our annual report for the fiscal year ended December 31, 2019, or the 2019 Annual Report. We are sending the Notice of Availability on or about April 29, 2020, and it contains instructions on how to access those documents over the Internet. The Notice of Availability also contains instructions on how each of our stockholders can receive a paper copy of our proxy materials, including this proxy statement, our 2019 Annual Report, and a form of proxy card.</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Annual Meeting of Stockholders to be Held on June 11, 2020: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statement and our 2019 Annual Report are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for viewing, printing and downloading at www.proxydocs.com/FULC.</w:t>
      </w:r>
    </w:p>
    <w:p>
      <w:pPr>
        <w:spacing w:after="0" w:line="99"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2019, as filed with the Securities and Exchange Commission, or SEC, except for exhibits, will be furnished without charge to any stockholder upon written request to Fulcrum Therapeutics, Inc., 26 Landsdowne Street, Cambridge, Massachusetts 02139. This proxy statement and our annual report on Form 10-K for the fiscal year ended December 31, 2019 are also available on the SEC’s website at http://www.sec.gov.</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our stockholders will consider and vote on the following matters:</w:t>
      </w:r>
    </w:p>
    <w:p>
      <w:pPr>
        <w:spacing w:after="0" w:line="252" w:lineRule="exact"/>
        <w:rPr>
          <w:sz w:val="20"/>
          <w:szCs w:val="20"/>
          <w:color w:val="auto"/>
        </w:rPr>
      </w:pPr>
    </w:p>
    <w:p>
      <w:pPr>
        <w:ind w:left="1080" w:right="12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 directors, Alan Ezekowitz and Mark Levin, nominated by our board of directors, each to serve for a three-year term expiring at the 2023 annual meeting of stockholders;</w:t>
      </w:r>
    </w:p>
    <w:p>
      <w:pPr>
        <w:spacing w:after="0" w:line="197"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2020; and</w:t>
      </w:r>
    </w:p>
    <w:p>
      <w:pPr>
        <w:spacing w:after="0" w:line="197" w:lineRule="exact"/>
        <w:rPr>
          <w:rFonts w:ascii="Arial" w:cs="Arial" w:eastAsia="Arial" w:hAnsi="Arial"/>
          <w:sz w:val="18"/>
          <w:szCs w:val="18"/>
          <w:color w:val="auto"/>
        </w:rPr>
      </w:pPr>
    </w:p>
    <w:p>
      <w:pPr>
        <w:ind w:left="120" w:right="380" w:firstLine="428"/>
        <w:spacing w:after="0" w:line="623" w:lineRule="auto"/>
        <w:tabs>
          <w:tab w:leader="none" w:pos="109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transaction of any other business that may properly come before the annual meeting or any adjournment or postponement thereof. As of the date of this proxy statement, we are not aware of any business to come before the meeting other than the first two items noted above.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Recommendation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221"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two nominees to serve as Class I directors on our board of directors, each for a three-year term expiring at the 2023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 and</w:t>
      </w:r>
    </w:p>
    <w:p>
      <w:pPr>
        <w:spacing w:after="0" w:line="162" w:lineRule="exact"/>
        <w:rPr>
          <w:sz w:val="20"/>
          <w:szCs w:val="20"/>
          <w:color w:val="auto"/>
        </w:rPr>
      </w:pPr>
    </w:p>
    <w:p>
      <w:pPr>
        <w:ind w:left="120" w:right="70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 firm for the fiscal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Availability of Proxy Materials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proxy materials, including this proxy statement, a proxy card and our 2019 Annual Report are available for viewing, printing and downloading on the Internet at www.proxydocs.com/FULC. If you would like to receive a paper copy of our proxy materials, you should follow the instructions for requesting paper materials in the Notice of Availability.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Only stockholders of record at the close of business on the record date of April 14, 2020 are entitled to receive notice of the Annual Meeting and to vote the shares of our common stock that they held on that date. As of April 14, 2020, there were 23,363,231 shares of our common stock issued and outstanding. Each share of common stock is entitled to one vote on each matter properly brought before the Annual Meeting.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 Between a “Stockholder of Record” and a Beneficial Owner of Shares Held in “Street Name”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 If your shares are registered directly in your name with our transfer agent, Computershare Trust Company,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“stockholder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spacing w:after="0" w:line="187"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 If your shares are held by a bank, broker or other nominee, then you are considered the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owner of those shares, which are held in “street name.” In this case, your Notice of Availability will be sent to you by that organization. The organization holding your shares is considered the stockholder of record for purposes of voting at the Annual Meeting. As the beneficial owner, you</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have the right to instruct that organization as to how to vote the shares held in your account by following the instructions contained on the voting instruction card provided to you by that 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Why Did I Receive a Notice in the Mail Regarding the Internet Availability of Proxy Materials instead of a Full Set of Proxy Materials?</w:t>
      </w:r>
    </w:p>
    <w:p>
      <w:pPr>
        <w:spacing w:after="0" w:line="133"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are pleased to comply with the SEC rules that allow companies to distribute their proxy materials over the Internet under the “notice and access” approach. As a result, are sending our stockholders and beneficial owners of our common stock a copy of the Notice of Availability instead of paper copies of this proxy statement, our proxy card, and our 2019 Annual Report. We will send the Notice of Availability on or after April 29, 2020. Detailed instructions on how to access these materials via the Internet may be found in the Notice of Availability. This proxy statement and our 2019 Annual Report are available for viewing, printing and downloading on the Internet at www.proxydocs.com/FULC .</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the Annual Meeting a Virtual, Online Meeting?</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To support the health and well-being of our stockholders, employees and directors in light of the recent COVID-19 pandemic, our Annual Meeting will be a virtual meeting of stockholders where stockholders will participate by accessing a website using the Internet. There will not be a physical meeting location. In light of the public health and safety concerns related to COVID-19,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www.proxydocs.com/FULC in advance of the meeting. We have designed the virtual annual meeting to provide the same rights and opportunities to participate as stockholders would have at an in person meeting, including the right to vote and ask questions through the virtual meeting platform. We intend to hold an in-person annual meeting in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Virtually Attend the Annual Meeting</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Annual Meeting will be a virtual meeting and you may not attend in person. In order to attend the meeting online, you must register in advance at www.proxydocs.com/FULC prior to the deadline of June 9, 2020 at 5:00 p.m., Eastern time. You may attend the Annual Meeting online by following the instructions that you will receive once your registration is complete.</w:t>
      </w:r>
    </w:p>
    <w:p>
      <w:pPr>
        <w:spacing w:after="0" w:line="184"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Online registration for the Annual Meeting will begin on April 29, 2020, and you should allow ample time for the online registration. Upon completing your registration, you will receive further instructions via email, including your unique link that will allow you access to the meeting and you will have the ability to submit questions. Please be sure to following the instructions you will receive once your registration is complete.</w:t>
      </w:r>
    </w:p>
    <w:p>
      <w:pPr>
        <w:spacing w:after="0" w:line="165"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The Annual Meeting will start at 9:00 a.m., Eastern time, on June 11, 2020. You may log on to the virtual meeting starting one hour before it begins. We will have technicians standing by and ready to assist you with any technical difficulties you may have accessing the virtual meeting starting at 8:00 a.m., Eastern time, on June 11, 2020. If you encounter any difficulties accessing the virtual Annual Meeting, please contact technical support by following the instructions provided to you upon registration for the Annual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w:t>
      </w:r>
    </w:p>
    <w:p>
      <w:pPr>
        <w:spacing w:after="0" w:line="117" w:lineRule="exact"/>
        <w:rPr>
          <w:sz w:val="20"/>
          <w:szCs w:val="20"/>
          <w:color w:val="auto"/>
        </w:rPr>
      </w:pPr>
    </w:p>
    <w:p>
      <w:pPr>
        <w:ind w:left="120" w:right="460"/>
        <w:spacing w:after="0" w:line="347" w:lineRule="auto"/>
        <w:rPr>
          <w:sz w:val="20"/>
          <w:szCs w:val="20"/>
          <w:color w:val="auto"/>
        </w:rPr>
      </w:pPr>
      <w:r>
        <w:rPr>
          <w:rFonts w:ascii="Arial" w:cs="Arial" w:eastAsia="Arial" w:hAnsi="Arial"/>
          <w:sz w:val="16"/>
          <w:szCs w:val="16"/>
          <w:b w:val="1"/>
          <w:bCs w:val="1"/>
          <w:color w:val="auto"/>
        </w:rPr>
        <w:t xml:space="preserve">If you are the stockholder of record of your shares </w:t>
      </w:r>
      <w:r>
        <w:rPr>
          <w:rFonts w:ascii="Arial" w:cs="Arial" w:eastAsia="Arial" w:hAnsi="Arial"/>
          <w:sz w:val="16"/>
          <w:szCs w:val="16"/>
          <w:color w:val="auto"/>
        </w:rPr>
        <w:t>, you can vote your shares by proxy prior to the Annual Meeting or online during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you choose to vote by proxy prior to the Annual Meeting, you may do so by telephone, via the Internet or by mail as follows:</w:t>
      </w:r>
    </w:p>
    <w:p>
      <w:pPr>
        <w:spacing w:after="0" w:line="25" w:lineRule="exact"/>
        <w:rPr>
          <w:sz w:val="20"/>
          <w:szCs w:val="20"/>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Prior to the Annual Meeting </w:t>
      </w:r>
      <w:r>
        <w:rPr>
          <w:rFonts w:ascii="Arial" w:cs="Arial" w:eastAsia="Arial" w:hAnsi="Arial"/>
          <w:sz w:val="18"/>
          <w:szCs w:val="18"/>
          <w:color w:val="auto"/>
        </w:rPr>
        <w:t>. You may transmit your proxy over the phone by calling 866-390-9953 and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provided in the Notice of Availability and on the proxy card. You will need to have your Notice of Availability or proxy card in hand when you call.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Prior to the Annual Meeting </w:t>
      </w:r>
      <w:r>
        <w:rPr>
          <w:rFonts w:ascii="Arial" w:cs="Arial" w:eastAsia="Arial" w:hAnsi="Arial"/>
          <w:sz w:val="18"/>
          <w:szCs w:val="18"/>
          <w:color w:val="auto"/>
        </w:rPr>
        <w:t>. You may transmit your proxy via the Internet by following the instructions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Availability and on the proxy card. You will need to have your Notice of Availability or proxy card in hand when you access the website. The website for voting is available at www.proxypush.com/FULC.</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By Mail Prior to the Annual Meeting </w:t>
      </w:r>
      <w:r>
        <w:rPr>
          <w:rFonts w:ascii="Arial" w:cs="Arial" w:eastAsia="Arial" w:hAnsi="Arial"/>
          <w:sz w:val="18"/>
          <w:szCs w:val="18"/>
          <w:color w:val="auto"/>
        </w:rPr>
        <w:t>. If you requested printed copies of proxy materials, you can vote by mailing your proxy card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proxy materials.</w:t>
      </w:r>
    </w:p>
    <w:p>
      <w:pPr>
        <w:spacing w:after="0" w:line="75" w:lineRule="exact"/>
        <w:rPr>
          <w:rFonts w:ascii="Arial" w:cs="Arial" w:eastAsia="Arial" w:hAnsi="Arial"/>
          <w:sz w:val="18"/>
          <w:szCs w:val="18"/>
          <w:color w:val="auto"/>
        </w:rPr>
      </w:pPr>
    </w:p>
    <w:p>
      <w:pPr>
        <w:ind w:left="1080" w:right="120" w:hanging="424"/>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Online during the Annual Meeting </w:t>
      </w:r>
      <w:r>
        <w:rPr>
          <w:rFonts w:ascii="Arial" w:cs="Arial" w:eastAsia="Arial" w:hAnsi="Arial"/>
          <w:sz w:val="18"/>
          <w:szCs w:val="18"/>
          <w:color w:val="auto"/>
        </w:rPr>
        <w:t>. In order to attend the Annual Meeting online and vote online during the Annual Meeting, you must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in advance at www.proxydocs.com/FULC prior to the deadline of June 9, 2020 at 5:00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Telephone and Internet voting for stockholders of record will be available until 11:59 p.m. Eastern time on June 10, 2020, and mailed proxy cards must be received by 11:59 p.m. Eastern time on June 10, 2020 in order to be counted at the Annual Meeting. If the Annual Meeting is adjourned or postponed, these deadlines may be extended.</w:t>
      </w:r>
    </w:p>
    <w:p>
      <w:pPr>
        <w:spacing w:after="0" w:line="18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b w:val="1"/>
          <w:bCs w:val="1"/>
          <w:color w:val="auto"/>
        </w:rPr>
        <w:t xml:space="preserve">If your shares are held in street name </w:t>
      </w:r>
      <w:r>
        <w:rPr>
          <w:rFonts w:ascii="Arial" w:cs="Arial" w:eastAsia="Arial" w:hAnsi="Arial"/>
          <w:sz w:val="17"/>
          <w:szCs w:val="17"/>
          <w:color w:val="auto"/>
        </w:rPr>
        <w:t>, your bank, broker or other nominee is required to vote the shares it holds on your behalf according to your</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9, 2020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spacing w:after="0" w:line="177"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Vote My Shares by Filling Out and Returning the Notice of Internet Availability of Proxy Materials?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How Do I Submit a Question at the Annual Meeting </w:t>
      </w:r>
      <w:r>
        <w:rPr>
          <w:rFonts w:ascii="Arial" w:cs="Arial" w:eastAsia="Arial" w:hAnsi="Arial"/>
          <w:sz w:val="18"/>
          <w:szCs w:val="18"/>
          <w:color w:val="auto"/>
        </w:rPr>
        <w:t>?</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you wish to submit a question during the Annual Meeting, beginning at 8:45 a.m., Eastern time, on June 11, 2020, you may log into, and submit a question on, the virtual meeting platform using the unique link provided to you via email following the completion of your registration at www.proxydocs.com/FULC, and follow the instructions there. Our virtual meeting will be governed by our Rules of Conduct and Procedures which will be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May I See a List of Stockholders Entitled to Vote as of the Record Date?</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 list of stockholders as of the close of business on the record date will be available for examination by the stockholders during the Annual Meeting using the unique link provided via email following the completion of registration for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quorum of stockholders is necessary to hold a valid meeting. Our amended and restated bylaws provide that a quorum will exist if stockholders holding a majority of the shares of stock issued and outstanding and entitled to vote at the meeting are present at the meeting in person or by proxy. Shares present virtually during the Annual Meeting will be considered shares of common stock represented in person at the meeting. If a quorum is not present, we expect to adjourn the Annual Meeting until a quorum is obtained.</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Ballot Measures Considered “Discretionary” and “Non-Discretionary”</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election of directors (Proposal No. 1) is a matter considered non-discretionary under applicable rules. A bank, broker or other nominee cannot vote without instructions on non-discretionary matters, and therefore there may be broker non-votes on Proposal No. 1.</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2020 (Proposal No. 2) is a matter considered discretionary under applicable rules. A bank, broker or other nominee generally may exercise discretionary authority and vote on discretionary matters. If they exercise this discretionary authority, no broker non-votes are expected in connection with Proposal No. 2.</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Votes Required to Elect a Director and to Ratify Appointment of Ernst &amp; Young LLP</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 nominee will be elected as a director if the nominee receives a plurality of the votes cast by stockholders entitled to vote at the meeting (Proposal No. 1).</w:t>
      </w:r>
    </w:p>
    <w:p>
      <w:pPr>
        <w:spacing w:after="0" w:line="17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2020 requires the affirmative vote of a majority of the shares of common stock present or represented by proxy and voted “for” or “against” such matter (Proposal No. 2).</w:t>
      </w:r>
    </w:p>
    <w:p>
      <w:pPr>
        <w:spacing w:after="0" w:line="184"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Abstentions and broker non-votes will not be counted as votes cast or voted on any of the proposals. Accordingly, abstentions and broker non-votes will have no effect on the voting on either of the proposals.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 of Counting Votes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Each holder of common stock is entitled to one vote at the Annual Meeting on each matter to come before the Annual Meeting, including the election of directors, for each share held by such stockholder as of the record 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Votes cast online during the Annual Meeting or by proxy by mail, via the Internet or by telephone will be tabulated by the inspector of election appointed for the Annual Meeting, who will also determine whether a quorum is present.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a Proxy; Changing Your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may revoke your proxy before the vote is taken at the Annual Meeting:</w:t>
      </w:r>
    </w:p>
    <w:p>
      <w:pPr>
        <w:spacing w:after="0" w:line="131" w:lineRule="exact"/>
        <w:rPr>
          <w:sz w:val="20"/>
          <w:szCs w:val="20"/>
          <w:color w:val="auto"/>
        </w:rPr>
      </w:pPr>
    </w:p>
    <w:p>
      <w:pPr>
        <w:ind w:left="1080" w:right="4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new proxy with a later date before the applicable deadline either signed and returned by mail or transmitted using the telephone or Internet voting procedures described in the “How to Vote” section above;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online at the Annual Meeting using the procedures described in the “How to Vote” section above;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filing a written revocation with our corporate secretary.</w:t>
      </w:r>
    </w:p>
    <w:p>
      <w:pPr>
        <w:spacing w:after="0" w:line="225"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virtual attendance at the Annual Meeting, without voting online during the Annual Meeting, will not automatically revoke your proxy.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Proxy Solicitation</w:t>
      </w:r>
    </w:p>
    <w:p>
      <w:pPr>
        <w:spacing w:after="0" w:line="121"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We will bear the costs of soliciting proxies. Our directors, officers and regular employees, without additional remuneration, may solicit proxies by mail, telephone, facsimile, email, personal interviews and other means.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remain an emerging growth company until December 31, 2024, although if the market value of our common stock that is held by non-affiliates exceeds $700 million as of any June 30 before that time or if we have annual gross revenues of $1.07 billion or more in any fiscal year, we would cease to be an emerging growth company as of December 31 of the applicable year. We also would cease to be an emerging growth company if we issue more than $1 billion of non-convertible debt over a three-year period.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1—ELECTION OF TWO CLASS I DIRECTORS</w:t>
      </w:r>
    </w:p>
    <w:p>
      <w:pPr>
        <w:spacing w:after="0" w:line="22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board of directors currently consists of seven members.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spacing w:after="0" w:line="8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 directors are Alan Ezekowitz and Mark Levin, and their term expires at the Annual Meeting;</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 directors are James Collins and James Geraghty, and their term expires at the annual meeting of stockholders to be held in 2021;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III directors are Katina Dorton, Robert Gould and Kate Haviland, and their term expires at the annual meeting of stockholders to be held in 2022.</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board of directors has nominated Alan Ezekowitz and Mark Levin for election as Class I directors at the Annual Meeting. Messrs. Ezekowitz and Levin are both presently directors, and have indicated a willingness to continue to serve as directors, if elected.</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Election as Class I Directors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Biographical information as of March 31, 2020, including principal occupation and business experience during the last five years, for our nominees for election as the Class I director at our Annual Meeting is set forth below.</w:t>
      </w:r>
    </w:p>
    <w:p>
      <w:pPr>
        <w:spacing w:after="0" w:line="170"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b w:val="1"/>
          <w:bCs w:val="1"/>
          <w:i w:val="1"/>
          <w:iCs w:val="1"/>
          <w:color w:val="auto"/>
        </w:rPr>
        <w:t xml:space="preserve">Alan Ezekowitz, MBChB, D.Phil </w:t>
      </w:r>
      <w:r>
        <w:rPr>
          <w:rFonts w:ascii="Arial" w:cs="Arial" w:eastAsia="Arial" w:hAnsi="Arial"/>
          <w:sz w:val="16"/>
          <w:szCs w:val="16"/>
          <w:color w:val="auto"/>
        </w:rPr>
        <w:t>, age 66, has served on our board of directors since December 2016. Dr. Ezekowitz has served as a venture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Rock Ventures, LLC since December 2019.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from March 2006 to March 2011. Prior to joining Merck, Dr. Ezekowitz was the Charles Wilder Professor of Pediatrics at the Harvard Medical School from June 1995 to March 2005 and served as the chief of pediatric services at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w:t>
      </w:r>
    </w:p>
    <w:p>
      <w:pPr>
        <w:spacing w:after="0" w:line="187"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b w:val="1"/>
          <w:bCs w:val="1"/>
          <w:i w:val="1"/>
          <w:iCs w:val="1"/>
          <w:color w:val="auto"/>
        </w:rPr>
        <w:t xml:space="preserve">Mark Levin </w:t>
      </w:r>
      <w:r>
        <w:rPr>
          <w:rFonts w:ascii="Arial" w:cs="Arial" w:eastAsia="Arial" w:hAnsi="Arial"/>
          <w:sz w:val="16"/>
          <w:szCs w:val="16"/>
          <w:color w:val="auto"/>
        </w:rPr>
        <w:t>, age 69, has served as a member of our board of directors since August 2015 and chairman of our board of directors since August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Levin currently serves as a partner at Third Rock Ventures, LLC, which he co-founded in 2007. Mr. Levin served as our interim president and chief executive officer from August 2015 to July 2016 and as interim president and chief executive officer of Voyager Therapeutics, Inc., or Voyager, a biotechnology company, from June 2013 to September 2014. He has served as the chairman of the board of directors of Voyager since June 2013.</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Mr. Levin received both a B.S. and an M.S. in Chemical and Biochemical Engineering from Washington University in St. Louis. We believe Mr. Levin’s experience working with and serving on the boards of directors of life sciences companies and his experience working in the venture capital industry qualifies him to serve on our board of directors.</w:t>
      </w:r>
    </w:p>
    <w:p>
      <w:pPr>
        <w:spacing w:after="0" w:line="186"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 xml:space="preserve">The board of directors recommends voting “FOR” the election of Alan Ezekowitz and Mark Levin as Class I directors for a three-year term ending at the annual meeting of stockholders to be held in 2023 </w:t>
      </w:r>
      <w:r>
        <w:rPr>
          <w:rFonts w:ascii="Arial" w:cs="Arial" w:eastAsia="Arial" w:hAnsi="Arial"/>
          <w:sz w:val="18"/>
          <w:szCs w:val="18"/>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Biographical information as of March 31, 2020, including principal occupation and business experience during the last five years, for our directors continuing in office after the Annual Meeting is set forth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b w:val="1"/>
          <w:bCs w:val="1"/>
          <w:i w:val="1"/>
          <w:iCs w:val="1"/>
          <w:color w:val="auto"/>
        </w:rPr>
        <w:t xml:space="preserve">James J. Collins, Ph.D. </w:t>
      </w:r>
      <w:r>
        <w:rPr>
          <w:rFonts w:ascii="Arial" w:cs="Arial" w:eastAsia="Arial" w:hAnsi="Arial"/>
          <w:sz w:val="16"/>
          <w:szCs w:val="16"/>
          <w:color w:val="auto"/>
        </w:rPr>
        <w:t>, age 54, has served on our board of directors since January 2017. Dr. Collins has served as the Termeer Professor of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James Geraghty </w:t>
      </w:r>
      <w:r>
        <w:rPr>
          <w:rFonts w:ascii="Arial" w:cs="Arial" w:eastAsia="Arial" w:hAnsi="Arial"/>
          <w:sz w:val="16"/>
          <w:szCs w:val="16"/>
          <w:color w:val="auto"/>
        </w:rPr>
        <w:t>, age 65, has served on our board of directors since July 2016. Mr. Geraghty is an industry leader with over 30 years of strategic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leadership experience, including more than 20 years as a senior member of executive teams at biotechnology companies developing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commercializing innovative therapies. From May 2013 to December 2016, Mr. Geraghty was an Entrepreneur in Residence at Third Rock Ventures,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leading biotech venture and company-formation fund. From April 2011 to December 2012, Mr. Geraghty served as a senior vice president of Sanofi,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global healthcare company. Prior to that, he served in various senior management roles at Genzyme Corporation, or Genzyme, a biotechnology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from 1992 to April 2011, including as senior vice president, international development from January 2007 to April 2011. Mr. Geraghty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currently serves as chairman of the board of directors of Orchard Therapeutics plc, Idera Pharmaceuticals, Inc., or Idera, and Pieris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Pharmaceuticals, Inc., each publicly traded companies, and as a member of the board of directors of Voyager, a publicly traded company. He previously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served as chairman of the board of Juniper Pharmaceuticals, Inc. and as a director of bluebird bio Inc. and GTC Biotherapeutics, Inc. Mr. Geraghty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received a B.A. in English from Georgetown University, an M.S. in Psychology from the University of Pennsylvania and a J.D. From Yale Law School.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Mr. Geraghty’s public company board and management experience and his broad and deep knowledge of the industry in which we operate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qualifies him to serve on our board of directors.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b w:val="1"/>
          <w:bCs w:val="1"/>
          <w:i w:val="1"/>
          <w:iCs w:val="1"/>
          <w:color w:val="auto"/>
        </w:rPr>
        <w:t xml:space="preserve">Katina Dorton </w:t>
      </w:r>
      <w:r>
        <w:rPr>
          <w:rFonts w:ascii="Arial" w:cs="Arial" w:eastAsia="Arial" w:hAnsi="Arial"/>
          <w:sz w:val="17"/>
          <w:szCs w:val="17"/>
          <w:color w:val="auto"/>
        </w:rPr>
        <w:t>, age 62, has served on our board of directors since January 2020. Ms. Dorton most recently served as executive vice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at Repare Therapeutics, an oncology company focused on DNA damage repair and synthetic lethality, from April 2019 to December 2019 and prior to that, as chief financial officer at AVROBIO, Inc., a gene therapy company focused on rare disease, from August 2017 to December 2018. Ms. Dorton also served as chief financial officer of Immatics GmbH, a biotechnology company, from 2015 to 2017. Prior to that, Ms. Dorton served as the principle owner of Doric LLC, an advisory firm, from 2011 to 2015, where she provided consulting services to public and private companies in the areas of mergers and acquisitions and strategic finance. Prior to that, she was a Managing Director at Morgan Stanley and a Managing Director at Needham &amp; Co. She also served as an attorney in private practice at Sullivan &amp; Cromwell. Ms. Dorton currently is on the board of directors of US Ecology, Inc., an environmental services company. Ms. Dorton holds a J.D. from the University of Virginia School of Law, an M.B.A. from George Washington University and a B.A. from Duke University. We believe Ms. Dorton’s extensive experience working with life sciences companies qualifies her to serve on our board of directors.</w:t>
      </w:r>
    </w:p>
    <w:p>
      <w:pPr>
        <w:spacing w:after="0" w:line="18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b w:val="1"/>
          <w:bCs w:val="1"/>
          <w:i w:val="1"/>
          <w:iCs w:val="1"/>
          <w:color w:val="auto"/>
        </w:rPr>
        <w:t xml:space="preserve">Robert J. Gould, Ph.D. </w:t>
      </w:r>
      <w:r>
        <w:rPr>
          <w:rFonts w:ascii="Arial" w:cs="Arial" w:eastAsia="Arial" w:hAnsi="Arial"/>
          <w:sz w:val="16"/>
          <w:szCs w:val="16"/>
          <w:color w:val="auto"/>
        </w:rPr>
        <w:t>, age 65, has served as our president and chief executive officer and as a member of our board of directors since July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Research Laboratories, or Merck, a healthcare company, where he held a variety of leadership positions, culminating in the role of vice president, licensing and external research.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current role as our chief executive officer qualify him to serve on our board of directors.</w:t>
      </w:r>
    </w:p>
    <w:p>
      <w:pPr>
        <w:spacing w:after="0" w:line="16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b w:val="1"/>
          <w:bCs w:val="1"/>
          <w:i w:val="1"/>
          <w:iCs w:val="1"/>
          <w:color w:val="auto"/>
        </w:rPr>
        <w:t xml:space="preserve">Kate Haviland </w:t>
      </w:r>
      <w:r>
        <w:rPr>
          <w:rFonts w:ascii="Arial" w:cs="Arial" w:eastAsia="Arial" w:hAnsi="Arial"/>
          <w:sz w:val="17"/>
          <w:szCs w:val="17"/>
          <w:color w:val="auto"/>
        </w:rPr>
        <w:t>, age 44, has served on our board of directors since June 2018. Ms. Haviland has served as chief operating officer of Blueprint Medicines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or Blueprint, a precision therapy company, since February 2019. Prior to her serving as chief operating officer, Ms. Haviland served as chief business officer of Blueprint from January 2016 to January 2019. Prior to that, from April 2014 to December 2015, Ms. Haviland served as vice president, rare diseases and oncology program leadership at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 previously served as executive director of commercial development at PTC Therapeutics, Inc., a biopharmaceutical company, from March 2007 to June 2012 and held corporate development and project management roles at Genzyme, a biotechnology company, from July 2005 to April 2007. Ms. Haviland received a B.A. from Wesleyan University with a double major in biochemistry/molecular biology and economics and an M.B.A. from Harvard Business School. We believe Ms. Haviland’s extensive experience working with life sciences companies qualifies her to serve on our board of directors.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Biographical information as of March 31, 2020 for our executive officers who are not directors is listed below.</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 xml:space="preserve">Bryan Stuart </w:t>
      </w:r>
      <w:r>
        <w:rPr>
          <w:rFonts w:ascii="Arial" w:cs="Arial" w:eastAsia="Arial" w:hAnsi="Arial"/>
          <w:sz w:val="18"/>
          <w:szCs w:val="18"/>
          <w:color w:val="auto"/>
        </w:rPr>
        <w:t>, age 43, has served as our chief operating officer since December 2018. Mr. Stuart previously served as president and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Yarra Therapeutics, LLC, or Yarra, a subsidiary of Array Biopharma, Inc., a biopharmaceutical company focused on genetically defined rare diseases, from December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2017 to August 2018. Prior to joining Yarra, Mr. Stuart served as president of Kastle Therapeutics, LLC, or Kastle, a biopharmaceutical company focused on developing and commercializing treatments for rare diseases, from July 2015 to March 2017 and as president and chief executive officer from March 2017 to November 2017. Prior to joining Kastle, Mr. Stuart was the chief business officer of Civitas Therapeutics, Inc., a biopharmaceutical company, from August 2012 to October 2014, where he led the business development, capital raising, commercial and portfolio management functions, including the sale of Civitas to Acorda Therapeutics, Inc. He previously led business development, corporate development and strategy at both EKR Therapeutics Inc. (acquired by Chiesi Farmaceutici S.p.A.) and Ovation Pharmaceuticals Inc. (acquired by Lundbeck A/S), where he played key roles in each company’s growth and ultimate sale. Mr. Stuart began his career as a healthcare investment banker at William Blair &amp; Company. Mr. Stuart received an MBA from the Kellogg School of Management at Northwestern University and a B.S. from the University of Illinois.</w:t>
      </w:r>
    </w:p>
    <w:p>
      <w:pPr>
        <w:spacing w:after="0" w:line="16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 xml:space="preserve">Owen Wallace, Ph.D. </w:t>
      </w:r>
      <w:r>
        <w:rPr>
          <w:rFonts w:ascii="Arial" w:cs="Arial" w:eastAsia="Arial" w:hAnsi="Arial"/>
          <w:sz w:val="17"/>
          <w:szCs w:val="17"/>
          <w:color w:val="auto"/>
        </w:rPr>
        <w:t>, age 51, has served as our chief scientific officer since April 2017. Dr. Wallace previously served as head, global discovery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chemistry at Novartis Institutes for BioMedical Research, or NIBR, a pharmaceutical company, from May 2013 to April 2017. Prior to joining NIBR, he held various positions at Eli Lilly &amp; Company, a pharmaceutical company, including site scientific leader and group senior director from July 2010 to June 2013, senior director, discovery chemistry from August 2009 to July 2010, director, discovery chemistry from December 2005 to August 2009 and head, discovery chemistry research from February 2002 to December 2005. Prior to that, Dr. Wallace was a senior research investigator at Bristol-Myers Squibb, a biopharmaceutical company, from March 1995 to May 2000. Dr. Wallace received his Ph.D. in Organic Chemistry from Yale University and his B.Sc. (Hons) in Chemistry from University College Cork in Ireland.</w:t>
      </w:r>
    </w:p>
    <w:p>
      <w:pPr>
        <w:spacing w:after="0" w:line="177"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b w:val="1"/>
          <w:bCs w:val="1"/>
          <w:i w:val="1"/>
          <w:iCs w:val="1"/>
          <w:color w:val="auto"/>
        </w:rPr>
        <w:t xml:space="preserve">Diego Cadavid, M.D. </w:t>
      </w:r>
      <w:r>
        <w:rPr>
          <w:rFonts w:ascii="Arial" w:cs="Arial" w:eastAsia="Arial" w:hAnsi="Arial"/>
          <w:sz w:val="16"/>
          <w:szCs w:val="16"/>
          <w:color w:val="auto"/>
        </w:rPr>
        <w:t>, age 54, has served as our senior vice president, clinical development since July 2018 and served as our vice president,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from September 2016 to July 2018. Dr. Cadavid currently serves as an adjunct professor at the University of Massachusetts Medical School. Dr. Cadavid previously served as senior medical director in the MS Clinical Development Group at Biogen Inc., or Biogen, a biotechnology company, from January 2014 to September 2016 and as a director of the Neurology Clinical Group at Biogen from April 2008 to December 2013. Before joining Biogen, Dr. Cadavid spent nine years at Rutgers-New Jersey Medical School where he was Associate Professor of Neurology and Neuroscience. While working at Biogen, Dr. Cadavid served as a consultant at the Center for Immunology and Inflammatory Diseases at the Massachusetts General Hospital in Boston. Dr. Cadavid received an M.D. from Pontificia Universidad Javeriana in Bogota, Colombia.</w:t>
      </w:r>
    </w:p>
    <w:p>
      <w:pPr>
        <w:spacing w:after="0" w:line="16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There is no arrangement or understanding between any of our directors and any other person or persons pursuant to which he or she was or is to be selected as a director.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PROPOSAL 2—RATIFICATION OF THE APPOINTMENT OF ERNST &amp; YOUNG LLP AS OUR INDEPENDENT REGISTERED PUBLIC ACCOUNTING FIRM FOR THE FISCAL YEAR ENDING DECEMBER 31, 2020</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stockholders are being asked to ratify the appointment by the audit committee of the board of directors of Ernst &amp; Young LLP as our independent registered public accounting firm for the fiscal year ending December 31, 2020. Ernst &amp; Young LLP has served as our independent registered public accounting firm since 2017.</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audit committee is solely responsible for selecting our independent registered public accounting firm for the fiscal year ending December 31, 2020.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representative of Ernst &amp; Young LLP is expected to virtually attend the Annual Meeting and will have an opportunity to make a statement if he or she desires to do so and is expected to be available to respond to appropriate questions from our stockholders.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incurred the following fees from Ernst &amp; Young LLP for the audit of the consolidated financial statements and for other services provided during the years ended December 31, 2019 and 2018.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540" w:type="dxa"/>
            <w:vAlign w:val="bottom"/>
            <w:gridSpan w:val="3"/>
          </w:tcPr>
          <w:p>
            <w:pPr>
              <w:ind w:left="880"/>
              <w:spacing w:after="0"/>
              <w:rPr>
                <w:sz w:val="20"/>
                <w:szCs w:val="20"/>
                <w:color w:val="auto"/>
              </w:rPr>
            </w:pPr>
            <w:r>
              <w:rPr>
                <w:rFonts w:ascii="Arial" w:cs="Arial" w:eastAsia="Arial" w:hAnsi="Arial"/>
                <w:sz w:val="14"/>
                <w:szCs w:val="14"/>
                <w:b w:val="1"/>
                <w:bCs w:val="1"/>
                <w:color w:val="auto"/>
              </w:rPr>
              <w:t>Fee Category</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1,091,000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1,113,360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financial statements, the review of the interim financial statements included in our quarterly reports on Form 10-Q, our IPO that was completed in July 2019 and other professional services provided in connection with regulatory filings or engagements.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compliance, advice and tax planning.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our 2019 and 2018 fiscal years, no services were provided to us by Ernst &amp; Young LLP other than in accordance with the pre-approval policies and procedures described above.</w:t>
      </w:r>
    </w:p>
    <w:p>
      <w:pPr>
        <w:spacing w:after="0" w:line="166"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2 to ratify the appointment of Ernst &amp; Young LLP as our independent registered public accounting firm for the fiscal year ending December 31, 2020.</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320" w:top="459" w:right="5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the qualifications, qualities and skills that our nominating and corporate governance committee believes must be met by a committee-recommended nominee for a position on our board of directors are as follows:</w:t>
      </w:r>
    </w:p>
    <w:p>
      <w:pPr>
        <w:spacing w:after="0" w:line="67"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130"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Nominees should have a commitment to understand our company and our industry and to regularly attend and participate in meetings of our board of directors and its committees.</w:t>
      </w:r>
    </w:p>
    <w:p>
      <w:pPr>
        <w:spacing w:after="0" w:line="75"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Nominees shall not be discriminated against on the basis of race, religion, national origin, sex, sexual orientation, disability or any other basis proscribed by law. The value of diversity on our board of directors is considered.</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2021 Annual Meeting.”</w:t>
      </w:r>
    </w:p>
    <w:p>
      <w:pPr>
        <w:spacing w:after="0" w:line="17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stockholder-recommended candidate and recommends his or her election, then his or her name will be included on our proxy card for the next annual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6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March 2020,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Gould is not an independent director under these rules because he is our president and chief executive officer.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board of directors has established an audit committee, a compensation committee, a nominating and corporate governance committee and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compensation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During 2019, the members of our audit committee were Alan Ezekowitz, James Geraghty and Kate Haviland, and Dr. Ezekowitz served as chair of the audit committee. On January 2, 2020, Dr. Ezekowitz stepped down from the audit committee, and his role as chair of the committee, and Katina Dorton joined the audit committee as chair. Our audit committee met three times during 2019. Our audit committee’s responsibilities include:</w:t>
      </w:r>
    </w:p>
    <w:p>
      <w:pPr>
        <w:spacing w:after="0" w:line="54"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disclosure controls and procedures and code of business conduct and ethics;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meeting independently with our internal auditing staff, if any, our independent registered public accounting firm and management;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or SEC, rules.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During 2019, the members of our compensation committee were Mark Levin, Alan Ezekowitz and James Geraghty, and Mr. Levin served as chair of the compensation committee. On January 23, 2020, the compensation committee was reconstituted, and the current members of our compensation committee are Dr. Ezekowitz, Katina Dorton and Kate Haviland, and Dr. Ezekowitz serves as chair of the compensation committee. Our compensation committee met one time during 2019. Our compensation committee’s responsibilities include:</w:t>
      </w:r>
    </w:p>
    <w:p>
      <w:pPr>
        <w:spacing w:after="0" w:line="77" w:lineRule="exact"/>
        <w:rPr>
          <w:sz w:val="20"/>
          <w:szCs w:val="20"/>
          <w:color w:val="auto"/>
        </w:rPr>
      </w:pPr>
    </w:p>
    <w:p>
      <w:pPr>
        <w:ind w:left="1080" w:right="2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believe that the composition of our compensation committee meets the requirements for independence under current Nasdaq and SEC rules and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The members of our nominating and corporate governance committee are James Geraghty, James Collins and Mark Levin, and Mr. Geraghty serves as chair of the nominating and corporate governance committee. Our nominating and corporate governance committee took all actions in 2019 by written consent without a meeting. Our nominating and corporate governance committee’s responsibilities include:</w:t>
      </w:r>
    </w:p>
    <w:p>
      <w:pPr>
        <w:spacing w:after="0" w:line="7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recommending to our board of directors the persons to be nominated for election as directors and to each of our board’s committees;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believe that the composition of our nominating and corporate governance committee meets the requirements for independence under current Nasdaq and SEC rules and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January 2020, our board established a science and technology committee. The members of our science and technology committee are James Collins, Alan Ezekowitz and Mark Levin, and Dr. Collins serves as chair of the science and technology committee. The science and technology committee assists our board’s oversight of our research activities and assists us in evaluating science and technology issues. Our science and technology committee’s responsibilities include:</w:t>
      </w:r>
    </w:p>
    <w:p>
      <w:pPr>
        <w:spacing w:after="0" w:line="92" w:lineRule="exact"/>
        <w:rPr>
          <w:sz w:val="20"/>
          <w:szCs w:val="20"/>
          <w:color w:val="auto"/>
        </w:rPr>
      </w:pPr>
    </w:p>
    <w:p>
      <w:pPr>
        <w:ind w:left="1080" w:right="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evaluating, and advising our board of directors and management regarding our long-term strategic goals and objectives and the quality and direction of our research and development programs;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and evaluating trends in research and development, and recommending to our board of directors and management emerging technologies for building the company’s technological strength;</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recommending approaches to acquiring and maintaining technology positions (including but not limited to contracts, grants, collaborative efforts, alliances, and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advising our board of directors and management on the scientific aspects of business development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regularly reviewing our research and development pipeline; and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assisting our board of directors with its oversight responsibility for enterprise risk management in areas affecting our research and development.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During 2019, the members of our compensation committee were Mark Levin, Alan Ezekowitz and James Geraghty. In January 2020, Mr. Levin and Mr. Geraghty stepped down from the compensation committee and Katina Dorton and Kate Haviland joined the compensation committee. None of our executive officers serves, or in the past year has served, as a member of the board of directors or compensation committee, or other committee serving an equivalent function, of any other entity that has one or more of its executive officers serving as a</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member of our board of directors or our compensation committee. None of the current members, or members serving during 2019, of our compensation committee is, or has ever been, an officer or employee of our company, other than Mr. Levin, who previously served as our interim president and chief executive officer from August 2015 to July 2016.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 Meetings and Attendance</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board of directors recognizes the importance of director attendance at board and committee meetings. The full board of directors met 10 times during 2019. During 2019,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corporate governance guidelines provide that directors are responsible for attending the annual meeting of stockholders. We did not hold an annual meeting of stockholders during the time we were a public company in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board of directors has adopted corporate governance guidelines to assist the board of directors in the exercise of its duties and responsibilities and to serve the best interests of our company and our stockholders. These guidelines provide that:</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responsibility of our board of directors is to oversee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majority of the members of the board of directors must be independent directors, unless otherwise permitted by Nasdaq rules;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independent directors meet in executive session at least twice a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independent advisors;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all directors are expected to participate in continuing director education on an ongoing basis;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will oversee an annual self-evaluation of the board to determine whether it and its committees are functioning effectively.</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 copy of the corporate governance guidelines is available on the “Corporate Governance” section of the “Investor Relations” section of our website, which is located at www.fulcrumtx.com.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Oversight of Risk</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corporate governance guidelines provide that the nominating and corporate governance committee shall periodically assess the board of directors’ leadership structure, including whether the offices of chief executive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officer and chair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 of our board of directors is independent within the meaning of the Nasdaq listing rules.</w:t>
      </w:r>
    </w:p>
    <w:p>
      <w:pPr>
        <w:spacing w:after="0" w:line="149"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We currently separate the roles of chief executive officer and chair of the board of directors. Our president and chief executive officer is responsible for setting the strategic direction for our company and the day-to-day leadership and performance of our company, while the chair of our board of directors presides over meetings of the board of directors, including executive sessions of the board of directors, and performs oversight responsibilities.</w:t>
      </w:r>
    </w:p>
    <w:p>
      <w:pPr>
        <w:spacing w:after="0" w:line="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 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w:t>
      </w:r>
    </w:p>
    <w:p>
      <w:pPr>
        <w:spacing w:after="0" w:line="17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Risk is inherent with every business and how well a business manages risk can ultimately determine its success. We face a number of risks, including those described under “Risk Factors” in our annual report on Form 10-K for the year ended December 31, 2019.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 with Our Directors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Any interested party with concerns about our company may report such concerns to the board of directors, or the chair of our board of directors, or otherwise the chair of the nominating and corporate governance committee, by submitting a written communication to the attention of such director at the following address:</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Attention: Board of Directors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70"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4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(or, if none, our principal executive officer or our principal financial officer) at 26 Landsdowne Street, Cambridge, Massachusetts 02139 or via the toll-free telephone number 855-718-8021.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for 2019. Our named executive officers for 2019 were Robert J. Gould, Bryan Stuart and Owen Wallace.</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This section also provides qualitative information regarding the manner and context in which compensation is awarded to and earned by our executive officers and is intended to place in perspective the data presented in the tables and narrative that follow.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and Director Compensation Processes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executive compensation program is administered by the compensation committee of our board of directors, subject to the oversight and approval of our board of directors. Our compensation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committee has retained Radford, part of the Rewards Solutions practice of Aon Plc, as its independent compensation consultant, to provide comparative data on executive compensation practices in our industry and to advise on our executive compensation program generally. During 2019, our compensation committee directly retained Radford to advise the compensation committee on our compensation program for executive officers, which includes base salaries, annual performance-based cash incentives and equity incentive awards and Radford made recommendations with respect to the amount and form of executive and director compensation. Although our compensation committee considers the advice and guidance of Radford as to our executive compensation program, our compensation committee ultimately makes its own decisions about these matters. In the future, we expect that our compensation committee will continue to engage independent compensation consultants to provide additional guidance on our executive compensation programs and to conduct further competitive benchmarking against a peer group of publicly traded companies.</w:t>
      </w:r>
    </w:p>
    <w:p>
      <w:pPr>
        <w:spacing w:after="0" w:line="171"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The compensation committee reviewed information regarding the independence and potential conflicts of interest of Radford, taking into account, among other things, the factors set forth in the Nasdaq listing standards. Based on such review, the compensation committee concluded that the engagement of Radford did not raise any conflict of interest.</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Our director compensation program is administered by our board of directors with the assistance of the compensation committee. The compensation committee conducts an annual review of director compensation and makes recommendations to the board of directors with respect thereto.</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the years ended December 31, 2019 and 2018.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Stock awards</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Option awards</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880" w:type="dxa"/>
            <w:vAlign w:val="bottom"/>
          </w:tcPr>
          <w:p>
            <w:pPr>
              <w:jc w:val="center"/>
              <w:ind w:right="155"/>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2019</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478,195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3,111,158</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3,889,353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442,900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203,734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207,000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853,634</w:t>
            </w:r>
          </w:p>
        </w:tc>
        <w:tc>
          <w:tcPr>
            <w:tcW w:w="0" w:type="dxa"/>
            <w:vAlign w:val="bottom"/>
          </w:tcPr>
          <w:p>
            <w:pPr>
              <w:spacing w:after="0"/>
              <w:rPr>
                <w:sz w:val="1"/>
                <w:szCs w:val="1"/>
                <w:color w:val="auto"/>
              </w:rPr>
            </w:pPr>
          </w:p>
        </w:tc>
      </w:tr>
      <w:tr>
        <w:trPr>
          <w:trHeight w:val="310"/>
        </w:trPr>
        <w:tc>
          <w:tcPr>
            <w:tcW w:w="4960" w:type="dxa"/>
            <w:vAlign w:val="bottom"/>
          </w:tcPr>
          <w:p>
            <w:pPr>
              <w:spacing w:after="0"/>
              <w:rPr>
                <w:sz w:val="20"/>
                <w:szCs w:val="20"/>
                <w:color w:val="auto"/>
              </w:rPr>
            </w:pPr>
            <w:r>
              <w:rPr>
                <w:rFonts w:ascii="Arial" w:cs="Arial" w:eastAsia="Arial" w:hAnsi="Arial"/>
                <w:sz w:val="18"/>
                <w:szCs w:val="18"/>
                <w:color w:val="auto"/>
              </w:rPr>
              <w:t xml:space="preserve">Bryan Stuart </w:t>
            </w:r>
            <w:r>
              <w:rPr>
                <w:rFonts w:ascii="Arial" w:cs="Arial" w:eastAsia="Arial" w:hAnsi="Arial"/>
                <w:sz w:val="15"/>
                <w:szCs w:val="15"/>
                <w:color w:val="auto"/>
              </w:rPr>
              <w:t>(4).</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406,823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183,015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645,122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1,234,960</w:t>
            </w: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2018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16,667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1,685,290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1,701,957</w:t>
            </w: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Owen Wallace</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381,465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126,000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1,052,059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1,559,523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where noted otherwise, the amounts reported in the “Bonus” column reflect discretionary annual cash bonuses paid to our named executive officers for their performance in 2019 and 2018, respectively.</w:t>
      </w:r>
    </w:p>
    <w:p>
      <w:pPr>
        <w:spacing w:after="0" w:line="75" w:lineRule="exact"/>
        <w:rPr>
          <w:rFonts w:ascii="Arial" w:cs="Arial" w:eastAsia="Arial" w:hAnsi="Arial"/>
          <w:sz w:val="18"/>
          <w:szCs w:val="18"/>
          <w:color w:val="auto"/>
        </w:rPr>
      </w:pPr>
    </w:p>
    <w:p>
      <w:pPr>
        <w:ind w:left="540" w:right="340" w:hanging="424"/>
        <w:spacing w:after="0" w:line="25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reported in the “Stock awards” column reflect the aggregate fair value of stock-based compensation awarded during the year computed in accordance with the provisions of Financial Accounting Standards Board, or FASB, Accounting Standards Codification, or ASC, Topic 718. See Note 8 to our consolidated financial statements appearing in our annual report on Form 10-K, which was filed with the SEC on March 5, 2020, regarding assumptions underlying the valuation of equity awards.</w:t>
      </w:r>
    </w:p>
    <w:p>
      <w:pPr>
        <w:spacing w:after="0" w:line="92"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reflect the aggregate fair value of stock-based compensation awarded during the year computed in accordance with the provisions of FASB ASC Topic 718. See Note 8 to our consolidated financial statements appearing in our annual report on Form 10-K, which was filed with the SEC on March 5, 2020, regarding assumptions underlying the valuation of equity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97"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Stuart commenced employment with us on December 17,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84"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2018 and 2019, we paid Dr. Gould an annualized base salary of $442,900 and $478,195, respectively. In January 2020,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set Dr. Gould’s 2020 annual base salary at $535,000. In 2018 and 2019, we paid Mr. Stuart an annualized base salary of $400,000 and $406,823, respectively. In January 2020, our board of directors set Mr. Stuart’s 2020 annual base salary at $440,000. In 2019, we paid Dr. Wallace an annualized base salary of $381,465. In January 2020, our board of directors set Dr. Wallace’s 2020 annual base salary at $400,000.</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Our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2019 target bonus amounts, expressed as a percentage of annual base salary, for our named executive officers were 45% for Dr. Gould, 35% for Mr. Stuart and 30% for Dr. Wallace. With respect to 2019 performance, our board of directors awarded bonuses of $300,000, $183,015 and $126,000 to Dr. Gould, Mr. Stuart and Dr. Wallace, respectively. The 2020 target bonus amounts, expressed as a percentage of annual base salary, for our named executive officers are 50% for Dr. Gould, 40% for Mr. Stuart and 35% for Dr. Wallace.</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 xml:space="preserve">Equity Incentives. </w:t>
      </w:r>
      <w:r>
        <w:rPr>
          <w:rFonts w:ascii="Arial" w:cs="Arial" w:eastAsia="Arial" w:hAnsi="Arial"/>
          <w:sz w:val="17"/>
          <w:szCs w:val="17"/>
          <w:color w:val="auto"/>
        </w:rPr>
        <w:t>Although we do not have a formal policy with respect to the grant of equity incentive awards to our executive officers,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Prior to June 2018, we used restricted stock awards to compensate our executive officers in the form of initial grants in connection with the commencement of employment and also at various times, often but not necessarily annually, if we had performed as expected or better than expected. Since June 2018, we typically use stock options to compensate our executive officers in connection with the commencement of employment and also at various times.</w:t>
      </w:r>
    </w:p>
    <w:p>
      <w:pPr>
        <w:spacing w:after="0" w:line="18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In January 2019, we granted options to purchase 346,092, 58,928 and 100,494 shares of common stock to Dr. Gould, Mr. Stuart and Dr. Wallace, respectively. In July 2019, upon the commencement of trading of our common stock on the Nasdaq Global Market, we granted options to purchase 107,142, 28,571 and 44,493 shares of common stock to Dr. Gould. Mr. Stuart and Dr. Wallace, respectively. In January 2020, we granted options to purchase 200,000, 105,000 and 58,900 shares of our common stock to Dr. Gould, Mr. Stuart and Dr. Wallace, respectively. These options vest in equal quarterly installments over a term of four years from January 1, 2020.</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Prior to our initial public offering, our executives were eligible to receive equity awards under our 2016 Stock Incentive Plan, as amended to date, or the 2016 Plan. Following our initial public offering, our employees and executives were eligible to receive stock options and other stock-based awards pursuant to our 2019 Stock Incentive Plan, or the 2019 Plan.</w:t>
      </w:r>
    </w:p>
    <w:p>
      <w:pPr>
        <w:spacing w:after="0" w:line="18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None of our executive officers is currently party to an employment agreement that provides for the automatic award of restricted stock or stock options. 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award on the first anniversary of the grant date and as to an additional 6.25% of the original number of shares underlying the award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generally cease shortly after termination. Prior to the exercise of an option, the holder has no rights as a stockholder with respect to the shares subject to such option, including no voting rights and no right to receive dividends or dividend equivalents.</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Prior to our initial public offering we granted stock options with exercise prices that are equal to the fair market value of our common stock on the date of grant as determined by our board of directors, based on a number of objective and subjective factors. The exercise price of all stock options granted after the closing of our initial public offering is equal to the fair market value of shares of our common stock on the date of grant, which we determine by reference to the closing market price of our common stock on the date of grant.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December 31, 2019</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sets forth information regarding all outstanding stock options and shares of restricted stock held by each of our named executive officers as of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154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Market value of</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securities</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9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underlying</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0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Option</w:t>
            </w: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shares or units</w:t>
            </w: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unexercised</w:t>
            </w: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exercise</w:t>
            </w:r>
          </w:p>
        </w:tc>
        <w:tc>
          <w:tcPr>
            <w:tcW w:w="1300" w:type="dxa"/>
            <w:vAlign w:val="bottom"/>
            <w:gridSpan w:val="2"/>
            <w:vMerge w:val="continue"/>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0" w:type="dxa"/>
            <w:vAlign w:val="bottom"/>
          </w:tcPr>
          <w:p>
            <w:pPr>
              <w:spacing w:after="0"/>
              <w:rPr>
                <w:sz w:val="1"/>
                <w:szCs w:val="1"/>
                <w:color w:val="auto"/>
              </w:rPr>
            </w:pPr>
          </w:p>
        </w:tc>
      </w:tr>
      <w:tr>
        <w:trPr>
          <w:trHeight w:val="148"/>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options (#)</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options (#)</w:t>
            </w: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price</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expiration</w:t>
            </w: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89"/>
              </w:rPr>
              <w:t>exercisable</w:t>
            </w:r>
          </w:p>
        </w:tc>
        <w:tc>
          <w:tcPr>
            <w:tcW w:w="40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unexercisable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date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3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w:t>
            </w:r>
          </w:p>
        </w:tc>
        <w:tc>
          <w:tcPr>
            <w:tcW w:w="40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281,200(2)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1/21/2029</w:t>
            </w:r>
          </w:p>
        </w:tc>
        <w:tc>
          <w:tcPr>
            <w:tcW w:w="42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53,572(3)</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891,438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6,696</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100,446(4)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7/17/2029</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13,393(5)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222,860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36,162(6)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601,736</w:t>
            </w:r>
          </w:p>
        </w:tc>
        <w:tc>
          <w:tcPr>
            <w:tcW w:w="0" w:type="dxa"/>
            <w:vAlign w:val="bottom"/>
          </w:tcPr>
          <w:p>
            <w:pPr>
              <w:spacing w:after="0"/>
              <w:rPr>
                <w:sz w:val="1"/>
                <w:szCs w:val="1"/>
                <w:color w:val="auto"/>
              </w:rPr>
            </w:pP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Bryan Stuart</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75,892</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227,679(7)</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7.84</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12/17/2028</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14,732</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44,196(7)</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7.84</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1/21/2029</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1,785</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26,786(8)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7/17/2029</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Owen Wallace</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18,843</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75,731(9)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1/21/2029</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39,394(10)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655,516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2,780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41,713(11)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7/17/2029</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8,864(12)</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our common stock is based on the closing price of our common stock on the Nasdaq Global Market on December 31, 2019 of $16.64 per share.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option award vests over four years, in equal quarterly installments through January 1, 2023, subject to continued service.</w:t>
      </w:r>
    </w:p>
    <w:p>
      <w:pPr>
        <w:spacing w:after="0" w:line="130" w:lineRule="exact"/>
        <w:rPr>
          <w:rFonts w:ascii="Arial" w:cs="Arial" w:eastAsia="Arial" w:hAnsi="Arial"/>
          <w:sz w:val="18"/>
          <w:szCs w:val="18"/>
          <w:color w:val="auto"/>
        </w:rPr>
      </w:pPr>
    </w:p>
    <w:p>
      <w:pPr>
        <w:ind w:left="540" w:right="34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restricted stock award vests over four years, with 25% of the shares vested on June 20, 2017 and 6.25% of the shares vesting thereafter in equal quarterly installments through June 20, 2020, subject to continued service.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option award vests over four years, in equal quarterly installments through July 1, 2023, subject to continued service.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restricted stock award vests over four years, in equal quarterly installments through January 1, 2021, subject to continued service.</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restricted stock award vests over four years, in equal quarterly installments through January 1, 2022, subject to continued service.</w:t>
      </w:r>
    </w:p>
    <w:p>
      <w:pPr>
        <w:spacing w:after="0" w:line="142" w:lineRule="exact"/>
        <w:rPr>
          <w:rFonts w:ascii="Arial" w:cs="Arial" w:eastAsia="Arial" w:hAnsi="Arial"/>
          <w:sz w:val="17"/>
          <w:szCs w:val="17"/>
          <w:color w:val="auto"/>
        </w:rPr>
      </w:pPr>
    </w:p>
    <w:p>
      <w:pPr>
        <w:ind w:left="540" w:right="12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option award vests over four years, with 25% of the shares vested on December 17, 2019 and 6.25% of the shares vesting thereafter in equal quarterly installments through December 17, 2022, subject to continued service.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option award vests over four years, in equal quarterly installments through July 1, 2023, subject to continued service.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option award vests over four years, in equal quarterly installments through January 1, 2023, subject to continued service.</w:t>
      </w:r>
    </w:p>
    <w:p>
      <w:pPr>
        <w:spacing w:after="0" w:line="130"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restricted stock award vests over four years, with 25% of the shares vested on April 10, 2018 and 6.25% of the shares vesting thereafter in equal quarterly installments through April 10, 2021, subject to continued service.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option award vests over four years, in equal quarterly installments through July 1, 2023, subject to continued service.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restricted stock award vests over four years, in equal quarterly installments through January 1, 2022, subject to continued service.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have entered into written employment agreements with each of our named executive officers. These agreements set forth the terms of the executive officer’s compensation, including base salary and annual performance bonus opportunity. In addition, the agreements provide that, subject to eligibility requirements under the plan documents governing such programs and our policies, the executive officers are eligible to participate in company-sponsored benefit programs that are generally available to all of our similarly-situated employees. Each executive officer will also be eligible to receive equity awards at such times and on such terms and conditions as the board of directors may determine.</w:t>
      </w:r>
    </w:p>
    <w:p>
      <w:pPr>
        <w:spacing w:after="0" w:line="176"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Pursuant to their respective employment agreements, each of our named executive officers is entitled to an annual base salary as follows: Robert J. Gould is entitled to receive an annual base salary of $500,000; Bryan Stuart is entitled to receive an annual base salary of $415,000; and Owen Wallace is entitled to receive an annual base salary of $400,000. Each named executive officer’s base salary is reviewed by our compensation committee and the board of directors on an annual or more frequent basis and is subject to change in the discretion of our board of directors or compensation committee. See “ – Narrative to Summary Compensation Table” for the 2020 annual base salaries approved by our board of directors in January 2020.</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Under their respective employment agreements, each of our named executive officers is also eligible to earn an annual performance bonus, with a target bonus amount equal to a specified percentage of such officer’s annual base salary, based upon the board’s assessment of the executive’s performance and our attainment of targeted goals as set by the board of directors in its sole discretion. The bonus may be in the form of cash, equity award, or a combination of cash and equity. Under the terms of their respective employment agreements, Dr. Gould is eligible for an annual discretionary bonus of up to 45% of his base salary; Mr. Stuart is eligible for an annual discretionary bonus of up to 35% of his base salary; and Dr. Wallace is eligible for an annual discretionary bonus of up to 30% of his base salary. See “– Narrative to Summary Compensation Table” for the 2020 target bonus percentages approved by our board of directors in January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employment agreements and the employment of each of Dr. Gould, Mr. Stuart and Dr. Wallace may be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w:t>
      </w:r>
    </w:p>
    <w:p>
      <w:pPr>
        <w:spacing w:after="0" w:line="18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In the event of the termination of Dr. Gould’s employment by us without cause, or by him for good reason, prior to or more than 12 months following a “change in control” (as change in control is defined in his employment agreement), Dr. Gould is entitled to his base salary that has accrued and to which he is entitled as of the termination date and other accrued benefits, collectively, the accrued obligations. In addition, subject to his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9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the event of the termination of Dr. Gould’s employment by us without cause, or by him for good reason, within 12 months following a change in control, Dr. Gould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Gould is entitled to (1) continued payment of his then-current base salary (or, if higher, his base salary in effect immediately prior to the change in control),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2"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If Dr. Gould’s employment is terminated for any other reason, including as a result of his death or disability, for cause, or voluntarily by Dr. Gould without good reason, our obligations under the employment agreement cease immediately, and Dr. Gould is only entitled to the accrued obligations.</w:t>
      </w:r>
    </w:p>
    <w:p>
      <w:pPr>
        <w:spacing w:after="0" w:line="12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the event of the termination of Mr. Stuart’s or Dr. Wallace’s employment by us without cause, or by such executive officer for good reason, prior to or more than 12 months following a “change in control” (as change in control is defined in his employment agreement),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7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the event of the termination of Mr. Stuart’s or Dr. Wallace’s employment by us without cause, or by such executive officer for good reason, within 12 months following a change in control,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 (1) continued payment of his then-current base salary (or, if higher, his base salary in effect immediately prior to the change in control), in accordance with our regular payroll procedures, for a period of 12 months,</w:t>
      </w:r>
    </w:p>
    <w:p>
      <w:pPr>
        <w:spacing w:after="0" w:line="2" w:lineRule="exact"/>
        <w:rPr>
          <w:sz w:val="20"/>
          <w:szCs w:val="20"/>
          <w:color w:val="auto"/>
        </w:rPr>
      </w:pPr>
    </w:p>
    <w:p>
      <w:pPr>
        <w:ind w:left="120" w:right="120" w:hanging="4"/>
        <w:spacing w:after="0" w:line="273" w:lineRule="auto"/>
        <w:tabs>
          <w:tab w:leader="none" w:pos="3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If Mr. Stuart’s or Dr. Wallace’s employment is terminated for any other reason, including as a result of such executive officer’s death or disability, for cause, or voluntarily by such executive officer without good reason, our obligations under the employment agreement cease immediately, and such executive officer is only entitled to the accrued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Non-Solicitation, Confidentiality and Assignment of Inventions Agreements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In connection with the employment agreements, each of our named executive officers has entered into a standard form agreement with respect to non-solicitation, confidential information and assignment of inventions.</w:t>
      </w:r>
    </w:p>
    <w:p>
      <w:pPr>
        <w:spacing w:after="0" w:line="170"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all compensation we paid to our non-employee directors during the year ended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Fees earned or</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(2)(3)</w:t>
            </w:r>
          </w:p>
        </w:tc>
        <w:tc>
          <w:tcPr>
            <w:tcW w:w="36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J. Collins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76,316</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113,316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Ezekowitz</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76,281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121,281</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James Geraghty</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44,890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119,061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163,951</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Kate Haviland</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38,750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93,778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132,528</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Mark Levin</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39,500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Tananbaum(5)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4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2019, the aggregate number of shares of our common stock held pursuant to restricted stock awards by each non-employee director serving during 2019 was as follows: Dr. Collins, 23,571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shares; Mr. Ezekowitz, 23,571 shares; Mr. Geraghty, 80,714 shares; Ms. Haviland, 0 shares; Mr. Levin, 0 shares; and Mr. Tananbaum, 0 shares.</w:t>
      </w:r>
    </w:p>
    <w:p>
      <w:pPr>
        <w:spacing w:after="0" w:line="154" w:lineRule="exact"/>
        <w:rPr>
          <w:sz w:val="20"/>
          <w:szCs w:val="20"/>
          <w:color w:val="auto"/>
        </w:rPr>
      </w:pPr>
    </w:p>
    <w:p>
      <w:pPr>
        <w:ind w:left="540" w:right="280" w:hanging="424"/>
        <w:spacing w:after="0" w:line="296"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ASC 718. See Note 8 to our consolidated financial statements appearing in our annual report on Form 10-K, which was filed with the SEC on March 5, 2020, regarding assumptions underlying the valuation of equity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spacing w:after="0" w:line="66" w:lineRule="exact"/>
        <w:rPr>
          <w:rFonts w:ascii="Arial" w:cs="Arial" w:eastAsia="Arial" w:hAnsi="Arial"/>
          <w:sz w:val="16"/>
          <w:szCs w:val="16"/>
          <w:color w:val="auto"/>
        </w:rPr>
      </w:pPr>
    </w:p>
    <w:p>
      <w:pPr>
        <w:ind w:left="540" w:right="80" w:hanging="424"/>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2019, the aggregate number of shares of our common stock subject to outstanding option awards for each non-employee director serving during 2019 was as follows: Dr. Collins, 12,856 shares; Mr. Ezekowitz, 7,500 shares; Mr. Geraghty, 16,427 shares; Ms. Haviland, 32,856 shares; Mr. Levin, 0 shares; and Mr. Tananbaum, 0 shares.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Katina Dorton joined our board of directors in January 2020.</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James Tananbaum resigned from our board of directors effective in April 2019.</w:t>
      </w:r>
    </w:p>
    <w:p>
      <w:pPr>
        <w:spacing w:after="0" w:line="22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Prior to our initial public offering, we paid cash fees and granted restricted stock awards and options to purchase shares of our common stock to certain of our non-employee directors for their service on our board of directors pursuant to a non-employee and non-affiliate director compensation policy. We also historically reimbursed our non-employee directors for reasonable travel and out-of-pocket expenses incurred in connection with attending board of director and committee meetings.</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Dr. Gould, one of our directors who also serves as our president and chief executive officer, does not receive any additional compensation for his service as a director. Dr. Gould is one of our named executive officers and, accordingly, the compensation that we pay to Dr. Gould is discussed above under “—Summary Compensation Table” and “—Narrative to Summary Compensation Table.”</w:t>
      </w:r>
    </w:p>
    <w:p>
      <w:pPr>
        <w:spacing w:after="0" w:line="18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June 2019, our board of directors approved a director compensation program that became effective on July 17, 2019. Under this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are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Member Annual</w:t>
            </w:r>
          </w:p>
        </w:tc>
        <w:tc>
          <w:tcPr>
            <w:tcW w:w="44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Chair Incremental</w:t>
            </w:r>
          </w:p>
        </w:tc>
      </w:tr>
      <w:tr>
        <w:trPr>
          <w:trHeight w:val="171"/>
        </w:trPr>
        <w:tc>
          <w:tcPr>
            <w:tcW w:w="5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Fee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Annual Fee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2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Audit Committee</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Science and Technology Committee</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also reimburse our non-employee directors for reasonable travel and other expenses incurred in connection with attending meetings of our board of directors and any committee of our board of directors on which he or she serves.</w:t>
      </w:r>
    </w:p>
    <w:p>
      <w:pPr>
        <w:spacing w:after="0" w:line="170"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 addition, under our director compensation program, each non-employee director receives, upon his or her initial election or appointment to our board of directors, an option under our 2019 Plan to purchase 18,571 shares of our common stock. Each of these options vests as to 2.7778% of the shares of our common stock underlying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such option at the end of each successive one-month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receives an option under the 2019 Plan to purchase 9,285 shares of our common stock under the 2019 Plan.</w:t>
      </w:r>
    </w:p>
    <w:p>
      <w:pPr>
        <w:spacing w:after="0" w:line="18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 All options issued to our non-employee directors under our director compensation program are issued with exercise prices equal to the fair market value of our common stock on the date of grant and will become exercisable in full upon specified change in control events.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following table contains information about our 2016 Plan, our 2019 Plan and our 2019 Employee Stock Purchase Plan, or 2019 ESPP, as of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As of December 31, 2019</w:t>
            </w:r>
          </w:p>
        </w:tc>
        <w:tc>
          <w:tcPr>
            <w:tcW w:w="1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3"/>
            <w:vMerge w:val="restart"/>
          </w:tcPr>
          <w:p>
            <w:pPr>
              <w:jc w:val="center"/>
              <w:ind w:right="820"/>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46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460" w:type="dxa"/>
            <w:vAlign w:val="bottom"/>
          </w:tcPr>
          <w:p>
            <w:pPr>
              <w:spacing w:after="0"/>
              <w:rPr>
                <w:sz w:val="12"/>
                <w:szCs w:val="12"/>
                <w:color w:val="auto"/>
              </w:rPr>
            </w:pPr>
          </w:p>
        </w:tc>
        <w:tc>
          <w:tcPr>
            <w:tcW w:w="19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options,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5"/>
              </w:rPr>
              <w:t>warrants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rights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and rights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42"/>
        </w:trPr>
        <w:tc>
          <w:tcPr>
            <w:tcW w:w="51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rPr>
              <w:t>(b)</w:t>
            </w:r>
          </w:p>
        </w:tc>
        <w:tc>
          <w:tcPr>
            <w:tcW w:w="82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(1)(2)(3)</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2,023,828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9.31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2,118,836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2,023,828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9.31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2,118,836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2016 Plan, 2019 Plan and 2019 ESPP.</w:t>
      </w:r>
    </w:p>
    <w:p>
      <w:pPr>
        <w:spacing w:after="0" w:line="130" w:lineRule="exact"/>
        <w:rPr>
          <w:rFonts w:ascii="Arial" w:cs="Arial" w:eastAsia="Arial" w:hAnsi="Arial"/>
          <w:sz w:val="18"/>
          <w:szCs w:val="18"/>
          <w:color w:val="auto"/>
        </w:rPr>
      </w:pPr>
    </w:p>
    <w:p>
      <w:pPr>
        <w:ind w:left="540" w:right="60" w:hanging="424"/>
        <w:spacing w:after="0" w:line="272"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December 31, 2019, 1,866,694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2020, the shares under the 2019 Plan were increased by 933,420 shares pursuant to the annual increase described above.</w:t>
      </w:r>
    </w:p>
    <w:p>
      <w:pPr>
        <w:spacing w:after="0" w:line="82" w:lineRule="exact"/>
        <w:rPr>
          <w:rFonts w:ascii="Arial" w:cs="Arial" w:eastAsia="Arial" w:hAnsi="Arial"/>
          <w:sz w:val="17"/>
          <w:szCs w:val="17"/>
          <w:color w:val="auto"/>
        </w:rPr>
      </w:pPr>
    </w:p>
    <w:p>
      <w:pPr>
        <w:ind w:left="540" w:right="160" w:hanging="424"/>
        <w:spacing w:after="0" w:line="279"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December 31, 2019, 252,142 shares of our common stock were reserved for issuance under the 2019 ESPP. The number of shares reserved for issuance under the 2019 ESPP will be increased on each January 1 through January 1, 2029 by the least of (i) 428,571 shares, (ii) 1% of the number of shares of our common stock outstanding on the first day of such year or (iii) an amount determined by our board of directors. On January 1, 2020, the shares under the 2019 ESPP were increased by 233,355 shares pursuant to this provision.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following is a description of transactions since January 1, 2018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A Preferred Stock Financing</w:t>
      </w:r>
    </w:p>
    <w:p>
      <w:pPr>
        <w:spacing w:after="0" w:line="121"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From January 4, 2018 to June 6, 2018, we issued and sold an aggregate of 25,333,334 shares of our Series A preferred stock at a price per share of $1.00 in cash. The following table sets forth the aggregate number of shares of our Series A preferred stock that we issued and sold to holders of more than 5% of our voting securities at the time of the transaction and their affiliates in this transaction and the aggregate amount of consideration for such shares.</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Upon the closing of our initial public offering, all of the outstanding shares of our series A preferred stock converted into shares of our common stock at then-existing conversion ratios.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of Series A</w:t>
            </w:r>
          </w:p>
        </w:tc>
        <w:tc>
          <w:tcPr>
            <w:tcW w:w="1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8"/>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Purchaser </w:t>
            </w:r>
            <w:r>
              <w:rPr>
                <w:rFonts w:ascii="Arial" w:cs="Arial" w:eastAsia="Arial" w:hAnsi="Arial"/>
                <w:sz w:val="12"/>
                <w:szCs w:val="12"/>
                <w:b w:val="1"/>
                <w:bCs w:val="1"/>
                <w:color w:val="auto"/>
              </w:rPr>
              <w:t>(1)(2)</w:t>
            </w: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Date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3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Sold for Cash</w:t>
            </w:r>
          </w:p>
        </w:tc>
        <w:tc>
          <w:tcPr>
            <w:tcW w:w="1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1/4/2018</w:t>
            </w:r>
          </w:p>
        </w:tc>
        <w:tc>
          <w:tcPr>
            <w:tcW w:w="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3,166,667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$ 3,166,667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Third Rock Ventures IV, L.P.</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1/4/2018</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3,166,667</w:t>
            </w:r>
          </w:p>
        </w:tc>
        <w:tc>
          <w:tcPr>
            <w:tcW w:w="110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$ 3,166,667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3/13/2018</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3,166,667</w:t>
            </w:r>
          </w:p>
        </w:tc>
        <w:tc>
          <w:tcPr>
            <w:tcW w:w="11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8"/>
              </w:rPr>
              <w:t>$ 3,166,667</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Third Rock Ventures IV, L.P.</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3/13/2018</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3,166,666</w:t>
            </w:r>
          </w:p>
        </w:tc>
        <w:tc>
          <w:tcPr>
            <w:tcW w:w="110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$ 3,166,666</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5/9/2018</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3,166,666</w:t>
            </w:r>
          </w:p>
        </w:tc>
        <w:tc>
          <w:tcPr>
            <w:tcW w:w="11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8"/>
              </w:rPr>
              <w:t>$ 3,166,666</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Third Rock Ventures IV, L.P.</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5/9/2018</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3,166,667</w:t>
            </w:r>
          </w:p>
        </w:tc>
        <w:tc>
          <w:tcPr>
            <w:tcW w:w="110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$ 3,166,667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6/6/2018</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3,166,667</w:t>
            </w:r>
          </w:p>
        </w:tc>
        <w:tc>
          <w:tcPr>
            <w:tcW w:w="11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8"/>
              </w:rPr>
              <w:t>$ 3,166,667</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Third Rock Ventures IV, L.P.</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6/6/2018</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3,166,667</w:t>
            </w:r>
          </w:p>
        </w:tc>
        <w:tc>
          <w:tcPr>
            <w:tcW w:w="110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$ 3,166,667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Levin, a member of our board of directors, is a partner of Third Rock Ventures.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 Preferred Stock Financing</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August 2018, we issued and sold an aggregate of 40,000,000 shares of our Series B preferred stock at a price per share of $2.00 in cash, for an aggregate purchase price of $80,000,000. The following table sets forth the aggregate number of shares of our Series B preferred stock that we sold to our 5% stockholders at the time of the transaction and their affiliates in this transaction and the aggregate amount of consideration for such shares. Upon the closing of our initial public offering, all of the outstanding shares of our series B preferred stock converted into shares of our common stock at the then-existing conversion ratios.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Shares of</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8"/>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Purchaser </w:t>
            </w:r>
            <w:r>
              <w:rPr>
                <w:rFonts w:ascii="Arial" w:cs="Arial" w:eastAsia="Arial" w:hAnsi="Arial"/>
                <w:sz w:val="12"/>
                <w:szCs w:val="12"/>
                <w:b w:val="1"/>
                <w:bCs w:val="1"/>
                <w:color w:val="auto"/>
              </w:rPr>
              <w:t>(1)</w:t>
            </w: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Series B</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8460" w:type="dxa"/>
            <w:vAlign w:val="bottom"/>
            <w:gridSpan w:val="2"/>
            <w:vMerge w:val="continue"/>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Preferred Stock</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Foresite Capital Fund IV, L.P. </w:t>
            </w:r>
            <w:r>
              <w:rPr>
                <w:rFonts w:ascii="Arial" w:cs="Arial" w:eastAsia="Arial" w:hAnsi="Arial"/>
                <w:sz w:val="15"/>
                <w:szCs w:val="15"/>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$ 21,000,000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this entity.</w:t>
      </w:r>
    </w:p>
    <w:p>
      <w:pPr>
        <w:spacing w:after="0" w:line="130"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Tananbaum, a former member of our board of directors who served during this transaction, is founder and chief executive officer of Foresite Capital Management.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GSK</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On February 8, 2019, we entered into a right of reference and license agreement with affiliates of GlaxoSmithKline plc, or GSK, pursuant to which GSK granted us a right of reference to certain investigational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new drug applications filed with the U.S. Food and Drug Administration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right of reference and license agreement. Upon the closing of our initial public offering, all of the outstanding shares of our series B preferred stock converted into shares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Initial Public Offering</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 July 2019, we completed our initial public offering in which we issued and sold an aggregate of 4,500,000 shares of our common stock at a price to the public of $16.00 per share. Certain of our 5% stockholders and their affiliates purchased an aggregate of 850,000 shares of our common stock in the initial public offering. Each of those purchases was made through the underwriters at the initial public offering price. The following table sets forth the number of shares of our common stock purchased by our 5% stockholders and their affiliates and the aggregate purchase price paid for such shares.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Purchaser(1)</w:t>
            </w:r>
          </w:p>
        </w:tc>
        <w:tc>
          <w:tcPr>
            <w:tcW w:w="25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Shares of Common Stock</w:t>
            </w:r>
          </w:p>
        </w:tc>
        <w:tc>
          <w:tcPr>
            <w:tcW w:w="1660" w:type="dxa"/>
            <w:vAlign w:val="bottom"/>
          </w:tcPr>
          <w:p>
            <w:pPr>
              <w:jc w:val="right"/>
              <w:ind w:right="156"/>
              <w:spacing w:after="0"/>
              <w:rPr>
                <w:sz w:val="20"/>
                <w:szCs w:val="20"/>
                <w:color w:val="auto"/>
              </w:rPr>
            </w:pPr>
            <w:r>
              <w:rPr>
                <w:rFonts w:ascii="Arial" w:cs="Arial" w:eastAsia="Arial" w:hAnsi="Arial"/>
                <w:sz w:val="14"/>
                <w:szCs w:val="14"/>
                <w:b w:val="1"/>
                <w:bCs w:val="1"/>
                <w:color w:val="auto"/>
              </w:rPr>
              <w:t>Aggregate Purchase</w:t>
            </w:r>
          </w:p>
        </w:tc>
        <w:tc>
          <w:tcPr>
            <w:tcW w:w="0" w:type="dxa"/>
            <w:vAlign w:val="bottom"/>
          </w:tcPr>
          <w:p>
            <w:pPr>
              <w:spacing w:after="0"/>
              <w:rPr>
                <w:sz w:val="1"/>
                <w:szCs w:val="1"/>
                <w:color w:val="auto"/>
              </w:rPr>
            </w:pPr>
          </w:p>
        </w:tc>
      </w:tr>
      <w:tr>
        <w:trPr>
          <w:trHeight w:val="176"/>
        </w:trPr>
        <w:tc>
          <w:tcPr>
            <w:tcW w:w="6840" w:type="dxa"/>
            <w:vAlign w:val="bottom"/>
            <w:gridSpan w:val="2"/>
            <w:vMerge w:val="continue"/>
          </w:tcPr>
          <w:p>
            <w:pPr>
              <w:spacing w:after="0"/>
              <w:rPr>
                <w:sz w:val="15"/>
                <w:szCs w:val="15"/>
                <w:color w:val="auto"/>
              </w:rPr>
            </w:pPr>
          </w:p>
        </w:tc>
        <w:tc>
          <w:tcPr>
            <w:tcW w:w="25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tcPr>
          <w:p>
            <w:pPr>
              <w:jc w:val="right"/>
              <w:ind w:right="59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4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9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Third Rock Ventures IV, L.P.</w:t>
            </w:r>
          </w:p>
        </w:tc>
        <w:tc>
          <w:tcPr>
            <w:tcW w:w="2520" w:type="dxa"/>
            <w:vAlign w:val="bottom"/>
            <w:gridSpan w:val="2"/>
          </w:tcPr>
          <w:p>
            <w:pPr>
              <w:jc w:val="right"/>
              <w:ind w:right="960"/>
              <w:spacing w:after="0"/>
              <w:rPr>
                <w:sz w:val="20"/>
                <w:szCs w:val="20"/>
                <w:color w:val="auto"/>
              </w:rPr>
            </w:pPr>
            <w:r>
              <w:rPr>
                <w:rFonts w:ascii="Arial" w:cs="Arial" w:eastAsia="Arial" w:hAnsi="Arial"/>
                <w:sz w:val="18"/>
                <w:szCs w:val="18"/>
                <w:color w:val="auto"/>
              </w:rPr>
              <w:t>81,250</w:t>
            </w:r>
          </w:p>
        </w:tc>
        <w:tc>
          <w:tcPr>
            <w:tcW w:w="1660" w:type="dxa"/>
            <w:vAlign w:val="bottom"/>
          </w:tcPr>
          <w:p>
            <w:pPr>
              <w:jc w:val="right"/>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Foresite Capital Fund IV, L.P.</w:t>
            </w:r>
          </w:p>
        </w:tc>
        <w:tc>
          <w:tcPr>
            <w:tcW w:w="2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187,500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2520" w:type="dxa"/>
            <w:vAlign w:val="bottom"/>
            <w:gridSpan w:val="2"/>
          </w:tcPr>
          <w:p>
            <w:pPr>
              <w:jc w:val="right"/>
              <w:ind w:right="960"/>
              <w:spacing w:after="0"/>
              <w:rPr>
                <w:sz w:val="20"/>
                <w:szCs w:val="20"/>
                <w:color w:val="auto"/>
              </w:rPr>
            </w:pPr>
            <w:r>
              <w:rPr>
                <w:rFonts w:ascii="Arial" w:cs="Arial" w:eastAsia="Arial" w:hAnsi="Arial"/>
                <w:sz w:val="18"/>
                <w:szCs w:val="18"/>
                <w:color w:val="auto"/>
              </w:rPr>
              <w:t>500,000</w:t>
            </w:r>
          </w:p>
        </w:tc>
        <w:tc>
          <w:tcPr>
            <w:tcW w:w="1660" w:type="dxa"/>
            <w:vAlign w:val="bottom"/>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are a party to an investor rights agreement with certain holders of our common stock, including some of our 5% stockholders and their affiliates and entities affiliated with some of our directors. This investor rights agreement provides these holders the right, subject to certain conditions, to demand that we file a registration statement or to request that their shares be covered by a registration statement that we are otherwise filing.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Our board of directors has adopted written policies and procedures for the review of any transaction, arrangement or relationship in which our company is a participant, the amount involved exceeds (i) the lesser of $120,000 and one percent of our average total assets at year end for the last two completed fiscal years, if we are a “smaller reporting company” under applicable SEC rules, or (ii) $120,000, if we are not a “smaller reporting company” under applicable SEC rules, and one of our executive officers, directors, director nominees or 5% stockholders, or their immediate family members, each of whom we refer to as a “related person,” has a direct or indirect material interest.</w:t>
      </w:r>
    </w:p>
    <w:p>
      <w:pPr>
        <w:spacing w:after="0" w:line="1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general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counsel, and if none, our chief operating officer or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92"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2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jc w:val="both"/>
        <w:ind w:left="120" w:right="580"/>
        <w:spacing w:after="0" w:line="342" w:lineRule="auto"/>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89" w:lineRule="exact"/>
        <w:rPr>
          <w:sz w:val="20"/>
          <w:szCs w:val="20"/>
          <w:color w:val="auto"/>
        </w:rPr>
      </w:pPr>
    </w:p>
    <w:p>
      <w:pPr>
        <w:ind w:left="1080" w:right="20" w:hanging="424"/>
        <w:spacing w:after="0" w:line="29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otherwise provided below, the following table sets forth information with respect to the beneficial ownership of our common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 by:</w:t>
      </w:r>
    </w:p>
    <w:p>
      <w:pPr>
        <w:spacing w:after="0" w:line="11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to us to be the beneficial owner of 5% or more of the outstanding shares of our common stock.</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column entitled “Percentage of Shares Beneficially Owned” is based on a total of 23,363,199 shares of our common stock outstanding as of March 31, 2020.</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2020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060" w:type="dxa"/>
            <w:vAlign w:val="bottom"/>
            <w:vMerge w:val="restart"/>
          </w:tcPr>
          <w:p>
            <w:pPr>
              <w:jc w:val="center"/>
              <w:ind w:left="1173"/>
              <w:spacing w:after="0"/>
              <w:rPr>
                <w:sz w:val="20"/>
                <w:szCs w:val="20"/>
                <w:color w:val="auto"/>
              </w:rPr>
            </w:pPr>
            <w:r>
              <w:rPr>
                <w:rFonts w:ascii="Arial" w:cs="Arial" w:eastAsia="Arial" w:hAnsi="Arial"/>
                <w:sz w:val="14"/>
                <w:szCs w:val="14"/>
                <w:b w:val="1"/>
                <w:bCs w:val="1"/>
                <w:color w:val="auto"/>
                <w:w w:val="92"/>
              </w:rPr>
              <w:t>Number of Shares</w:t>
            </w:r>
          </w:p>
        </w:tc>
        <w:tc>
          <w:tcPr>
            <w:tcW w:w="12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1220" w:type="dxa"/>
            <w:vAlign w:val="bottom"/>
            <w:gridSpan w:val="2"/>
          </w:tcPr>
          <w:p>
            <w:pPr>
              <w:jc w:val="center"/>
              <w:ind w:left="134"/>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060" w:type="dxa"/>
            <w:vAlign w:val="bottom"/>
          </w:tcPr>
          <w:p>
            <w:pPr>
              <w:jc w:val="center"/>
              <w:ind w:left="113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tcPr>
          <w:p>
            <w:pPr>
              <w:jc w:val="center"/>
              <w:ind w:left="13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3060" w:type="dxa"/>
            <w:vAlign w:val="bottom"/>
          </w:tcPr>
          <w:p>
            <w:pPr>
              <w:jc w:val="center"/>
              <w:ind w:left="1173"/>
              <w:spacing w:after="0"/>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9"/>
              </w:rPr>
              <w:t>Owned (%)</w:t>
            </w:r>
          </w:p>
        </w:tc>
        <w:tc>
          <w:tcPr>
            <w:tcW w:w="0" w:type="dxa"/>
            <w:vAlign w:val="bottom"/>
          </w:tcPr>
          <w:p>
            <w:pPr>
              <w:spacing w:after="0"/>
              <w:rPr>
                <w:sz w:val="1"/>
                <w:szCs w:val="1"/>
                <w:color w:val="auto"/>
              </w:rPr>
            </w:pP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30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Entities affiliated with Third Rock Ventures(1)</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8,305,356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Glaxo Group Limited(2)</w:t>
            </w:r>
          </w:p>
        </w:tc>
        <w:tc>
          <w:tcPr>
            <w:tcW w:w="3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1,785,714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(3)</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1,700,751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Foresite Capital Fund IV, L.P.(4)</w:t>
            </w:r>
          </w:p>
        </w:tc>
        <w:tc>
          <w:tcPr>
            <w:tcW w:w="3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1,500,000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 xml:space="preserve">Casdin Capital LLC </w:t>
            </w:r>
            <w:r>
              <w:rPr>
                <w:rFonts w:ascii="Arial" w:cs="Arial" w:eastAsia="Arial" w:hAnsi="Arial"/>
                <w:sz w:val="15"/>
                <w:szCs w:val="15"/>
                <w:color w:val="auto"/>
              </w:rPr>
              <w:t>(5)</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1,239,285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 xml:space="preserve">Robert J. Gould </w:t>
            </w:r>
            <w:r>
              <w:rPr>
                <w:rFonts w:ascii="Arial" w:cs="Arial" w:eastAsia="Arial" w:hAnsi="Arial"/>
                <w:sz w:val="15"/>
                <w:szCs w:val="15"/>
                <w:color w:val="auto"/>
              </w:rPr>
              <w:t>(6)</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673,957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Bryan Stuart </w:t>
            </w:r>
            <w:r>
              <w:rPr>
                <w:rFonts w:ascii="Arial" w:cs="Arial" w:eastAsia="Arial" w:hAnsi="Arial"/>
                <w:sz w:val="15"/>
                <w:szCs w:val="15"/>
                <w:color w:val="auto"/>
              </w:rPr>
              <w:t>(7)</w:t>
            </w:r>
          </w:p>
        </w:tc>
        <w:tc>
          <w:tcPr>
            <w:tcW w:w="3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125,200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 xml:space="preserve">Owen Wallace </w:t>
            </w:r>
            <w:r>
              <w:rPr>
                <w:rFonts w:ascii="Arial" w:cs="Arial" w:eastAsia="Arial" w:hAnsi="Arial"/>
                <w:sz w:val="15"/>
                <w:szCs w:val="15"/>
                <w:color w:val="auto"/>
              </w:rPr>
              <w:t>(8)</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158,146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Mark Levin </w:t>
            </w:r>
            <w:r>
              <w:rPr>
                <w:rFonts w:ascii="Arial" w:cs="Arial" w:eastAsia="Arial" w:hAnsi="Arial"/>
                <w:sz w:val="15"/>
                <w:szCs w:val="15"/>
                <w:color w:val="auto"/>
              </w:rPr>
              <w:t>(9)</w:t>
            </w:r>
          </w:p>
        </w:tc>
        <w:tc>
          <w:tcPr>
            <w:tcW w:w="3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5,962,202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 xml:space="preserve">James J. Collins </w:t>
            </w:r>
            <w:r>
              <w:rPr>
                <w:rFonts w:ascii="Arial" w:cs="Arial" w:eastAsia="Arial" w:hAnsi="Arial"/>
                <w:sz w:val="15"/>
                <w:szCs w:val="15"/>
                <w:color w:val="auto"/>
              </w:rPr>
              <w:t>(10)</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30,713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(11)</w:t>
            </w:r>
          </w:p>
        </w:tc>
        <w:tc>
          <w:tcPr>
            <w:tcW w:w="3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2,063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 xml:space="preserve">Alan Ezekowitz </w:t>
            </w:r>
            <w:r>
              <w:rPr>
                <w:rFonts w:ascii="Arial" w:cs="Arial" w:eastAsia="Arial" w:hAnsi="Arial"/>
                <w:sz w:val="15"/>
                <w:szCs w:val="15"/>
                <w:color w:val="auto"/>
              </w:rPr>
              <w:t>(12)</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30,713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James Geraghty </w:t>
            </w:r>
            <w:r>
              <w:rPr>
                <w:rFonts w:ascii="Arial" w:cs="Arial" w:eastAsia="Arial" w:hAnsi="Arial"/>
                <w:sz w:val="15"/>
                <w:szCs w:val="15"/>
                <w:color w:val="auto"/>
              </w:rPr>
              <w:t>(13)</w:t>
            </w:r>
          </w:p>
        </w:tc>
        <w:tc>
          <w:tcPr>
            <w:tcW w:w="3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87,856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 xml:space="preserve">Kate Haviland </w:t>
            </w:r>
            <w:r>
              <w:rPr>
                <w:rFonts w:ascii="Arial" w:cs="Arial" w:eastAsia="Arial" w:hAnsi="Arial"/>
                <w:sz w:val="15"/>
                <w:szCs w:val="15"/>
                <w:color w:val="auto"/>
              </w:rPr>
              <w:t>(14)</w:t>
            </w:r>
          </w:p>
        </w:tc>
        <w:tc>
          <w:tcPr>
            <w:tcW w:w="3060" w:type="dxa"/>
            <w:vAlign w:val="bottom"/>
          </w:tcPr>
          <w:p>
            <w:pPr>
              <w:jc w:val="right"/>
              <w:ind w:right="253"/>
              <w:spacing w:after="0"/>
              <w:rPr>
                <w:sz w:val="20"/>
                <w:szCs w:val="20"/>
                <w:color w:val="auto"/>
              </w:rPr>
            </w:pPr>
            <w:r>
              <w:rPr>
                <w:rFonts w:ascii="Arial" w:cs="Arial" w:eastAsia="Arial" w:hAnsi="Arial"/>
                <w:sz w:val="18"/>
                <w:szCs w:val="18"/>
                <w:color w:val="auto"/>
              </w:rPr>
              <w:t>10,312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All current executive officers and directors as a group </w:t>
            </w:r>
            <w:r>
              <w:rPr>
                <w:rFonts w:ascii="Arial" w:cs="Arial" w:eastAsia="Arial" w:hAnsi="Arial"/>
                <w:sz w:val="18"/>
                <w:szCs w:val="18"/>
                <w:color w:val="auto"/>
              </w:rPr>
              <w:t>(10 persons)</w:t>
            </w:r>
            <w:r>
              <w:rPr>
                <w:rFonts w:ascii="Arial" w:cs="Arial" w:eastAsia="Arial" w:hAnsi="Arial"/>
                <w:sz w:val="18"/>
                <w:szCs w:val="18"/>
                <w:i w:val="1"/>
                <w:iCs w:val="1"/>
                <w:color w:val="auto"/>
              </w:rPr>
              <w:t xml:space="preserve"> </w:t>
            </w:r>
            <w:r>
              <w:rPr>
                <w:rFonts w:ascii="Arial" w:cs="Arial" w:eastAsia="Arial" w:hAnsi="Arial"/>
                <w:sz w:val="15"/>
                <w:szCs w:val="15"/>
                <w:color w:val="auto"/>
              </w:rPr>
              <w:t>(15)</w:t>
            </w:r>
          </w:p>
        </w:tc>
        <w:tc>
          <w:tcPr>
            <w:tcW w:w="30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7,186,911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w:t>
      </w:r>
    </w:p>
    <w:p>
      <w:pPr>
        <w:spacing w:after="0" w:line="131" w:lineRule="exact"/>
        <w:rPr>
          <w:sz w:val="20"/>
          <w:szCs w:val="20"/>
          <w:color w:val="auto"/>
        </w:rPr>
      </w:pPr>
    </w:p>
    <w:p>
      <w:pPr>
        <w:ind w:left="540" w:right="140" w:hanging="424"/>
        <w:spacing w:after="0" w:line="286"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solely on a Schedule 13G filed by Third Rock Ventures III, L.P. on February 5, 2020 and a Schedule 13G filed by Third Rock Ventures IV, L.P. on February 5, 2020. Consists of (i) 5,962,202 shares of common stock held by Third Rock Ventures III, L.P., or TRV III LP, and (ii) 2,343,154 shares of common stock held by Third Rock Ventures IV, L.P., or TRV IV LP. Third Rock Ventures GP III, L.P., or</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spacing w:after="0" w:line="254" w:lineRule="auto"/>
        <w:rPr>
          <w:sz w:val="20"/>
          <w:szCs w:val="20"/>
          <w:color w:val="auto"/>
        </w:rPr>
      </w:pPr>
      <w:r>
        <w:rPr>
          <w:rFonts w:ascii="Arial" w:cs="Arial" w:eastAsia="Arial" w:hAnsi="Arial"/>
          <w:sz w:val="18"/>
          <w:szCs w:val="18"/>
          <w:color w:val="auto"/>
        </w:rPr>
        <w:t>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97" w:lineRule="exact"/>
        <w:rPr>
          <w:sz w:val="20"/>
          <w:szCs w:val="20"/>
          <w:color w:val="auto"/>
        </w:rPr>
      </w:pPr>
    </w:p>
    <w:p>
      <w:pPr>
        <w:ind w:left="540" w:right="340" w:hanging="424"/>
        <w:spacing w:after="0" w:line="286"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solely on a Schedule 13G filed by GlaxoSmithKline plc on February 14, 2020. Consists of 1,785,714 shares of common stock held by Glaxo Group Limited, an indirect wholly-owned subsidiary of GlaxoSmithKline plc, which beneficially owns the shares held by Glaxo Group Limited. The address of Glaxo Group Limited is 980 Great West Road, Brentford, Middlesex TW8 9GS England.</w:t>
      </w:r>
    </w:p>
    <w:p>
      <w:pPr>
        <w:spacing w:after="0" w:line="70" w:lineRule="exact"/>
        <w:rPr>
          <w:rFonts w:ascii="Arial" w:cs="Arial" w:eastAsia="Arial" w:hAnsi="Arial"/>
          <w:sz w:val="17"/>
          <w:szCs w:val="17"/>
          <w:color w:val="auto"/>
        </w:rPr>
      </w:pPr>
    </w:p>
    <w:p>
      <w:pPr>
        <w:ind w:left="540" w:right="100" w:hanging="424"/>
        <w:spacing w:after="0" w:line="269"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solely on a Schedule 13G filed by FMR LLC on February 7, 2020.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200 Seaport Blvd., V12G, Boston, Massachusetts 02210.</w:t>
      </w:r>
    </w:p>
    <w:p>
      <w:pPr>
        <w:spacing w:after="0" w:line="84" w:lineRule="exact"/>
        <w:rPr>
          <w:rFonts w:ascii="Arial" w:cs="Arial" w:eastAsia="Arial" w:hAnsi="Arial"/>
          <w:sz w:val="17"/>
          <w:szCs w:val="17"/>
          <w:color w:val="auto"/>
        </w:rPr>
      </w:pPr>
    </w:p>
    <w:p>
      <w:pPr>
        <w:ind w:left="540" w:hanging="424"/>
        <w:spacing w:after="0" w:line="255"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solely on a Schedule 13G/A filed by Foresite Capital Fund IV, L.P. on February 14, 2020. Consists of 1,500,000 shares of common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 pecuniary interest therein. The address of FCF IV is 600 Montgomery Street, Suite 4500, San Francisco, CA 94111.</w:t>
      </w:r>
    </w:p>
    <w:p>
      <w:pPr>
        <w:spacing w:after="0" w:line="97" w:lineRule="exact"/>
        <w:rPr>
          <w:rFonts w:ascii="Arial" w:cs="Arial" w:eastAsia="Arial" w:hAnsi="Arial"/>
          <w:sz w:val="18"/>
          <w:szCs w:val="18"/>
          <w:color w:val="auto"/>
        </w:rPr>
      </w:pPr>
    </w:p>
    <w:p>
      <w:pPr>
        <w:ind w:left="540" w:right="20" w:hanging="424"/>
        <w:spacing w:after="0" w:line="296"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solely on a Schedule 13G filed by Casdin Capital, LLC, Casdin Partners Master Fund, L.P., Casdin Partners GP, LLC and Eli Casdin with the SEC on February 20, 2020. Consists of 1,239,285 shares of common stock held by Casdin Partners Master Fund, LP, or Casdin Master Fund. The general partner of Casdin Master Fund is Casdin Partners GP, LLC, or Casdin Partners GP. Casdin Capital, LLC is the investment manager of Casdin Master Fund. Eli Casdin is the managing member of Casdin Capital, LLC and makes the sole voting and investment decisions with respect to shares held by Casdin Master Fund. The address of Casdin Capital is 1350 Avenue of the Americas, Suite 2405, New York, NY 10019.</w:t>
      </w:r>
    </w:p>
    <w:p>
      <w:pPr>
        <w:spacing w:after="0" w:line="66" w:lineRule="exact"/>
        <w:rPr>
          <w:rFonts w:ascii="Arial" w:cs="Arial" w:eastAsia="Arial" w:hAnsi="Arial"/>
          <w:sz w:val="16"/>
          <w:szCs w:val="16"/>
          <w:color w:val="auto"/>
        </w:rPr>
      </w:pPr>
    </w:p>
    <w:p>
      <w:pPr>
        <w:ind w:left="540" w:right="24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554,845 shares of common stock held by Dr. Gould and 119,112 shares of common stock underlying options held by Dr. Gould that are exercisable as of March 31, 2020 or will become exercisable within 60 days after such date.</w:t>
      </w:r>
    </w:p>
    <w:p>
      <w:pPr>
        <w:spacing w:after="0" w:line="75" w:lineRule="exact"/>
        <w:rPr>
          <w:rFonts w:ascii="Arial" w:cs="Arial" w:eastAsia="Arial" w:hAnsi="Arial"/>
          <w:sz w:val="18"/>
          <w:szCs w:val="18"/>
          <w:color w:val="auto"/>
        </w:rPr>
      </w:pPr>
    </w:p>
    <w:p>
      <w:pPr>
        <w:ind w:left="540" w:right="46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125,200 shares of common stock underlying options held by Mr. Stuart that are exercisable as of March 31, 2020 or will become exercisable within 60 days after such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127,088 shares of common stock held by Dr. Wallace and 31,058 shares of common stock underlying options held by Dr. Wallace that are exercisable as of March 31, 2020 or will become exercisable within 60 days after such date.</w:t>
      </w:r>
    </w:p>
    <w:p>
      <w:pPr>
        <w:spacing w:after="0" w:line="75"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the shares described in Note 1 above held by TRV III LP.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92"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23,571 shares of common stock held by Dr. Collins and 7,142 shares of common stock underlying options held by Dr. Collins that are exercisable as of March 31, 2020 or will become exercisable within 60 days after such date.</w:t>
      </w:r>
    </w:p>
    <w:p>
      <w:pPr>
        <w:spacing w:after="0" w:line="75" w:lineRule="exact"/>
        <w:rPr>
          <w:rFonts w:ascii="Arial" w:cs="Arial" w:eastAsia="Arial" w:hAnsi="Arial"/>
          <w:sz w:val="18"/>
          <w:szCs w:val="18"/>
          <w:color w:val="auto"/>
        </w:rPr>
      </w:pPr>
    </w:p>
    <w:p>
      <w:pPr>
        <w:ind w:left="540" w:right="54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2,063 shares of common stock underlying options held by Ms. Dorton that are exercisable as of March 31, 2020 or will become exercisable within 60 days after such date.</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28,927 shares of common stock held by Dr. Ezekowitz and 1,786 shares of common stock underlying options held by Dr. Ezekowitz that are exercisable as of March 31, 2020 or will become exercisable within 60 days after such date.</w:t>
      </w:r>
    </w:p>
    <w:p>
      <w:pPr>
        <w:spacing w:after="0" w:line="75"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80,714 shares of common stock held by Mr. Geraghty and 7,142 shares of common stock underlying options held by Mr. Geraghty that are exercisable as of March 31, 2020 or will become exercisable within 60 days after such date.</w:t>
      </w:r>
    </w:p>
    <w:p>
      <w:pPr>
        <w:spacing w:after="0" w:line="75"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10,312 shares of common stock underlying options held by Ms. Haviland that are exercisable as of March 31, 2020 or will become exercisable within 60 days after such date.</w:t>
      </w:r>
    </w:p>
    <w:p>
      <w:pPr>
        <w:spacing w:after="0" w:line="75"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6,844,132 shares of common and 342,779 shares of common stock underlying options that are exercisable as of March 31, 2020 or will become exercisable within 60 days after such date.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audit committee has reviewed our audited consolidated financial statements for the fiscal year ended December 31, 2019 and discussed them with the Company’s management and Ernst &amp; Young LLP, the Company’s independent registered public accounting firm.</w:t>
      </w:r>
    </w:p>
    <w:p>
      <w:pPr>
        <w:spacing w:after="0" w:line="14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w:t>
      </w:r>
    </w:p>
    <w:p>
      <w:pPr>
        <w:spacing w:after="0" w:line="18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165"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consolidated financial statements be included in the Company’s Annual Report on Form 10-K for the year ended December 31, 2019.</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audit committee of the board of directors of Fulcrum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Katina Dorton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Geraghty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Haviland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2019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 FOR OUR 2021 ANNUAL MEETING</w:t>
      </w:r>
    </w:p>
    <w:p>
      <w:pPr>
        <w:spacing w:after="0" w:line="22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 stockholder who would like to have a proposal considered for inclusion in our 2021 proxy statement must submit the proposal in accordance with the procedures outlined in Rule 14a-8 of the Exchange Act so that it is received by us no later than December 30, 2020. However, if the date of the 2021 annual meeting of stockholders is changed by more than 30 days from the date of the previous year’s meeting, then the deadline is a reasonable time before we begin to print and send our proxy statement for the 2021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w:t>
      </w:r>
    </w:p>
    <w:p>
      <w:pPr>
        <w:spacing w:after="0" w:line="17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2021 annual meeting of stockholders, the required notice must be received by our corporate secretary at our principal executive offices no earlier than February 11, 2021 and no later than March 13, 2021.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spacing w:after="0" w:line="18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1783080" cy="6172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J. Gould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320" w:top="459"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240030</wp:posOffset>
            </wp:positionV>
            <wp:extent cx="2023110" cy="488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b w:val="1"/>
          <w:bCs w:val="1"/>
          <w:color w:val="auto"/>
        </w:rPr>
        <w:t>ANNUAL MEETING OF FULCRUM THERAPEUTICS, INC.</w:t>
      </w:r>
    </w:p>
    <w:p>
      <w:pPr>
        <w:spacing w:after="0" w:line="177" w:lineRule="exact"/>
        <w:rPr>
          <w:sz w:val="20"/>
          <w:szCs w:val="20"/>
          <w:color w:val="auto"/>
        </w:rPr>
      </w:pPr>
    </w:p>
    <w:p>
      <w:pPr>
        <w:ind w:left="120"/>
        <w:spacing w:after="0"/>
        <w:tabs>
          <w:tab w:leader="none" w:pos="62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color w:val="auto"/>
        </w:rPr>
        <w:t>Thursday, June 11, 2020</w:t>
      </w:r>
    </w:p>
    <w:p>
      <w:pPr>
        <w:spacing w:after="0" w:line="17" w:lineRule="exact"/>
        <w:rPr>
          <w:sz w:val="20"/>
          <w:szCs w:val="20"/>
          <w:color w:val="auto"/>
        </w:rPr>
      </w:pPr>
    </w:p>
    <w:p>
      <w:pPr>
        <w:ind w:left="120"/>
        <w:spacing w:after="0"/>
        <w:tabs>
          <w:tab w:leader="none" w:pos="62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9:00 a.m. (Local Time)</w:t>
      </w:r>
    </w:p>
    <w:p>
      <w:pPr>
        <w:spacing w:after="0" w:line="2" w:lineRule="exact"/>
        <w:rPr>
          <w:sz w:val="20"/>
          <w:szCs w:val="20"/>
          <w:color w:val="auto"/>
        </w:rPr>
      </w:pPr>
    </w:p>
    <w:p>
      <w:pPr>
        <w:ind w:left="640" w:right="60" w:hanging="519"/>
        <w:spacing w:after="0" w:line="237" w:lineRule="auto"/>
        <w:tabs>
          <w:tab w:leader="none" w:pos="620" w:val="left"/>
        </w:tabs>
        <w:rPr>
          <w:sz w:val="20"/>
          <w:szCs w:val="20"/>
          <w:color w:val="auto"/>
        </w:rPr>
      </w:pPr>
      <w:r>
        <w:rPr>
          <w:rFonts w:ascii="Arial" w:cs="Arial" w:eastAsia="Arial" w:hAnsi="Arial"/>
          <w:sz w:val="14"/>
          <w:szCs w:val="14"/>
          <w:b w:val="1"/>
          <w:bCs w:val="1"/>
          <w:color w:val="auto"/>
        </w:rPr>
        <w:t>Place:</w:t>
      </w:r>
      <w:r>
        <w:rPr>
          <w:sz w:val="20"/>
          <w:szCs w:val="20"/>
          <w:color w:val="auto"/>
        </w:rPr>
        <w:tab/>
      </w:r>
      <w:r>
        <w:rPr>
          <w:rFonts w:ascii="Arial" w:cs="Arial" w:eastAsia="Arial" w:hAnsi="Arial"/>
          <w:sz w:val="14"/>
          <w:szCs w:val="14"/>
          <w:color w:val="auto"/>
        </w:rPr>
        <w:t>Annual Meeting to be held live via the Internet - please visit www.proxydocs.com/FULC for more details.</w:t>
      </w:r>
    </w:p>
    <w:p>
      <w:pPr>
        <w:spacing w:after="0" w:line="102" w:lineRule="exact"/>
        <w:rPr>
          <w:sz w:val="20"/>
          <w:szCs w:val="20"/>
          <w:color w:val="auto"/>
        </w:rPr>
      </w:pPr>
    </w:p>
    <w:p>
      <w:pPr>
        <w:ind w:left="120"/>
        <w:spacing w:after="0" w:line="142" w:lineRule="exact"/>
        <w:tabs>
          <w:tab w:leader="none" w:pos="1980" w:val="left"/>
        </w:tabs>
        <w:rPr>
          <w:sz w:val="20"/>
          <w:szCs w:val="20"/>
          <w:color w:val="auto"/>
        </w:rPr>
      </w:pPr>
      <w:r>
        <w:rPr>
          <w:rFonts w:ascii="Arial" w:cs="Arial" w:eastAsia="Arial" w:hAnsi="Arial"/>
          <w:sz w:val="11"/>
          <w:szCs w:val="11"/>
          <w:b w:val="1"/>
          <w:bCs w:val="1"/>
          <w:color w:val="auto"/>
        </w:rPr>
        <w:t>Please make your marks like this:</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0"/>
          <w:szCs w:val="10"/>
          <w:b w:val="1"/>
          <w:bCs w:val="1"/>
          <w:color w:val="auto"/>
        </w:rPr>
        <w:t>Use dark black pencil or pen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-53340</wp:posOffset>
            </wp:positionV>
            <wp:extent cx="69215" cy="70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The Board of Directors Recommends a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879" w:right="460"/>
        <w:spacing w:after="0" w:line="248" w:lineRule="auto"/>
        <w:rPr>
          <w:sz w:val="20"/>
          <w:szCs w:val="20"/>
          <w:color w:val="auto"/>
        </w:rPr>
      </w:pPr>
      <w:r>
        <w:rPr>
          <w:rFonts w:ascii="Arial" w:cs="Arial" w:eastAsia="Arial" w:hAnsi="Arial"/>
          <w:sz w:val="20"/>
          <w:szCs w:val="20"/>
          <w:b w:val="1"/>
          <w:bCs w:val="1"/>
          <w:color w:val="auto"/>
        </w:rPr>
        <w:t>Annual Meeting of Fulcrum Therapeutics, Inc. to be held on Thursday, June 11, 2020 for Holders as of 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-1526540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-951865</wp:posOffset>
            </wp:positionV>
            <wp:extent cx="2023110" cy="488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jc w:val="right"/>
        <w:ind w:right="880"/>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111"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17145</wp:posOffset>
            </wp:positionV>
            <wp:extent cx="16319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197485</wp:posOffset>
            </wp:positionV>
            <wp:extent cx="14541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415" cy="12001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740"/>
              <w:spacing w:after="0"/>
              <w:rPr>
                <w:sz w:val="20"/>
                <w:szCs w:val="20"/>
                <w:color w:val="auto"/>
              </w:rPr>
            </w:pPr>
            <w:r>
              <w:rPr>
                <w:rFonts w:ascii="Arial" w:cs="Arial" w:eastAsia="Arial" w:hAnsi="Arial"/>
                <w:sz w:val="18"/>
                <w:szCs w:val="18"/>
                <w:b w:val="1"/>
                <w:bCs w:val="1"/>
                <w:color w:val="auto"/>
              </w:rPr>
              <w:t>INTERNET</w:t>
            </w:r>
          </w:p>
        </w:tc>
        <w:tc>
          <w:tcPr>
            <w:tcW w:w="3060" w:type="dxa"/>
            <w:vAlign w:val="bottom"/>
            <w:gridSpan w:val="2"/>
          </w:tcPr>
          <w:p>
            <w:pPr>
              <w:ind w:left="1940"/>
              <w:spacing w:after="0"/>
              <w:rPr>
                <w:sz w:val="20"/>
                <w:szCs w:val="20"/>
                <w:color w:val="auto"/>
              </w:rPr>
            </w:pPr>
            <w:r>
              <w:rPr>
                <w:rFonts w:ascii="Arial" w:cs="Arial" w:eastAsia="Arial" w:hAnsi="Arial"/>
                <w:sz w:val="18"/>
                <w:szCs w:val="18"/>
                <w:b w:val="1"/>
                <w:bCs w:val="1"/>
                <w:color w:val="auto"/>
                <w:w w:val="99"/>
              </w:rPr>
              <w:t>TELEPHONE</w:t>
            </w:r>
          </w:p>
        </w:tc>
      </w:tr>
      <w:tr>
        <w:trPr>
          <w:trHeight w:val="217"/>
        </w:trPr>
        <w:tc>
          <w:tcPr>
            <w:tcW w:w="740" w:type="dxa"/>
            <w:vAlign w:val="bottom"/>
          </w:tcPr>
          <w:p>
            <w:pPr>
              <w:spacing w:after="0"/>
              <w:rPr>
                <w:sz w:val="20"/>
                <w:szCs w:val="20"/>
                <w:color w:val="auto"/>
              </w:rPr>
            </w:pPr>
            <w:r>
              <w:rPr>
                <w:rFonts w:ascii="Arial" w:cs="Arial" w:eastAsia="Arial" w:hAnsi="Arial"/>
                <w:sz w:val="16"/>
                <w:szCs w:val="16"/>
                <w:color w:val="auto"/>
              </w:rPr>
              <w:t>Go To</w:t>
            </w:r>
          </w:p>
        </w:tc>
        <w:tc>
          <w:tcPr>
            <w:tcW w:w="94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940" w:type="dxa"/>
            <w:vAlign w:val="bottom"/>
          </w:tcPr>
          <w:p>
            <w:pPr>
              <w:ind w:left="980"/>
              <w:spacing w:after="0"/>
              <w:rPr>
                <w:sz w:val="20"/>
                <w:szCs w:val="20"/>
                <w:color w:val="auto"/>
              </w:rPr>
            </w:pPr>
            <w:r>
              <w:rPr>
                <w:rFonts w:ascii="Arial" w:cs="Arial" w:eastAsia="Arial" w:hAnsi="Arial"/>
                <w:sz w:val="16"/>
                <w:szCs w:val="16"/>
                <w:color w:val="auto"/>
              </w:rPr>
              <w:t>Call</w:t>
            </w:r>
          </w:p>
        </w:tc>
        <w:tc>
          <w:tcPr>
            <w:tcW w:w="1120" w:type="dxa"/>
            <w:vAlign w:val="bottom"/>
            <w:tcBorders>
              <w:top w:val="single" w:sz="8" w:color="auto"/>
            </w:tcBorders>
          </w:tcPr>
          <w:p>
            <w:pPr>
              <w:spacing w:after="0"/>
              <w:rPr>
                <w:sz w:val="18"/>
                <w:szCs w:val="18"/>
                <w:color w:val="auto"/>
              </w:rPr>
            </w:pPr>
          </w:p>
        </w:tc>
      </w:tr>
    </w:tbl>
    <w:p>
      <w:pPr>
        <w:spacing w:after="0" w:line="5" w:lineRule="exact"/>
        <w:rPr>
          <w:sz w:val="20"/>
          <w:szCs w:val="20"/>
          <w:color w:val="auto"/>
        </w:rPr>
      </w:pPr>
    </w:p>
    <w:p>
      <w:pPr>
        <w:sectPr>
          <w:pgSz w:w="11900" w:h="16838" w:orient="portrait"/>
          <w:cols w:equalWidth="0" w:num="2">
            <w:col w:w="4180" w:space="340"/>
            <w:col w:w="6620"/>
          </w:cols>
          <w:pgMar w:left="320" w:top="459" w:right="439" w:bottom="1440" w:gutter="0" w:footer="0" w:header="0"/>
        </w:sectPr>
      </w:pP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 xml:space="preserve">director nominees listed in proposal 1 and </w:t>
      </w:r>
      <w:r>
        <w:rPr>
          <w:rFonts w:ascii="Arial" w:cs="Arial" w:eastAsia="Arial" w:hAnsi="Arial"/>
          <w:sz w:val="15"/>
          <w:szCs w:val="15"/>
          <w:b w:val="1"/>
          <w:bCs w:val="1"/>
          <w:color w:val="auto"/>
        </w:rPr>
        <w:t>FOR</w:t>
      </w:r>
      <w:r>
        <w:rPr>
          <w:rFonts w:ascii="Arial" w:cs="Arial" w:eastAsia="Arial" w:hAnsi="Arial"/>
          <w:sz w:val="15"/>
          <w:szCs w:val="15"/>
          <w:color w:val="auto"/>
        </w:rPr>
        <w:t xml:space="preserve"> proposal 2.</w:t>
      </w:r>
    </w:p>
    <w:p>
      <w:pPr>
        <w:spacing w:after="0" w:line="156" w:lineRule="exact"/>
        <w:rPr>
          <w:sz w:val="20"/>
          <w:szCs w:val="20"/>
          <w:color w:val="auto"/>
        </w:rPr>
      </w:pPr>
    </w:p>
    <w:p>
      <w:pPr>
        <w:ind w:left="320" w:hanging="198"/>
        <w:spacing w:after="0" w:line="328" w:lineRule="auto"/>
        <w:tabs>
          <w:tab w:leader="none" w:pos="320" w:val="left"/>
        </w:tabs>
        <w:numPr>
          <w:ilvl w:val="0"/>
          <w:numId w:val="33"/>
        </w:numPr>
        <w:rPr>
          <w:rFonts w:ascii="Arial" w:cs="Arial" w:eastAsia="Arial" w:hAnsi="Arial"/>
          <w:sz w:val="15"/>
          <w:szCs w:val="15"/>
          <w:b w:val="1"/>
          <w:bCs w:val="1"/>
          <w:color w:val="auto"/>
        </w:rPr>
      </w:pPr>
      <w:r>
        <w:rPr>
          <w:rFonts w:ascii="Arial" w:cs="Arial" w:eastAsia="Arial" w:hAnsi="Arial"/>
          <w:sz w:val="15"/>
          <w:szCs w:val="15"/>
          <w:color w:val="auto"/>
        </w:rPr>
        <w:t>To elect two Class I directors named below to a 3-year term expiring at the 2023 annual meeting of stockholders.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Nominees:</w:t>
      </w:r>
    </w:p>
    <w:p>
      <w:pPr>
        <w:spacing w:after="0" w:line="26" w:lineRule="exact"/>
        <w:rPr>
          <w:sz w:val="20"/>
          <w:szCs w:val="20"/>
          <w:color w:val="auto"/>
        </w:rPr>
      </w:pPr>
    </w:p>
    <w:p>
      <w:pPr>
        <w:ind w:left="620" w:hanging="309"/>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Mark Levin</w:t>
      </w:r>
    </w:p>
    <w:p>
      <w:pPr>
        <w:spacing w:after="0" w:line="55" w:lineRule="exact"/>
        <w:rPr>
          <w:rFonts w:ascii="Arial" w:cs="Arial" w:eastAsia="Arial" w:hAnsi="Arial"/>
          <w:sz w:val="16"/>
          <w:szCs w:val="16"/>
          <w:color w:val="auto"/>
        </w:rPr>
      </w:pPr>
    </w:p>
    <w:p>
      <w:pPr>
        <w:ind w:left="620" w:hanging="309"/>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Alan Ezekowitz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www.proxypush.com/FULC</w:t>
      </w:r>
    </w:p>
    <w:p>
      <w:pPr>
        <w:spacing w:after="0" w:line="12" w:lineRule="exact"/>
        <w:rPr>
          <w:sz w:val="20"/>
          <w:szCs w:val="20"/>
          <w:color w:val="auto"/>
        </w:rPr>
      </w:pPr>
    </w:p>
    <w:p>
      <w:pPr>
        <w:ind w:left="320" w:right="280" w:hanging="141"/>
        <w:spacing w:after="0" w:line="294"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Cast your vote online 24 hours a day/7 days a week.</w:t>
      </w:r>
    </w:p>
    <w:p>
      <w:pPr>
        <w:ind w:left="320" w:right="420" w:hanging="141"/>
        <w:spacing w:after="0" w:line="306"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Have your Proxy Card/Voting Instructions Form ready.</w:t>
      </w:r>
    </w:p>
    <w:p>
      <w:pPr>
        <w:spacing w:after="0" w:line="1" w:lineRule="exact"/>
        <w:rPr>
          <w:rFonts w:ascii="Arial" w:cs="Arial" w:eastAsia="Arial" w:hAnsi="Arial"/>
          <w:sz w:val="14"/>
          <w:szCs w:val="14"/>
          <w:color w:val="auto"/>
        </w:rPr>
      </w:pPr>
    </w:p>
    <w:p>
      <w:pPr>
        <w:ind w:left="320" w:hanging="141"/>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View Meeting Documents.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140335</wp:posOffset>
            </wp:positionV>
            <wp:extent cx="20574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5740" cy="17970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MAIL</w:t>
      </w:r>
    </w:p>
    <w:p>
      <w:pPr>
        <w:spacing w:after="0" w:line="20" w:lineRule="exact"/>
        <w:rPr>
          <w:sz w:val="20"/>
          <w:szCs w:val="20"/>
          <w:color w:val="auto"/>
        </w:rPr>
      </w:pPr>
      <w:r>
        <w:rPr>
          <w:sz w:val="20"/>
          <w:szCs w:val="20"/>
          <w:color w:val="auto"/>
        </w:rPr>
        <w:br w:type="column"/>
      </w:r>
    </w:p>
    <w:p>
      <w:pPr>
        <w:ind w:left="275"/>
        <w:spacing w:after="0"/>
        <w:rPr>
          <w:sz w:val="20"/>
          <w:szCs w:val="20"/>
          <w:color w:val="auto"/>
        </w:rPr>
      </w:pPr>
      <w:r>
        <w:rPr>
          <w:rFonts w:ascii="Arial" w:cs="Arial" w:eastAsia="Arial" w:hAnsi="Arial"/>
          <w:sz w:val="18"/>
          <w:szCs w:val="18"/>
          <w:b w:val="1"/>
          <w:bCs w:val="1"/>
          <w:color w:val="auto"/>
        </w:rPr>
        <w:t>866-390-9953</w:t>
      </w:r>
    </w:p>
    <w:p>
      <w:pPr>
        <w:spacing w:after="0" w:line="1" w:lineRule="exact"/>
        <w:rPr>
          <w:sz w:val="20"/>
          <w:szCs w:val="20"/>
          <w:color w:val="auto"/>
        </w:rPr>
      </w:pPr>
    </w:p>
    <w:p>
      <w:pPr>
        <w:ind w:left="135" w:right="20" w:hanging="135"/>
        <w:spacing w:after="0" w:line="257" w:lineRule="auto"/>
        <w:tabs>
          <w:tab w:leader="none" w:pos="1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Use any touch-tone telephone toll-free 24 hours a day/7 days a week.</w:t>
      </w:r>
    </w:p>
    <w:p>
      <w:pPr>
        <w:ind w:left="135" w:right="220" w:hanging="135"/>
        <w:spacing w:after="0" w:line="264" w:lineRule="auto"/>
        <w:tabs>
          <w:tab w:leader="none" w:pos="135"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Have your Proxy Card/Voting Instruction Form ready.</w:t>
      </w:r>
    </w:p>
    <w:p>
      <w:pPr>
        <w:ind w:left="135" w:hanging="135"/>
        <w:spacing w:after="0"/>
        <w:tabs>
          <w:tab w:leader="none" w:pos="1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Follow the simple recorded instructions.</w:t>
      </w:r>
    </w:p>
    <w:p>
      <w:pPr>
        <w:spacing w:after="0" w:line="284" w:lineRule="exact"/>
        <w:rPr>
          <w:sz w:val="20"/>
          <w:szCs w:val="20"/>
          <w:color w:val="auto"/>
        </w:rPr>
      </w:pPr>
    </w:p>
    <w:p>
      <w:pPr>
        <w:sectPr>
          <w:pgSz w:w="11900" w:h="16838" w:orient="portrait"/>
          <w:cols w:equalWidth="0" w:num="4">
            <w:col w:w="4180" w:space="340"/>
            <w:col w:w="2340" w:space="240"/>
            <w:col w:w="440" w:space="345"/>
            <w:col w:w="3255"/>
          </w:cols>
          <w:pgMar w:left="320" w:top="459" w:right="439" w:bottom="1440" w:gutter="0" w:footer="0" w:header="0"/>
          <w:type w:val="continuous"/>
        </w:sectPr>
      </w:pP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5"/>
              </w:rPr>
              <w:t>Vote For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 Vote</w:t>
            </w:r>
          </w:p>
        </w:tc>
        <w:tc>
          <w:tcPr>
            <w:tcW w:w="960" w:type="dxa"/>
            <w:vAlign w:val="bottom"/>
            <w:vMerge w:val="restart"/>
          </w:tcPr>
          <w:p>
            <w:pPr>
              <w:jc w:val="center"/>
              <w:ind w:left="242"/>
              <w:spacing w:after="0"/>
              <w:rPr>
                <w:sz w:val="20"/>
                <w:szCs w:val="20"/>
                <w:color w:val="auto"/>
              </w:rPr>
            </w:pPr>
            <w:r>
              <w:rPr>
                <w:rFonts w:ascii="Arial" w:cs="Arial" w:eastAsia="Arial" w:hAnsi="Arial"/>
                <w:sz w:val="14"/>
                <w:szCs w:val="14"/>
                <w:b w:val="1"/>
                <w:bCs w:val="1"/>
                <w:color w:val="auto"/>
                <w:w w:val="91"/>
              </w:rPr>
              <w:t>Vote For</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jc w:val="center"/>
              <w:ind w:right="222"/>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960" w:type="dxa"/>
            <w:vAlign w:val="bottom"/>
          </w:tcPr>
          <w:p>
            <w:pPr>
              <w:jc w:val="center"/>
              <w:ind w:left="242"/>
              <w:spacing w:after="0" w:line="145" w:lineRule="exact"/>
              <w:rPr>
                <w:sz w:val="20"/>
                <w:szCs w:val="20"/>
                <w:color w:val="auto"/>
              </w:rPr>
            </w:pPr>
            <w:r>
              <w:rPr>
                <w:rFonts w:ascii="Arial" w:cs="Arial" w:eastAsia="Arial" w:hAnsi="Arial"/>
                <w:sz w:val="14"/>
                <w:szCs w:val="14"/>
                <w:b w:val="1"/>
                <w:bCs w:val="1"/>
                <w:color w:val="auto"/>
                <w:w w:val="94"/>
              </w:rPr>
              <w:t>All Except</w:t>
            </w:r>
          </w:p>
        </w:tc>
        <w:tc>
          <w:tcPr>
            <w:tcW w:w="0" w:type="dxa"/>
            <w:vAlign w:val="bottom"/>
          </w:tcPr>
          <w:p>
            <w:pPr>
              <w:spacing w:after="0"/>
              <w:rPr>
                <w:sz w:val="1"/>
                <w:szCs w:val="1"/>
                <w:color w:val="auto"/>
              </w:rPr>
            </w:pPr>
          </w:p>
        </w:tc>
      </w:tr>
      <w:tr>
        <w:trPr>
          <w:trHeight w:val="283"/>
        </w:trPr>
        <w:tc>
          <w:tcPr>
            <w:tcW w:w="1120" w:type="dxa"/>
            <w:vAlign w:val="bottom"/>
          </w:tcPr>
          <w:p>
            <w:pPr>
              <w:jc w:val="center"/>
              <w:ind w:right="202"/>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24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INSTRUCTIONS: To withhold</w:t>
      </w:r>
    </w:p>
    <w:p>
      <w:pPr>
        <w:ind w:left="120"/>
        <w:spacing w:after="0" w:line="226" w:lineRule="auto"/>
        <w:rPr>
          <w:sz w:val="20"/>
          <w:szCs w:val="20"/>
          <w:color w:val="auto"/>
        </w:rPr>
      </w:pPr>
      <w:r>
        <w:rPr>
          <w:rFonts w:ascii="Arial" w:cs="Arial" w:eastAsia="Arial" w:hAnsi="Arial"/>
          <w:sz w:val="14"/>
          <w:szCs w:val="14"/>
          <w:b w:val="1"/>
          <w:bCs w:val="1"/>
          <w:color w:val="auto"/>
        </w:rPr>
        <w:t>authority to vote for any nominee,</w:t>
      </w:r>
    </w:p>
    <w:p>
      <w:pPr>
        <w:ind w:left="120"/>
        <w:spacing w:after="0" w:line="221" w:lineRule="auto"/>
        <w:rPr>
          <w:sz w:val="20"/>
          <w:szCs w:val="20"/>
          <w:color w:val="auto"/>
        </w:rPr>
      </w:pPr>
      <w:r>
        <w:rPr>
          <w:rFonts w:ascii="Arial" w:cs="Arial" w:eastAsia="Arial" w:hAnsi="Arial"/>
          <w:sz w:val="14"/>
          <w:szCs w:val="14"/>
          <w:b w:val="1"/>
          <w:bCs w:val="1"/>
          <w:color w:val="auto"/>
        </w:rPr>
        <w:t>mark the “Vote For All Except”</w:t>
      </w:r>
    </w:p>
    <w:p>
      <w:pPr>
        <w:ind w:left="120"/>
        <w:spacing w:after="0" w:line="222" w:lineRule="auto"/>
        <w:rPr>
          <w:sz w:val="20"/>
          <w:szCs w:val="20"/>
          <w:color w:val="auto"/>
        </w:rPr>
      </w:pPr>
      <w:r>
        <w:rPr>
          <w:rFonts w:ascii="Arial" w:cs="Arial" w:eastAsia="Arial" w:hAnsi="Arial"/>
          <w:sz w:val="14"/>
          <w:szCs w:val="14"/>
          <w:b w:val="1"/>
          <w:bCs w:val="1"/>
          <w:color w:val="auto"/>
        </w:rPr>
        <w:t>box and write the number(s) in</w:t>
      </w:r>
    </w:p>
    <w:p>
      <w:pPr>
        <w:ind w:left="120"/>
        <w:spacing w:after="0"/>
        <w:rPr>
          <w:sz w:val="20"/>
          <w:szCs w:val="20"/>
          <w:color w:val="auto"/>
        </w:rPr>
      </w:pPr>
      <w:r>
        <w:rPr>
          <w:rFonts w:ascii="Arial" w:cs="Arial" w:eastAsia="Arial" w:hAnsi="Arial"/>
          <w:sz w:val="14"/>
          <w:szCs w:val="14"/>
          <w:b w:val="1"/>
          <w:bCs w:val="1"/>
          <w:color w:val="auto"/>
        </w:rPr>
        <w:t>the space 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-20320</wp:posOffset>
            </wp:positionV>
            <wp:extent cx="11315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53"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For Against Abstain</w:t>
      </w:r>
    </w:p>
    <w:p>
      <w:pPr>
        <w:ind w:left="120"/>
        <w:spacing w:after="0" w:line="211" w:lineRule="exact"/>
        <w:tabs>
          <w:tab w:leader="none" w:pos="460" w:val="left"/>
          <w:tab w:leader="none" w:pos="2840" w:val="left"/>
          <w:tab w:leader="none" w:pos="370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6"/>
          <w:szCs w:val="16"/>
          <w:color w:val="auto"/>
        </w:rPr>
        <w:t>To ratify the appointment of Ernst</w:t>
      </w:r>
      <w:r>
        <w:rPr>
          <w:sz w:val="20"/>
          <w:szCs w:val="20"/>
          <w:color w:val="auto"/>
        </w:rPr>
        <w:tab/>
      </w:r>
      <w:r>
        <w:rPr>
          <w:rFonts w:ascii="MS PGothic" w:cs="MS PGothic" w:eastAsia="MS PGothic" w:hAnsi="MS PGothic"/>
          <w:sz w:val="28"/>
          <w:szCs w:val="28"/>
          <w:color w:val="auto"/>
          <w:vertAlign w:val="subscript"/>
        </w:rPr>
        <w:t>☐ ☐</w:t>
      </w:r>
      <w:r>
        <w:rPr>
          <w:sz w:val="20"/>
          <w:szCs w:val="20"/>
          <w:color w:val="auto"/>
        </w:rPr>
        <w:tab/>
      </w:r>
      <w:r>
        <w:rPr>
          <w:rFonts w:ascii="MS PGothic" w:cs="MS PGothic" w:eastAsia="MS PGothic" w:hAnsi="MS PGothic"/>
          <w:sz w:val="27"/>
          <w:szCs w:val="27"/>
          <w:color w:val="auto"/>
          <w:vertAlign w:val="subscript"/>
        </w:rPr>
        <w:t>☐</w:t>
      </w:r>
    </w:p>
    <w:p>
      <w:pPr>
        <w:ind w:left="480" w:right="1440" w:hanging="7"/>
        <w:spacing w:after="0" w:line="290" w:lineRule="auto"/>
        <w:tabs>
          <w:tab w:leader="none" w:pos="646" w:val="left"/>
        </w:tabs>
        <w:numPr>
          <w:ilvl w:val="0"/>
          <w:numId w:val="37"/>
        </w:numPr>
        <w:rPr>
          <w:rFonts w:ascii="Arial" w:cs="Arial" w:eastAsia="Arial" w:hAnsi="Arial"/>
          <w:sz w:val="15"/>
          <w:szCs w:val="15"/>
          <w:color w:val="auto"/>
        </w:rPr>
      </w:pPr>
      <w:r>
        <w:rPr>
          <w:rFonts w:ascii="Arial" w:cs="Arial" w:eastAsia="Arial" w:hAnsi="Arial"/>
          <w:sz w:val="15"/>
          <w:szCs w:val="15"/>
          <w:color w:val="auto"/>
        </w:rPr>
        <w:t>Young as the independent registered public accounting firm for the Company for the fiscal year ending December 31, 2020.</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 ATTEND the Annual</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Meeting online please visit</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www.proxydocs.com/FULC to</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register for the virtual Annual</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Meeting.</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Authorized Signatures - This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section must be completed for</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your Instructions to be executed.</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94"/>
        </w:trPr>
        <w:tc>
          <w:tcPr>
            <w:tcW w:w="20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Please Date</w:t>
            </w:r>
          </w:p>
        </w:tc>
      </w:tr>
      <w:tr>
        <w:trPr>
          <w:trHeight w:val="172"/>
        </w:trPr>
        <w:tc>
          <w:tcPr>
            <w:tcW w:w="2060" w:type="dxa"/>
            <w:vAlign w:val="bottom"/>
          </w:tcPr>
          <w:p>
            <w:pPr>
              <w:ind w:left="480"/>
              <w:spacing w:after="0"/>
              <w:rPr>
                <w:sz w:val="20"/>
                <w:szCs w:val="20"/>
                <w:color w:val="auto"/>
              </w:rPr>
            </w:pPr>
            <w:r>
              <w:rPr>
                <w:rFonts w:ascii="Arial" w:cs="Arial" w:eastAsia="Arial" w:hAnsi="Arial"/>
                <w:sz w:val="14"/>
                <w:szCs w:val="14"/>
                <w:color w:val="auto"/>
              </w:rPr>
              <w:t>Please Sign Here</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Above</w:t>
            </w:r>
          </w:p>
        </w:tc>
      </w:tr>
      <w:tr>
        <w:trPr>
          <w:trHeight w:val="106"/>
        </w:trPr>
        <w:tc>
          <w:tcPr>
            <w:tcW w:w="20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174"/>
        </w:trPr>
        <w:tc>
          <w:tcPr>
            <w:tcW w:w="2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Please Date</w:t>
            </w:r>
          </w:p>
        </w:tc>
      </w:tr>
      <w:tr>
        <w:trPr>
          <w:trHeight w:val="172"/>
        </w:trPr>
        <w:tc>
          <w:tcPr>
            <w:tcW w:w="2060" w:type="dxa"/>
            <w:vAlign w:val="bottom"/>
          </w:tcPr>
          <w:p>
            <w:pPr>
              <w:ind w:left="480"/>
              <w:spacing w:after="0"/>
              <w:rPr>
                <w:sz w:val="20"/>
                <w:szCs w:val="20"/>
                <w:color w:val="auto"/>
              </w:rPr>
            </w:pPr>
            <w:r>
              <w:rPr>
                <w:rFonts w:ascii="Arial" w:cs="Arial" w:eastAsia="Arial" w:hAnsi="Arial"/>
                <w:sz w:val="14"/>
                <w:szCs w:val="14"/>
                <w:color w:val="auto"/>
              </w:rPr>
              <w:t>Please Sign Here</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Above</w:t>
            </w:r>
          </w:p>
        </w:tc>
      </w:tr>
    </w:tbl>
    <w:p>
      <w:pPr>
        <w:spacing w:after="0" w:line="152" w:lineRule="exact"/>
        <w:rPr>
          <w:sz w:val="20"/>
          <w:szCs w:val="20"/>
          <w:color w:val="auto"/>
        </w:rPr>
      </w:pPr>
    </w:p>
    <w:p>
      <w:pPr>
        <w:jc w:val="both"/>
        <w:ind w:left="440"/>
        <w:spacing w:after="0" w:line="245" w:lineRule="auto"/>
        <w:rPr>
          <w:sz w:val="20"/>
          <w:szCs w:val="20"/>
          <w:color w:val="auto"/>
        </w:rPr>
      </w:pPr>
      <w:r>
        <w:rPr>
          <w:rFonts w:ascii="Arial" w:cs="Arial" w:eastAsia="Arial" w:hAnsi="Arial"/>
          <w:sz w:val="14"/>
          <w:szCs w:val="14"/>
          <w:color w:val="auto"/>
        </w:rPr>
        <w:t>Please sign exactly as your name(s) appears on your stock certificate, if applicable. If held in joint tenancy, all persons should sign. Trustees, administrators, etc., should include title and authority. Corporations should provide full name of corporation and title of authorized officer signing the proxy.</w:t>
      </w:r>
    </w:p>
    <w:p>
      <w:pPr>
        <w:spacing w:after="0" w:line="289" w:lineRule="exact"/>
        <w:rPr>
          <w:sz w:val="20"/>
          <w:szCs w:val="20"/>
          <w:color w:val="auto"/>
        </w:rPr>
      </w:pPr>
    </w:p>
    <w:p>
      <w:pPr>
        <w:ind w:left="1080" w:right="140" w:hanging="606"/>
        <w:spacing w:after="0" w:line="253" w:lineRule="auto"/>
        <w:rPr>
          <w:sz w:val="20"/>
          <w:szCs w:val="20"/>
          <w:color w:val="auto"/>
        </w:rPr>
      </w:pPr>
      <w:r>
        <w:rPr>
          <w:rFonts w:ascii="Arial" w:cs="Arial" w:eastAsia="Arial" w:hAnsi="Arial"/>
          <w:sz w:val="14"/>
          <w:szCs w:val="14"/>
          <w:color w:val="auto"/>
        </w:rPr>
        <w:t xml:space="preserve">Please separate carefully at the perforation and return just this portion in the envelope provided. </w:t>
      </w:r>
      <w:r>
        <w:rPr>
          <w:sz w:val="1"/>
          <w:szCs w:val="1"/>
          <w:color w:val="auto"/>
        </w:rPr>
        <w:drawing>
          <wp:inline distT="0" distB="0" distL="0" distR="0">
            <wp:extent cx="68580" cy="7683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768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-203200</wp:posOffset>
            </wp:positionV>
            <wp:extent cx="68580" cy="76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00"/>
        <w:spacing w:after="0"/>
        <w:tabs>
          <w:tab w:leader="none" w:pos="1600" w:val="left"/>
        </w:tabs>
        <w:rPr>
          <w:sz w:val="20"/>
          <w:szCs w:val="20"/>
          <w:color w:val="auto"/>
        </w:rPr>
      </w:pPr>
      <w:r>
        <w:rPr>
          <w:rFonts w:ascii="Arial" w:cs="Arial" w:eastAsia="Arial" w:hAnsi="Arial"/>
          <w:sz w:val="18"/>
          <w:szCs w:val="18"/>
          <w:b w:val="1"/>
          <w:bCs w:val="1"/>
          <w:color w:val="auto"/>
        </w:rPr>
        <w:t>OR</w:t>
      </w:r>
      <w:r>
        <w:rPr>
          <w:sz w:val="20"/>
          <w:szCs w:val="20"/>
          <w:color w:val="auto"/>
        </w:rPr>
        <w:tab/>
      </w:r>
      <w:r>
        <w:rPr>
          <w:rFonts w:ascii="Arial" w:cs="Arial" w:eastAsia="Arial" w:hAnsi="Arial"/>
          <w:sz w:val="18"/>
          <w:szCs w:val="18"/>
          <w:color w:val="auto"/>
        </w:rPr>
        <w:t xml:space="preserve">• </w:t>
      </w:r>
      <w:r>
        <w:rPr>
          <w:rFonts w:ascii="Arial" w:cs="Arial" w:eastAsia="Arial" w:hAnsi="Arial"/>
          <w:sz w:val="16"/>
          <w:szCs w:val="16"/>
          <w:color w:val="auto"/>
        </w:rPr>
        <w:t>Mark, sign and date your Proxy Card/Voting Instruction Form.</w:t>
      </w:r>
    </w:p>
    <w:p>
      <w:pPr>
        <w:spacing w:after="0" w:line="35" w:lineRule="exact"/>
        <w:rPr>
          <w:sz w:val="20"/>
          <w:szCs w:val="20"/>
          <w:color w:val="auto"/>
        </w:rPr>
      </w:pPr>
    </w:p>
    <w:p>
      <w:pPr>
        <w:ind w:left="1780" w:hanging="154"/>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6"/>
          <w:szCs w:val="16"/>
          <w:color w:val="auto"/>
        </w:rPr>
        <w:t>Detach your Proxy Card/Voting Instruction Form.</w:t>
      </w:r>
    </w:p>
    <w:p>
      <w:pPr>
        <w:spacing w:after="0" w:line="9" w:lineRule="exact"/>
        <w:rPr>
          <w:rFonts w:ascii="Arial" w:cs="Arial" w:eastAsia="Arial" w:hAnsi="Arial"/>
          <w:sz w:val="18"/>
          <w:szCs w:val="18"/>
          <w:color w:val="auto"/>
        </w:rPr>
      </w:pPr>
    </w:p>
    <w:p>
      <w:pPr>
        <w:ind w:left="1780" w:right="1140" w:hanging="154"/>
        <w:spacing w:after="0" w:line="263"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6"/>
          <w:szCs w:val="16"/>
          <w:color w:val="auto"/>
        </w:rPr>
        <w:t>Return your Proxy Card/Voting Instruction Form in the postage-paid envelope provided.</w:t>
      </w:r>
    </w:p>
    <w:p>
      <w:pPr>
        <w:spacing w:after="0" w:line="4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 undersigned hereby appoints Robert Gould, Bryan Stuart and Peter Thomson and each of them, as the true and lawful attorneys of the undersigned, with full power of substitution and revocation, and authorizes them, and each of them, to vote all the shares of common stock of Fulcrum Therapeutics, Inc. which the undersigned is entitled to vote at the 2020 Annual Meeting of Stockholders to be held virtually on Thursday, June 11, 2020, at 9:00 a.m., Eastern Time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b w:val="1"/>
          <w:bCs w:val="1"/>
          <w:color w:val="auto"/>
        </w:rPr>
        <w:t>THE SHARES REPRESENTED BY THIS PROXY WHEN PROPERLY EXECUTED WILL BE VOTED AS DIRECTED OR, IF NO DIRECTION IS GIVEN, SHARES WILL BE VOTED FOR THE ELECTION OF THE DIRECTORS IN ITEM 1 AND FOR THE PROPOSAL IN ITEM 2. THE PROXIES WILL VOTE IN THEIR DISCRETION ON ANY OTHER BUSINESS AS MAY PROPERLY COME BEFORE THE MEETING AND ANY POSTPONEMENT OR ADJOURNMENT THEREOF.</w:t>
      </w:r>
    </w:p>
    <w:p>
      <w:pPr>
        <w:spacing w:after="0" w:line="200" w:lineRule="exact"/>
        <w:rPr>
          <w:sz w:val="20"/>
          <w:szCs w:val="20"/>
          <w:color w:val="auto"/>
        </w:rPr>
      </w:pPr>
    </w:p>
    <w:p>
      <w:pPr>
        <w:spacing w:after="0" w:line="259"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PROXY TABULATOR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48895</wp:posOffset>
            </wp:positionV>
            <wp:extent cx="1465580" cy="514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5580" cy="514350"/>
                    </a:xfrm>
                    <a:prstGeom prst="rect">
                      <a:avLst/>
                    </a:prstGeom>
                    <a:noFill/>
                  </pic:spPr>
                </pic:pic>
              </a:graphicData>
            </a:graphic>
          </wp:anchor>
        </w:drawing>
      </w:r>
    </w:p>
    <w:p>
      <w:pPr>
        <w:spacing w:after="0" w:line="66"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Fulcrum Therapeutics, Inc.</w:t>
      </w:r>
    </w:p>
    <w:p>
      <w:pPr>
        <w:spacing w:after="0" w:line="25"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c/o MEDIANT COMMUNICATIONS</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P.O. BOX 8016</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CARY, NC 27512-9903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1013460</wp:posOffset>
            </wp:positionV>
            <wp:extent cx="1714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1013460</wp:posOffset>
            </wp:positionV>
            <wp:extent cx="21463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630" cy="15430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173355</wp:posOffset>
            </wp:positionV>
            <wp:extent cx="8572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173355</wp:posOffset>
            </wp:positionV>
            <wp:extent cx="21463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630" cy="154305"/>
                    </a:xfrm>
                    <a:prstGeom prst="rect">
                      <a:avLst/>
                    </a:prstGeom>
                    <a:noFill/>
                  </pic:spPr>
                </pic:pic>
              </a:graphicData>
            </a:graphic>
          </wp:anchor>
        </w:drawing>
      </w:r>
    </w:p>
    <w:p>
      <w:pPr>
        <w:sectPr>
          <w:pgSz w:w="11900" w:h="16838" w:orient="portrait"/>
          <w:cols w:equalWidth="0" w:num="2">
            <w:col w:w="4180" w:space="480"/>
            <w:col w:w="648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Please separate carefully at the perforation and return just this portion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-89535</wp:posOffset>
            </wp:positionV>
            <wp:extent cx="68580"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-89535</wp:posOffset>
            </wp:positionV>
            <wp:extent cx="68580"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98425</wp:posOffset>
            </wp:positionV>
            <wp:extent cx="2023110" cy="4883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40" w:right="1980"/>
        <w:spacing w:after="0" w:line="378" w:lineRule="auto"/>
        <w:rPr>
          <w:sz w:val="20"/>
          <w:szCs w:val="20"/>
          <w:color w:val="auto"/>
        </w:rPr>
      </w:pPr>
      <w:r>
        <w:rPr>
          <w:rFonts w:ascii="Arial" w:cs="Arial" w:eastAsia="Arial" w:hAnsi="Arial"/>
          <w:sz w:val="18"/>
          <w:szCs w:val="18"/>
          <w:b w:val="1"/>
          <w:bCs w:val="1"/>
          <w:color w:val="auto"/>
        </w:rPr>
        <w:t>Proxy for Annual Meeting of Stockholders to be held on Thursday, June 11, 2020 This proxy is being solicited on behalf of the Board of Directors Please vote, date and sign this Proxy on the other side and return it in the enclosed envelope.</w:t>
      </w:r>
    </w:p>
    <w:p>
      <w:pPr>
        <w:spacing w:after="0" w:line="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6"/>
          <w:szCs w:val="16"/>
          <w:color w:val="auto"/>
        </w:rPr>
        <w:t>The Stockholder signing on the reverse side (the “undersigned”), having received the Annual Report and Proxy Statement, hereby appoint(s) Robert Gould, Bryan Stuart and Peter Thomson and each of them, Proxies of the undersigned (with full power of substitution) to attend the Annual Meeting of Fulcrum Therapeutics (the “Company”) to be held on Thursday, June 11, 2020, virtually at www.proxydocs.com/FULC, and all adjournments and postponements thereof (the “Meeting”), and to vote all shares of Common Stock of the Company that the undersigned would be entitled to vote, if personally present, in regard to all matters that may properly come before the Meeting.</w:t>
      </w:r>
    </w:p>
    <w:p>
      <w:pPr>
        <w:spacing w:after="0" w:line="82" w:lineRule="exact"/>
        <w:rPr>
          <w:sz w:val="20"/>
          <w:szCs w:val="20"/>
          <w:color w:val="auto"/>
        </w:rPr>
      </w:pPr>
    </w:p>
    <w:p>
      <w:pPr>
        <w:jc w:val="both"/>
        <w:ind w:left="120"/>
        <w:spacing w:after="0" w:line="278" w:lineRule="auto"/>
        <w:rPr>
          <w:sz w:val="20"/>
          <w:szCs w:val="20"/>
          <w:color w:val="auto"/>
        </w:rPr>
      </w:pPr>
      <w:r>
        <w:rPr>
          <w:rFonts w:ascii="Arial" w:cs="Arial" w:eastAsia="Arial" w:hAnsi="Arial"/>
          <w:sz w:val="16"/>
          <w:szCs w:val="16"/>
          <w:color w:val="auto"/>
        </w:rPr>
        <w:t xml:space="preserve">The undersigned hereby confer(s) upon the Proxies, and each of them, discretionary authority to consider and act upon such business, matters or proposals as may properly come before the Meeting. </w:t>
      </w:r>
      <w:r>
        <w:rPr>
          <w:rFonts w:ascii="Arial" w:cs="Arial" w:eastAsia="Arial" w:hAnsi="Arial"/>
          <w:sz w:val="16"/>
          <w:szCs w:val="16"/>
          <w:b w:val="1"/>
          <w:bCs w:val="1"/>
          <w:color w:val="auto"/>
        </w:rPr>
        <w:t>The Proxy, when properly executed, will be voted in the manner specified herein. If no specification is made, the Proxies</w:t>
      </w:r>
      <w:r>
        <w:rPr>
          <w:rFonts w:ascii="Arial" w:cs="Arial" w:eastAsia="Arial" w:hAnsi="Arial"/>
          <w:sz w:val="16"/>
          <w:szCs w:val="16"/>
          <w:color w:val="auto"/>
        </w:rPr>
        <w:t xml:space="preserve"> </w:t>
      </w:r>
      <w:r>
        <w:rPr>
          <w:rFonts w:ascii="Arial" w:cs="Arial" w:eastAsia="Arial" w:hAnsi="Arial"/>
          <w:sz w:val="16"/>
          <w:szCs w:val="16"/>
          <w:b w:val="1"/>
          <w:bCs w:val="1"/>
          <w:color w:val="auto"/>
        </w:rPr>
        <w:t>intend to vote FOR all nominees for director in Proposal 1 and FOR proposal 2.</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2)"/>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9"/>
    </w:lvl>
  </w:abstractNum>
  <w:abstractNum w:abstractNumId="19">
    <w:nsid w:val="2901D82"/>
    <w:multiLevelType w:val="hybridMultilevel"/>
    <w:lvl w:ilvl="0">
      <w:lvlJc w:val="left"/>
      <w:lvlText w:val="(%1)"/>
      <w:numFmt w:val="decimal"/>
      <w:start w:val="2"/>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2"/>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2"/>
    </w:lvl>
  </w:abstractNum>
  <w:abstractNum w:abstractNumId="31">
    <w:nsid w:val="5577F8E1"/>
    <w:multiLevelType w:val="hybridMultilevel"/>
    <w:lvl w:ilvl="0">
      <w:lvlJc w:val="left"/>
      <w:lvlText w:val="(%1)"/>
      <w:numFmt w:val="decimal"/>
      <w:start w:val="8"/>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amp;"/>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2020-04-29T08:22:43Z</dcterms:created>
  <dcterms:modified xsi:type="dcterms:W3CDTF">2020-04-29T08:22:43Z</dcterms:modified>
</cp:coreProperties>
</file>