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152026_110708.xml.htm"/>
      <w:bookmarkStart w:id="1" w:name="ksform307152026_11070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6,663,383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beneficially owned by Tang Capital Partners, LP ("TCP"), Tang Capital Partners International, LP ("TCPI"), Tang Capital Partners III, Inc. ("TCP III") and Tang Capital Partners IV, Inc. ("TCP IV").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78579" TargetMode="External"/><Relationship Id="rId3" Type="http://schemas.openxmlformats.org/officeDocument/2006/relationships/hyperlink" Target="http://www.sec.gov/cgi-bin/browse-edgar?action=getcompany&amp;CIK=000168058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178579" TargetMode="External"/><Relationship Id="rId7" Type="http://schemas.openxmlformats.org/officeDocument/2006/relationships/hyperlink" Target="http://www.sec.gov/cgi-bin/browse-edgar?action=getcompany&amp;CIK=0001232621"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535</Words>
  <Characters>2890</Characters>
  <CharactersWithSpaces>3356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