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Fulcrum Therapeutics,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COMMON STOCK, $0.001 PAR VALUE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359616109</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December 31, 2019</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ind w:left="1200" w:hanging="204"/>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200" w:hanging="204"/>
        <w:spacing w:after="0"/>
        <w:tabs>
          <w:tab w:leader="none" w:pos="120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52" w:lineRule="exact"/>
        <w:rPr>
          <w:rFonts w:ascii="MS PGothic" w:cs="MS PGothic" w:eastAsia="MS PGothic" w:hAnsi="MS PGothic"/>
          <w:sz w:val="18"/>
          <w:szCs w:val="18"/>
          <w:color w:val="auto"/>
        </w:rPr>
      </w:pPr>
    </w:p>
    <w:p>
      <w:pPr>
        <w:ind w:left="440" w:hanging="432"/>
        <w:spacing w:after="0" w:line="308" w:lineRule="auto"/>
        <w:rPr>
          <w:rFonts w:ascii="MS PGothic" w:cs="MS PGothic" w:eastAsia="MS PGothic" w:hAnsi="MS PGothic"/>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7"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132715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175895</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6"/>
        </w:trPr>
        <w:tc>
          <w:tcPr>
            <w:tcW w:w="4220" w:type="dxa"/>
            <w:vAlign w:val="bottom"/>
            <w:gridSpan w:val="2"/>
          </w:tcPr>
          <w:p>
            <w:pPr>
              <w:spacing w:after="0"/>
              <w:rPr>
                <w:sz w:val="20"/>
                <w:szCs w:val="20"/>
                <w:color w:val="auto"/>
              </w:rPr>
            </w:pPr>
            <w:r>
              <w:rPr>
                <w:rFonts w:ascii="Arial" w:cs="Arial" w:eastAsia="Arial" w:hAnsi="Arial"/>
                <w:sz w:val="20"/>
                <w:szCs w:val="20"/>
                <w:b w:val="1"/>
                <w:bCs w:val="1"/>
                <w:color w:val="auto"/>
              </w:rPr>
              <w:t>CUSIP No. 359616109</w:t>
            </w:r>
          </w:p>
        </w:tc>
        <w:tc>
          <w:tcPr>
            <w:tcW w:w="3820" w:type="dxa"/>
            <w:vAlign w:val="bottom"/>
          </w:tcPr>
          <w:p>
            <w:pPr>
              <w:ind w:left="780"/>
              <w:spacing w:after="0"/>
              <w:rPr>
                <w:sz w:val="20"/>
                <w:szCs w:val="20"/>
                <w:color w:val="auto"/>
              </w:rPr>
            </w:pPr>
            <w:r>
              <w:rPr>
                <w:rFonts w:ascii="Arial" w:cs="Arial" w:eastAsia="Arial" w:hAnsi="Arial"/>
                <w:sz w:val="20"/>
                <w:szCs w:val="20"/>
                <w:b w:val="1"/>
                <w:bCs w:val="1"/>
                <w:color w:val="auto"/>
              </w:rPr>
              <w:t>SCHEDULE 13G</w:t>
            </w:r>
          </w:p>
        </w:tc>
        <w:tc>
          <w:tcPr>
            <w:tcW w:w="3000" w:type="dxa"/>
            <w:vAlign w:val="bottom"/>
          </w:tcPr>
          <w:p>
            <w:pPr>
              <w:ind w:left="1540"/>
              <w:spacing w:after="0"/>
              <w:rPr>
                <w:sz w:val="20"/>
                <w:szCs w:val="20"/>
                <w:color w:val="auto"/>
              </w:rPr>
            </w:pPr>
            <w:r>
              <w:rPr>
                <w:rFonts w:ascii="Arial" w:cs="Arial" w:eastAsia="Arial" w:hAnsi="Arial"/>
                <w:sz w:val="20"/>
                <w:szCs w:val="20"/>
                <w:b w:val="1"/>
                <w:bCs w:val="1"/>
                <w:color w:val="auto"/>
                <w:w w:val="84"/>
              </w:rPr>
              <w:t>Page 2 of 7 Pages</w:t>
            </w:r>
          </w:p>
        </w:tc>
      </w:tr>
      <w:tr>
        <w:trPr>
          <w:trHeight w:val="145"/>
        </w:trPr>
        <w:tc>
          <w:tcPr>
            <w:tcW w:w="20" w:type="dxa"/>
            <w:vAlign w:val="bottom"/>
          </w:tcPr>
          <w:p>
            <w:pPr>
              <w:spacing w:after="0"/>
              <w:rPr>
                <w:sz w:val="12"/>
                <w:szCs w:val="12"/>
                <w:color w:val="auto"/>
              </w:rPr>
            </w:pPr>
          </w:p>
        </w:tc>
        <w:tc>
          <w:tcPr>
            <w:tcW w:w="420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820" w:type="dxa"/>
            <w:vAlign w:val="bottom"/>
          </w:tcPr>
          <w:p>
            <w:pPr>
              <w:spacing w:after="0"/>
              <w:rPr>
                <w:sz w:val="19"/>
                <w:szCs w:val="19"/>
                <w:color w:val="auto"/>
              </w:rPr>
            </w:pPr>
          </w:p>
        </w:tc>
        <w:tc>
          <w:tcPr>
            <w:tcW w:w="3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-154305</wp:posOffset>
            </wp:positionV>
            <wp:extent cx="8890" cy="1689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1689735"/>
                    </a:xfrm>
                    <a:prstGeom prst="rect">
                      <a:avLst/>
                    </a:prstGeom>
                    <a:noFill/>
                  </pic:spPr>
                </pic:pic>
              </a:graphicData>
            </a:graphic>
          </wp:anchor>
        </w:drawing>
        <w:drawing>
          <wp:anchor simplePos="0" relativeHeight="251657728" behindDoc="1" locked="0" layoutInCell="0" allowOverlap="1">
            <wp:simplePos x="0" y="0"/>
            <wp:positionH relativeFrom="column">
              <wp:posOffset>7004685</wp:posOffset>
            </wp:positionH>
            <wp:positionV relativeFrom="paragraph">
              <wp:posOffset>-154305</wp:posOffset>
            </wp:positionV>
            <wp:extent cx="8890" cy="5240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8890" cy="5240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5240020"/>
                    </a:xfrm>
                    <a:prstGeom prst="rect">
                      <a:avLst/>
                    </a:prstGeom>
                    <a:noFill/>
                  </pic:spPr>
                </pic:pic>
              </a:graphicData>
            </a:graphic>
          </wp:anchor>
        </w:drawing>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180"/>
              <w:spacing w:after="0"/>
              <w:rPr>
                <w:sz w:val="20"/>
                <w:szCs w:val="20"/>
                <w:color w:val="auto"/>
              </w:rPr>
            </w:pPr>
            <w:r>
              <w:rPr>
                <w:rFonts w:ascii="Arial" w:cs="Arial" w:eastAsia="Arial" w:hAnsi="Arial"/>
                <w:sz w:val="22"/>
                <w:szCs w:val="22"/>
                <w:b w:val="1"/>
                <w:bCs w:val="1"/>
                <w:color w:val="auto"/>
              </w:rPr>
              <w:t>Third Rock Ventures IV, L.P.</w:t>
            </w:r>
          </w:p>
        </w:tc>
        <w:tc>
          <w:tcPr>
            <w:tcW w:w="0" w:type="dxa"/>
            <w:vAlign w:val="bottom"/>
          </w:tcPr>
          <w:p>
            <w:pPr>
              <w:spacing w:after="0"/>
              <w:rPr>
                <w:sz w:val="1"/>
                <w:szCs w:val="1"/>
                <w:color w:val="auto"/>
              </w:rPr>
            </w:pPr>
          </w:p>
        </w:tc>
      </w:tr>
      <w:tr>
        <w:trPr>
          <w:trHeight w:val="164"/>
        </w:trPr>
        <w:tc>
          <w:tcPr>
            <w:tcW w:w="480" w:type="dxa"/>
            <w:vAlign w:val="bottom"/>
          </w:tcPr>
          <w:p>
            <w:pPr>
              <w:jc w:val="right"/>
              <w:ind w:right="30"/>
              <w:spacing w:after="0" w:line="164" w:lineRule="exact"/>
              <w:rPr>
                <w:sz w:val="20"/>
                <w:szCs w:val="20"/>
                <w:color w:val="auto"/>
              </w:rPr>
            </w:pPr>
            <w:r>
              <w:rPr>
                <w:rFonts w:ascii="Arial" w:cs="Arial" w:eastAsia="Arial" w:hAnsi="Arial"/>
                <w:sz w:val="18"/>
                <w:szCs w:val="18"/>
                <w:color w:val="auto"/>
              </w:rPr>
              <w:t>2.</w:t>
            </w:r>
          </w:p>
        </w:tc>
        <w:tc>
          <w:tcPr>
            <w:tcW w:w="10540" w:type="dxa"/>
            <w:vAlign w:val="bottom"/>
            <w:gridSpan w:val="5"/>
          </w:tcPr>
          <w:p>
            <w:pPr>
              <w:ind w:left="16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(b)</w:t>
            </w:r>
          </w:p>
        </w:tc>
        <w:tc>
          <w:tcPr>
            <w:tcW w:w="92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Delaware</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00" w:type="dxa"/>
            <w:vAlign w:val="bottom"/>
            <w:gridSpan w:val="2"/>
            <w:vMerge w:val="restart"/>
          </w:tcPr>
          <w:p>
            <w:pPr>
              <w:jc w:val="center"/>
              <w:ind w:left="15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00" w:type="dxa"/>
            <w:vAlign w:val="bottom"/>
            <w:gridSpan w:val="2"/>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14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20" w:type="dxa"/>
            <w:vAlign w:val="bottom"/>
            <w:vMerge w:val="restart"/>
          </w:tcPr>
          <w:p>
            <w:pPr>
              <w:jc w:val="center"/>
              <w:ind w:right="145"/>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vMerge w:val="restart"/>
          </w:tcPr>
          <w:p>
            <w:pPr>
              <w:ind w:left="200"/>
              <w:spacing w:after="0"/>
              <w:rPr>
                <w:sz w:val="20"/>
                <w:szCs w:val="20"/>
                <w:color w:val="auto"/>
              </w:rPr>
            </w:pPr>
            <w:r>
              <w:rPr>
                <w:rFonts w:ascii="Arial" w:cs="Arial" w:eastAsia="Arial" w:hAnsi="Arial"/>
                <w:sz w:val="22"/>
                <w:szCs w:val="22"/>
                <w:color w:val="auto"/>
              </w:rPr>
              <w:t>2,343,154</w:t>
            </w:r>
          </w:p>
        </w:tc>
        <w:tc>
          <w:tcPr>
            <w:tcW w:w="0" w:type="dxa"/>
            <w:vAlign w:val="bottom"/>
          </w:tcPr>
          <w:p>
            <w:pPr>
              <w:spacing w:after="0"/>
              <w:rPr>
                <w:sz w:val="1"/>
                <w:szCs w:val="1"/>
                <w:color w:val="auto"/>
              </w:rPr>
            </w:pPr>
          </w:p>
        </w:tc>
      </w:tr>
      <w:tr>
        <w:trPr>
          <w:trHeight w:val="230"/>
        </w:trPr>
        <w:tc>
          <w:tcPr>
            <w:tcW w:w="140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20" w:type="dxa"/>
            <w:vAlign w:val="bottom"/>
          </w:tcPr>
          <w:p>
            <w:pPr>
              <w:jc w:val="center"/>
              <w:ind w:right="145"/>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14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920" w:type="dxa"/>
            <w:vAlign w:val="bottom"/>
          </w:tcPr>
          <w:p>
            <w:pPr>
              <w:jc w:val="center"/>
              <w:ind w:right="145"/>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9140" w:type="dxa"/>
            <w:vAlign w:val="bottom"/>
          </w:tcPr>
          <w:p>
            <w:pPr>
              <w:ind w:left="2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80" w:type="dxa"/>
            <w:vAlign w:val="bottom"/>
          </w:tcPr>
          <w:p>
            <w:pPr>
              <w:spacing w:after="0"/>
              <w:rPr>
                <w:sz w:val="6"/>
                <w:szCs w:val="6"/>
                <w:color w:val="auto"/>
              </w:rPr>
            </w:pPr>
          </w:p>
        </w:tc>
        <w:tc>
          <w:tcPr>
            <w:tcW w:w="920" w:type="dxa"/>
            <w:vAlign w:val="bottom"/>
            <w:vMerge w:val="restart"/>
          </w:tcPr>
          <w:p>
            <w:pPr>
              <w:jc w:val="center"/>
              <w:ind w:right="145"/>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9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914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4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9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2,343,154</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2,343,154</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540" w:type="dxa"/>
            <w:vAlign w:val="bottom"/>
            <w:gridSpan w:val="5"/>
          </w:tcPr>
          <w:p>
            <w:pPr>
              <w:ind w:left="16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right w:val="single" w:sz="8" w:color="auto"/>
            </w:tcBorders>
          </w:tcPr>
          <w:p>
            <w:pPr>
              <w:spacing w:after="0"/>
              <w:rPr>
                <w:sz w:val="16"/>
                <w:szCs w:val="16"/>
                <w:color w:val="auto"/>
              </w:rPr>
            </w:pPr>
          </w:p>
        </w:tc>
        <w:tc>
          <w:tcPr>
            <w:tcW w:w="10540" w:type="dxa"/>
            <w:vAlign w:val="bottom"/>
            <w:tcBorders>
              <w:bottom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10.0% (1)</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PN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140" w:hanging="436"/>
        <w:spacing w:after="0" w:line="277" w:lineRule="auto"/>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percent of class was calculated based on 23,340,544 shares of common stock issued and outstanding as of November 8, 2019, as disclosed in the Issuer’s 10-Q filed with the Securities and Exchange Commission on November 14, 2019.</w:t>
      </w:r>
    </w:p>
    <w:p>
      <w:pPr>
        <w:sectPr>
          <w:pgSz w:w="11900" w:h="16838" w:orient="portrait"/>
          <w:cols w:equalWidth="0" w:num="1">
            <w:col w:w="11040"/>
          </w:cols>
          <w:pgMar w:left="440" w:top="265" w:right="4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6"/>
        </w:trPr>
        <w:tc>
          <w:tcPr>
            <w:tcW w:w="4220" w:type="dxa"/>
            <w:vAlign w:val="bottom"/>
            <w:gridSpan w:val="2"/>
          </w:tcPr>
          <w:p>
            <w:pPr>
              <w:spacing w:after="0"/>
              <w:rPr>
                <w:sz w:val="20"/>
                <w:szCs w:val="20"/>
                <w:color w:val="auto"/>
              </w:rPr>
            </w:pPr>
            <w:r>
              <w:rPr>
                <w:rFonts w:ascii="Arial" w:cs="Arial" w:eastAsia="Arial" w:hAnsi="Arial"/>
                <w:sz w:val="20"/>
                <w:szCs w:val="20"/>
                <w:b w:val="1"/>
                <w:bCs w:val="1"/>
                <w:color w:val="auto"/>
              </w:rPr>
              <w:t>CUSIP No. 359616109</w:t>
            </w:r>
          </w:p>
        </w:tc>
        <w:tc>
          <w:tcPr>
            <w:tcW w:w="3820" w:type="dxa"/>
            <w:vAlign w:val="bottom"/>
          </w:tcPr>
          <w:p>
            <w:pPr>
              <w:ind w:left="780"/>
              <w:spacing w:after="0"/>
              <w:rPr>
                <w:sz w:val="20"/>
                <w:szCs w:val="20"/>
                <w:color w:val="auto"/>
              </w:rPr>
            </w:pPr>
            <w:r>
              <w:rPr>
                <w:rFonts w:ascii="Arial" w:cs="Arial" w:eastAsia="Arial" w:hAnsi="Arial"/>
                <w:sz w:val="20"/>
                <w:szCs w:val="20"/>
                <w:b w:val="1"/>
                <w:bCs w:val="1"/>
                <w:color w:val="auto"/>
              </w:rPr>
              <w:t>SCHEDULE 13G</w:t>
            </w:r>
          </w:p>
        </w:tc>
        <w:tc>
          <w:tcPr>
            <w:tcW w:w="3000" w:type="dxa"/>
            <w:vAlign w:val="bottom"/>
          </w:tcPr>
          <w:p>
            <w:pPr>
              <w:ind w:left="1540"/>
              <w:spacing w:after="0"/>
              <w:rPr>
                <w:sz w:val="20"/>
                <w:szCs w:val="20"/>
                <w:color w:val="auto"/>
              </w:rPr>
            </w:pPr>
            <w:r>
              <w:rPr>
                <w:rFonts w:ascii="Arial" w:cs="Arial" w:eastAsia="Arial" w:hAnsi="Arial"/>
                <w:sz w:val="20"/>
                <w:szCs w:val="20"/>
                <w:b w:val="1"/>
                <w:bCs w:val="1"/>
                <w:color w:val="auto"/>
                <w:w w:val="84"/>
              </w:rPr>
              <w:t>Page 3 of 7 Pages</w:t>
            </w:r>
          </w:p>
        </w:tc>
      </w:tr>
      <w:tr>
        <w:trPr>
          <w:trHeight w:val="145"/>
        </w:trPr>
        <w:tc>
          <w:tcPr>
            <w:tcW w:w="20" w:type="dxa"/>
            <w:vAlign w:val="bottom"/>
          </w:tcPr>
          <w:p>
            <w:pPr>
              <w:spacing w:after="0"/>
              <w:rPr>
                <w:sz w:val="12"/>
                <w:szCs w:val="12"/>
                <w:color w:val="auto"/>
              </w:rPr>
            </w:pPr>
          </w:p>
        </w:tc>
        <w:tc>
          <w:tcPr>
            <w:tcW w:w="420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820" w:type="dxa"/>
            <w:vAlign w:val="bottom"/>
          </w:tcPr>
          <w:p>
            <w:pPr>
              <w:spacing w:after="0"/>
              <w:rPr>
                <w:sz w:val="19"/>
                <w:szCs w:val="19"/>
                <w:color w:val="auto"/>
              </w:rPr>
            </w:pPr>
          </w:p>
        </w:tc>
        <w:tc>
          <w:tcPr>
            <w:tcW w:w="3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-154305</wp:posOffset>
            </wp:positionV>
            <wp:extent cx="8890" cy="1689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689735"/>
                    </a:xfrm>
                    <a:prstGeom prst="rect">
                      <a:avLst/>
                    </a:prstGeom>
                    <a:noFill/>
                  </pic:spPr>
                </pic:pic>
              </a:graphicData>
            </a:graphic>
          </wp:anchor>
        </w:drawing>
        <w:drawing>
          <wp:anchor simplePos="0" relativeHeight="251657728" behindDoc="1" locked="0" layoutInCell="0" allowOverlap="1">
            <wp:simplePos x="0" y="0"/>
            <wp:positionH relativeFrom="column">
              <wp:posOffset>7004685</wp:posOffset>
            </wp:positionH>
            <wp:positionV relativeFrom="paragraph">
              <wp:posOffset>-154305</wp:posOffset>
            </wp:positionV>
            <wp:extent cx="8890" cy="5240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8890" cy="5240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5240020"/>
                    </a:xfrm>
                    <a:prstGeom prst="rect">
                      <a:avLst/>
                    </a:prstGeom>
                    <a:noFill/>
                  </pic:spPr>
                </pic:pic>
              </a:graphicData>
            </a:graphic>
          </wp:anchor>
        </w:drawing>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180"/>
              <w:spacing w:after="0"/>
              <w:rPr>
                <w:sz w:val="20"/>
                <w:szCs w:val="20"/>
                <w:color w:val="auto"/>
              </w:rPr>
            </w:pPr>
            <w:r>
              <w:rPr>
                <w:rFonts w:ascii="Arial" w:cs="Arial" w:eastAsia="Arial" w:hAnsi="Arial"/>
                <w:sz w:val="22"/>
                <w:szCs w:val="22"/>
                <w:b w:val="1"/>
                <w:bCs w:val="1"/>
                <w:color w:val="auto"/>
              </w:rPr>
              <w:t>Third Rock Ventures GP IV, L.P.</w:t>
            </w:r>
          </w:p>
        </w:tc>
        <w:tc>
          <w:tcPr>
            <w:tcW w:w="0" w:type="dxa"/>
            <w:vAlign w:val="bottom"/>
          </w:tcPr>
          <w:p>
            <w:pPr>
              <w:spacing w:after="0"/>
              <w:rPr>
                <w:sz w:val="1"/>
                <w:szCs w:val="1"/>
                <w:color w:val="auto"/>
              </w:rPr>
            </w:pPr>
          </w:p>
        </w:tc>
      </w:tr>
      <w:tr>
        <w:trPr>
          <w:trHeight w:val="164"/>
        </w:trPr>
        <w:tc>
          <w:tcPr>
            <w:tcW w:w="480" w:type="dxa"/>
            <w:vAlign w:val="bottom"/>
          </w:tcPr>
          <w:p>
            <w:pPr>
              <w:jc w:val="right"/>
              <w:ind w:right="30"/>
              <w:spacing w:after="0" w:line="164" w:lineRule="exact"/>
              <w:rPr>
                <w:sz w:val="20"/>
                <w:szCs w:val="20"/>
                <w:color w:val="auto"/>
              </w:rPr>
            </w:pPr>
            <w:r>
              <w:rPr>
                <w:rFonts w:ascii="Arial" w:cs="Arial" w:eastAsia="Arial" w:hAnsi="Arial"/>
                <w:sz w:val="18"/>
                <w:szCs w:val="18"/>
                <w:color w:val="auto"/>
              </w:rPr>
              <w:t>2.</w:t>
            </w:r>
          </w:p>
        </w:tc>
        <w:tc>
          <w:tcPr>
            <w:tcW w:w="10540" w:type="dxa"/>
            <w:vAlign w:val="bottom"/>
            <w:gridSpan w:val="5"/>
          </w:tcPr>
          <w:p>
            <w:pPr>
              <w:ind w:left="16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(b)</w:t>
            </w:r>
          </w:p>
        </w:tc>
        <w:tc>
          <w:tcPr>
            <w:tcW w:w="92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Delaware</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00" w:type="dxa"/>
            <w:vAlign w:val="bottom"/>
            <w:gridSpan w:val="2"/>
            <w:vMerge w:val="restart"/>
          </w:tcPr>
          <w:p>
            <w:pPr>
              <w:jc w:val="center"/>
              <w:ind w:left="15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00" w:type="dxa"/>
            <w:vAlign w:val="bottom"/>
            <w:gridSpan w:val="2"/>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14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20" w:type="dxa"/>
            <w:vAlign w:val="bottom"/>
            <w:vMerge w:val="restart"/>
          </w:tcPr>
          <w:p>
            <w:pPr>
              <w:jc w:val="center"/>
              <w:ind w:right="145"/>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vMerge w:val="restart"/>
          </w:tcPr>
          <w:p>
            <w:pPr>
              <w:ind w:left="200"/>
              <w:spacing w:after="0"/>
              <w:rPr>
                <w:sz w:val="20"/>
                <w:szCs w:val="20"/>
                <w:color w:val="auto"/>
              </w:rPr>
            </w:pPr>
            <w:r>
              <w:rPr>
                <w:rFonts w:ascii="Arial" w:cs="Arial" w:eastAsia="Arial" w:hAnsi="Arial"/>
                <w:sz w:val="22"/>
                <w:szCs w:val="22"/>
                <w:color w:val="auto"/>
              </w:rPr>
              <w:t>2,343,154</w:t>
            </w:r>
          </w:p>
        </w:tc>
        <w:tc>
          <w:tcPr>
            <w:tcW w:w="0" w:type="dxa"/>
            <w:vAlign w:val="bottom"/>
          </w:tcPr>
          <w:p>
            <w:pPr>
              <w:spacing w:after="0"/>
              <w:rPr>
                <w:sz w:val="1"/>
                <w:szCs w:val="1"/>
                <w:color w:val="auto"/>
              </w:rPr>
            </w:pPr>
          </w:p>
        </w:tc>
      </w:tr>
      <w:tr>
        <w:trPr>
          <w:trHeight w:val="230"/>
        </w:trPr>
        <w:tc>
          <w:tcPr>
            <w:tcW w:w="140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20" w:type="dxa"/>
            <w:vAlign w:val="bottom"/>
          </w:tcPr>
          <w:p>
            <w:pPr>
              <w:jc w:val="center"/>
              <w:ind w:right="145"/>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14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920" w:type="dxa"/>
            <w:vAlign w:val="bottom"/>
          </w:tcPr>
          <w:p>
            <w:pPr>
              <w:jc w:val="center"/>
              <w:ind w:right="145"/>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9140" w:type="dxa"/>
            <w:vAlign w:val="bottom"/>
          </w:tcPr>
          <w:p>
            <w:pPr>
              <w:ind w:left="2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80" w:type="dxa"/>
            <w:vAlign w:val="bottom"/>
          </w:tcPr>
          <w:p>
            <w:pPr>
              <w:spacing w:after="0"/>
              <w:rPr>
                <w:sz w:val="6"/>
                <w:szCs w:val="6"/>
                <w:color w:val="auto"/>
              </w:rPr>
            </w:pPr>
          </w:p>
        </w:tc>
        <w:tc>
          <w:tcPr>
            <w:tcW w:w="920" w:type="dxa"/>
            <w:vAlign w:val="bottom"/>
            <w:vMerge w:val="restart"/>
          </w:tcPr>
          <w:p>
            <w:pPr>
              <w:jc w:val="center"/>
              <w:ind w:right="145"/>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9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914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4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9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2,343,154</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2,343,154</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540" w:type="dxa"/>
            <w:vAlign w:val="bottom"/>
            <w:gridSpan w:val="5"/>
          </w:tcPr>
          <w:p>
            <w:pPr>
              <w:ind w:left="16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right w:val="single" w:sz="8" w:color="auto"/>
            </w:tcBorders>
          </w:tcPr>
          <w:p>
            <w:pPr>
              <w:spacing w:after="0"/>
              <w:rPr>
                <w:sz w:val="16"/>
                <w:szCs w:val="16"/>
                <w:color w:val="auto"/>
              </w:rPr>
            </w:pPr>
          </w:p>
        </w:tc>
        <w:tc>
          <w:tcPr>
            <w:tcW w:w="10540" w:type="dxa"/>
            <w:vAlign w:val="bottom"/>
            <w:tcBorders>
              <w:bottom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10.0% (1)</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PN</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140" w:hanging="436"/>
        <w:spacing w:after="0" w:line="277" w:lineRule="auto"/>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percent of class was calculated based on 23,340,544 shares of common stock issued and outstanding as of November 8, 2019, as disclosed in the Issuer’s 10-Q filed with the Securities and Exchange Commission on November 14, 2019.</w:t>
      </w:r>
    </w:p>
    <w:p>
      <w:pPr>
        <w:sectPr>
          <w:pgSz w:w="11900" w:h="16838" w:orient="portrait"/>
          <w:cols w:equalWidth="0" w:num="1">
            <w:col w:w="11040"/>
          </w:cols>
          <w:pgMar w:left="440" w:top="265"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6"/>
        </w:trPr>
        <w:tc>
          <w:tcPr>
            <w:tcW w:w="4220" w:type="dxa"/>
            <w:vAlign w:val="bottom"/>
            <w:gridSpan w:val="2"/>
          </w:tcPr>
          <w:p>
            <w:pPr>
              <w:spacing w:after="0"/>
              <w:rPr>
                <w:sz w:val="20"/>
                <w:szCs w:val="20"/>
                <w:color w:val="auto"/>
              </w:rPr>
            </w:pPr>
            <w:r>
              <w:rPr>
                <w:rFonts w:ascii="Arial" w:cs="Arial" w:eastAsia="Arial" w:hAnsi="Arial"/>
                <w:sz w:val="20"/>
                <w:szCs w:val="20"/>
                <w:b w:val="1"/>
                <w:bCs w:val="1"/>
                <w:color w:val="auto"/>
              </w:rPr>
              <w:t>CUSIP No. 359616109</w:t>
            </w:r>
          </w:p>
        </w:tc>
        <w:tc>
          <w:tcPr>
            <w:tcW w:w="3820" w:type="dxa"/>
            <w:vAlign w:val="bottom"/>
          </w:tcPr>
          <w:p>
            <w:pPr>
              <w:ind w:left="780"/>
              <w:spacing w:after="0"/>
              <w:rPr>
                <w:sz w:val="20"/>
                <w:szCs w:val="20"/>
                <w:color w:val="auto"/>
              </w:rPr>
            </w:pPr>
            <w:r>
              <w:rPr>
                <w:rFonts w:ascii="Arial" w:cs="Arial" w:eastAsia="Arial" w:hAnsi="Arial"/>
                <w:sz w:val="20"/>
                <w:szCs w:val="20"/>
                <w:b w:val="1"/>
                <w:bCs w:val="1"/>
                <w:color w:val="auto"/>
              </w:rPr>
              <w:t>SCHEDULE 13G</w:t>
            </w:r>
          </w:p>
        </w:tc>
        <w:tc>
          <w:tcPr>
            <w:tcW w:w="3000" w:type="dxa"/>
            <w:vAlign w:val="bottom"/>
          </w:tcPr>
          <w:p>
            <w:pPr>
              <w:ind w:left="1540"/>
              <w:spacing w:after="0"/>
              <w:rPr>
                <w:sz w:val="20"/>
                <w:szCs w:val="20"/>
                <w:color w:val="auto"/>
              </w:rPr>
            </w:pPr>
            <w:r>
              <w:rPr>
                <w:rFonts w:ascii="Arial" w:cs="Arial" w:eastAsia="Arial" w:hAnsi="Arial"/>
                <w:sz w:val="20"/>
                <w:szCs w:val="20"/>
                <w:b w:val="1"/>
                <w:bCs w:val="1"/>
                <w:color w:val="auto"/>
                <w:w w:val="84"/>
              </w:rPr>
              <w:t>Page 4 of 7 Pages</w:t>
            </w:r>
          </w:p>
        </w:tc>
      </w:tr>
      <w:tr>
        <w:trPr>
          <w:trHeight w:val="145"/>
        </w:trPr>
        <w:tc>
          <w:tcPr>
            <w:tcW w:w="20" w:type="dxa"/>
            <w:vAlign w:val="bottom"/>
          </w:tcPr>
          <w:p>
            <w:pPr>
              <w:spacing w:after="0"/>
              <w:rPr>
                <w:sz w:val="12"/>
                <w:szCs w:val="12"/>
                <w:color w:val="auto"/>
              </w:rPr>
            </w:pPr>
          </w:p>
        </w:tc>
        <w:tc>
          <w:tcPr>
            <w:tcW w:w="420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tcPr>
          <w:p>
            <w:pPr>
              <w:spacing w:after="0"/>
              <w:rPr>
                <w:sz w:val="12"/>
                <w:szCs w:val="12"/>
                <w:color w:val="auto"/>
              </w:rPr>
            </w:pPr>
          </w:p>
        </w:tc>
        <w:tc>
          <w:tcPr>
            <w:tcW w:w="3000" w:type="dxa"/>
            <w:vAlign w:val="bottom"/>
            <w:tcBorders>
              <w:bottom w:val="single" w:sz="8" w:color="auto"/>
            </w:tcBorders>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420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820" w:type="dxa"/>
            <w:vAlign w:val="bottom"/>
          </w:tcPr>
          <w:p>
            <w:pPr>
              <w:spacing w:after="0"/>
              <w:rPr>
                <w:sz w:val="19"/>
                <w:szCs w:val="19"/>
                <w:color w:val="auto"/>
              </w:rPr>
            </w:pPr>
          </w:p>
        </w:tc>
        <w:tc>
          <w:tcPr>
            <w:tcW w:w="3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-154305</wp:posOffset>
            </wp:positionV>
            <wp:extent cx="8890" cy="1689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689735"/>
                    </a:xfrm>
                    <a:prstGeom prst="rect">
                      <a:avLst/>
                    </a:prstGeom>
                    <a:noFill/>
                  </pic:spPr>
                </pic:pic>
              </a:graphicData>
            </a:graphic>
          </wp:anchor>
        </w:drawing>
        <w:drawing>
          <wp:anchor simplePos="0" relativeHeight="251657728" behindDoc="1" locked="0" layoutInCell="0" allowOverlap="1">
            <wp:simplePos x="0" y="0"/>
            <wp:positionH relativeFrom="column">
              <wp:posOffset>7004685</wp:posOffset>
            </wp:positionH>
            <wp:positionV relativeFrom="paragraph">
              <wp:posOffset>-154305</wp:posOffset>
            </wp:positionV>
            <wp:extent cx="8890" cy="5240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8890" cy="5240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5240020"/>
                    </a:xfrm>
                    <a:prstGeom prst="rect">
                      <a:avLst/>
                    </a:prstGeom>
                    <a:noFill/>
                  </pic:spPr>
                </pic:pic>
              </a:graphicData>
            </a:graphic>
          </wp:anchor>
        </w:drawing>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282"/>
        </w:trPr>
        <w:tc>
          <w:tcPr>
            <w:tcW w:w="480" w:type="dxa"/>
            <w:vAlign w:val="bottom"/>
            <w:tcBorders>
              <w:bottom w:val="single" w:sz="8" w:color="auto"/>
            </w:tcBorders>
          </w:tcPr>
          <w:p>
            <w:pPr>
              <w:spacing w:after="0"/>
              <w:rPr>
                <w:sz w:val="24"/>
                <w:szCs w:val="24"/>
                <w:color w:val="auto"/>
              </w:rPr>
            </w:pPr>
          </w:p>
        </w:tc>
        <w:tc>
          <w:tcPr>
            <w:tcW w:w="10540" w:type="dxa"/>
            <w:vAlign w:val="bottom"/>
            <w:tcBorders>
              <w:bottom w:val="single" w:sz="8" w:color="auto"/>
            </w:tcBorders>
            <w:gridSpan w:val="5"/>
          </w:tcPr>
          <w:p>
            <w:pPr>
              <w:ind w:left="180"/>
              <w:spacing w:after="0"/>
              <w:rPr>
                <w:sz w:val="20"/>
                <w:szCs w:val="20"/>
                <w:color w:val="auto"/>
              </w:rPr>
            </w:pPr>
            <w:r>
              <w:rPr>
                <w:rFonts w:ascii="Arial" w:cs="Arial" w:eastAsia="Arial" w:hAnsi="Arial"/>
                <w:sz w:val="22"/>
                <w:szCs w:val="22"/>
                <w:b w:val="1"/>
                <w:bCs w:val="1"/>
                <w:color w:val="auto"/>
              </w:rPr>
              <w:t>TRV GP IV, LLC</w:t>
            </w:r>
          </w:p>
        </w:tc>
        <w:tc>
          <w:tcPr>
            <w:tcW w:w="0" w:type="dxa"/>
            <w:vAlign w:val="bottom"/>
          </w:tcPr>
          <w:p>
            <w:pPr>
              <w:spacing w:after="0"/>
              <w:rPr>
                <w:sz w:val="1"/>
                <w:szCs w:val="1"/>
                <w:color w:val="auto"/>
              </w:rPr>
            </w:pPr>
          </w:p>
        </w:tc>
      </w:tr>
      <w:tr>
        <w:trPr>
          <w:trHeight w:val="164"/>
        </w:trPr>
        <w:tc>
          <w:tcPr>
            <w:tcW w:w="480" w:type="dxa"/>
            <w:vAlign w:val="bottom"/>
          </w:tcPr>
          <w:p>
            <w:pPr>
              <w:jc w:val="right"/>
              <w:ind w:right="30"/>
              <w:spacing w:after="0" w:line="164" w:lineRule="exact"/>
              <w:rPr>
                <w:sz w:val="20"/>
                <w:szCs w:val="20"/>
                <w:color w:val="auto"/>
              </w:rPr>
            </w:pPr>
            <w:r>
              <w:rPr>
                <w:rFonts w:ascii="Arial" w:cs="Arial" w:eastAsia="Arial" w:hAnsi="Arial"/>
                <w:sz w:val="18"/>
                <w:szCs w:val="18"/>
                <w:color w:val="auto"/>
              </w:rPr>
              <w:t>2.</w:t>
            </w:r>
          </w:p>
        </w:tc>
        <w:tc>
          <w:tcPr>
            <w:tcW w:w="10540" w:type="dxa"/>
            <w:vAlign w:val="bottom"/>
            <w:gridSpan w:val="5"/>
          </w:tcPr>
          <w:p>
            <w:pPr>
              <w:ind w:left="160"/>
              <w:spacing w:after="0" w:line="164"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80" w:type="dxa"/>
            <w:vAlign w:val="bottom"/>
          </w:tcPr>
          <w:p>
            <w:pPr>
              <w:spacing w:after="0"/>
              <w:rPr>
                <w:sz w:val="24"/>
                <w:szCs w:val="24"/>
                <w:color w:val="auto"/>
              </w:rPr>
            </w:pPr>
          </w:p>
        </w:tc>
        <w:tc>
          <w:tcPr>
            <w:tcW w:w="92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(b)</w:t>
            </w:r>
          </w:p>
        </w:tc>
        <w:tc>
          <w:tcPr>
            <w:tcW w:w="926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spacing w:after="0"/>
              <w:rPr>
                <w:sz w:val="20"/>
                <w:szCs w:val="20"/>
                <w:color w:val="auto"/>
              </w:rPr>
            </w:pPr>
          </w:p>
        </w:tc>
        <w:tc>
          <w:tcPr>
            <w:tcW w:w="360" w:type="dxa"/>
            <w:vAlign w:val="bottom"/>
            <w:tcBorders>
              <w:bottom w:val="single" w:sz="8" w:color="auto"/>
            </w:tcBorders>
            <w:gridSpan w:val="2"/>
          </w:tcPr>
          <w:p>
            <w:pPr>
              <w:spacing w:after="0"/>
              <w:rPr>
                <w:sz w:val="20"/>
                <w:szCs w:val="20"/>
                <w:color w:val="auto"/>
              </w:rPr>
            </w:pPr>
          </w:p>
        </w:tc>
        <w:tc>
          <w:tcPr>
            <w:tcW w:w="9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spacing w:after="0"/>
              <w:rPr>
                <w:sz w:val="21"/>
                <w:szCs w:val="21"/>
                <w:color w:val="auto"/>
              </w:rPr>
            </w:pPr>
          </w:p>
        </w:tc>
        <w:tc>
          <w:tcPr>
            <w:tcW w:w="360" w:type="dxa"/>
            <w:vAlign w:val="bottom"/>
            <w:tcBorders>
              <w:bottom w:val="single" w:sz="8" w:color="auto"/>
            </w:tcBorders>
            <w:gridSpan w:val="2"/>
          </w:tcPr>
          <w:p>
            <w:pPr>
              <w:spacing w:after="0"/>
              <w:rPr>
                <w:sz w:val="21"/>
                <w:szCs w:val="21"/>
                <w:color w:val="auto"/>
              </w:rPr>
            </w:pPr>
          </w:p>
        </w:tc>
        <w:tc>
          <w:tcPr>
            <w:tcW w:w="9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Delaware</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right w:val="single" w:sz="8" w:color="auto"/>
            </w:tcBorders>
          </w:tcPr>
          <w:p>
            <w:pPr>
              <w:spacing w:after="0"/>
              <w:rPr>
                <w:sz w:val="19"/>
                <w:szCs w:val="19"/>
                <w:color w:val="auto"/>
              </w:rPr>
            </w:pPr>
          </w:p>
        </w:tc>
        <w:tc>
          <w:tcPr>
            <w:tcW w:w="9140" w:type="dxa"/>
            <w:vAlign w:val="bottom"/>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84"/>
        </w:trPr>
        <w:tc>
          <w:tcPr>
            <w:tcW w:w="1400" w:type="dxa"/>
            <w:vAlign w:val="bottom"/>
            <w:gridSpan w:val="2"/>
            <w:vMerge w:val="restart"/>
          </w:tcPr>
          <w:p>
            <w:pPr>
              <w:jc w:val="center"/>
              <w:ind w:left="150"/>
              <w:spacing w:after="0"/>
              <w:rPr>
                <w:sz w:val="20"/>
                <w:szCs w:val="20"/>
                <w:color w:val="auto"/>
              </w:rPr>
            </w:pPr>
            <w:r>
              <w:rPr>
                <w:rFonts w:ascii="Arial" w:cs="Arial" w:eastAsia="Arial" w:hAnsi="Arial"/>
                <w:sz w:val="18"/>
                <w:szCs w:val="18"/>
                <w:color w:val="auto"/>
                <w:w w:val="96"/>
              </w:rPr>
              <w:t>NUMBER OF</w:t>
            </w:r>
          </w:p>
        </w:tc>
        <w:tc>
          <w:tcPr>
            <w:tcW w:w="120" w:type="dxa"/>
            <w:vAlign w:val="bottom"/>
            <w:tcBorders>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48"/>
        </w:trPr>
        <w:tc>
          <w:tcPr>
            <w:tcW w:w="1400" w:type="dxa"/>
            <w:vAlign w:val="bottom"/>
            <w:gridSpan w:val="2"/>
            <w:vMerge w:val="continue"/>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right w:val="single" w:sz="8" w:color="auto"/>
            </w:tcBorders>
          </w:tcPr>
          <w:p>
            <w:pPr>
              <w:spacing w:after="0"/>
              <w:rPr>
                <w:sz w:val="4"/>
                <w:szCs w:val="4"/>
                <w:color w:val="auto"/>
              </w:rPr>
            </w:pPr>
          </w:p>
        </w:tc>
        <w:tc>
          <w:tcPr>
            <w:tcW w:w="9140" w:type="dxa"/>
            <w:vAlign w:val="bottom"/>
            <w:vMerge w:val="restart"/>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76"/>
        </w:trPr>
        <w:tc>
          <w:tcPr>
            <w:tcW w:w="480" w:type="dxa"/>
            <w:vAlign w:val="bottom"/>
          </w:tcPr>
          <w:p>
            <w:pPr>
              <w:spacing w:after="0"/>
              <w:rPr>
                <w:sz w:val="15"/>
                <w:szCs w:val="15"/>
                <w:color w:val="auto"/>
              </w:rPr>
            </w:pPr>
          </w:p>
        </w:tc>
        <w:tc>
          <w:tcPr>
            <w:tcW w:w="920" w:type="dxa"/>
            <w:vAlign w:val="bottom"/>
            <w:vMerge w:val="restart"/>
          </w:tcPr>
          <w:p>
            <w:pPr>
              <w:jc w:val="center"/>
              <w:ind w:right="145"/>
              <w:spacing w:after="0"/>
              <w:rPr>
                <w:sz w:val="20"/>
                <w:szCs w:val="20"/>
                <w:color w:val="auto"/>
              </w:rPr>
            </w:pPr>
            <w:r>
              <w:rPr>
                <w:rFonts w:ascii="Arial" w:cs="Arial" w:eastAsia="Arial" w:hAnsi="Arial"/>
                <w:sz w:val="18"/>
                <w:szCs w:val="18"/>
                <w:color w:val="auto"/>
                <w:w w:val="91"/>
              </w:rPr>
              <w:t>SHARES</w:t>
            </w:r>
          </w:p>
        </w:tc>
        <w:tc>
          <w:tcPr>
            <w:tcW w:w="120" w:type="dxa"/>
            <w:vAlign w:val="bottom"/>
            <w:tcBorders>
              <w:right w:val="single" w:sz="8" w:color="auto"/>
            </w:tcBorders>
          </w:tcPr>
          <w:p>
            <w:pPr>
              <w:spacing w:after="0"/>
              <w:rPr>
                <w:sz w:val="15"/>
                <w:szCs w:val="15"/>
                <w:color w:val="auto"/>
              </w:rPr>
            </w:pPr>
          </w:p>
        </w:tc>
        <w:tc>
          <w:tcPr>
            <w:tcW w:w="2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91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4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9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rPr>
              <w:t>BENEFICIALLY</w:t>
            </w: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vMerge w:val="restart"/>
          </w:tcPr>
          <w:p>
            <w:pPr>
              <w:ind w:left="200"/>
              <w:spacing w:after="0"/>
              <w:rPr>
                <w:sz w:val="20"/>
                <w:szCs w:val="20"/>
                <w:color w:val="auto"/>
              </w:rPr>
            </w:pPr>
            <w:r>
              <w:rPr>
                <w:rFonts w:ascii="Arial" w:cs="Arial" w:eastAsia="Arial" w:hAnsi="Arial"/>
                <w:sz w:val="22"/>
                <w:szCs w:val="22"/>
                <w:color w:val="auto"/>
              </w:rPr>
              <w:t>2,343,154</w:t>
            </w:r>
          </w:p>
        </w:tc>
        <w:tc>
          <w:tcPr>
            <w:tcW w:w="0" w:type="dxa"/>
            <w:vAlign w:val="bottom"/>
          </w:tcPr>
          <w:p>
            <w:pPr>
              <w:spacing w:after="0"/>
              <w:rPr>
                <w:sz w:val="1"/>
                <w:szCs w:val="1"/>
                <w:color w:val="auto"/>
              </w:rPr>
            </w:pPr>
          </w:p>
        </w:tc>
      </w:tr>
      <w:tr>
        <w:trPr>
          <w:trHeight w:val="230"/>
        </w:trPr>
        <w:tc>
          <w:tcPr>
            <w:tcW w:w="1400" w:type="dxa"/>
            <w:vAlign w:val="bottom"/>
            <w:gridSpan w:val="2"/>
          </w:tcPr>
          <w:p>
            <w:pPr>
              <w:jc w:val="center"/>
              <w:ind w:left="150"/>
              <w:spacing w:after="0"/>
              <w:rPr>
                <w:sz w:val="20"/>
                <w:szCs w:val="20"/>
                <w:color w:val="auto"/>
              </w:rPr>
            </w:pPr>
            <w:r>
              <w:rPr>
                <w:rFonts w:ascii="Arial" w:cs="Arial" w:eastAsia="Arial" w:hAnsi="Arial"/>
                <w:sz w:val="18"/>
                <w:szCs w:val="18"/>
                <w:color w:val="auto"/>
                <w:w w:val="97"/>
              </w:rPr>
              <w:t>OWNED BY</w:t>
            </w:r>
          </w:p>
        </w:tc>
        <w:tc>
          <w:tcPr>
            <w:tcW w:w="120" w:type="dxa"/>
            <w:vAlign w:val="bottom"/>
            <w:tcBorders>
              <w:right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9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0" w:type="dxa"/>
            <w:vAlign w:val="bottom"/>
          </w:tcPr>
          <w:p>
            <w:pPr>
              <w:spacing w:after="0"/>
              <w:rPr>
                <w:sz w:val="15"/>
                <w:szCs w:val="15"/>
                <w:color w:val="auto"/>
              </w:rPr>
            </w:pPr>
          </w:p>
        </w:tc>
        <w:tc>
          <w:tcPr>
            <w:tcW w:w="920" w:type="dxa"/>
            <w:vAlign w:val="bottom"/>
          </w:tcPr>
          <w:p>
            <w:pPr>
              <w:jc w:val="center"/>
              <w:ind w:right="145"/>
              <w:spacing w:after="0" w:line="182" w:lineRule="exact"/>
              <w:rPr>
                <w:sz w:val="20"/>
                <w:szCs w:val="20"/>
                <w:color w:val="auto"/>
              </w:rPr>
            </w:pPr>
            <w:r>
              <w:rPr>
                <w:rFonts w:ascii="Arial" w:cs="Arial" w:eastAsia="Arial" w:hAnsi="Arial"/>
                <w:sz w:val="18"/>
                <w:szCs w:val="18"/>
                <w:color w:val="auto"/>
                <w:w w:val="95"/>
              </w:rPr>
              <w:t>EACH</w:t>
            </w:r>
          </w:p>
        </w:tc>
        <w:tc>
          <w:tcPr>
            <w:tcW w:w="1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20" w:type="dxa"/>
            <w:vAlign w:val="bottom"/>
            <w:tcBorders>
              <w:right w:val="single" w:sz="8" w:color="auto"/>
            </w:tcBorders>
          </w:tcPr>
          <w:p>
            <w:pPr>
              <w:spacing w:after="0"/>
              <w:rPr>
                <w:sz w:val="15"/>
                <w:szCs w:val="15"/>
                <w:color w:val="auto"/>
              </w:rPr>
            </w:pPr>
          </w:p>
        </w:tc>
        <w:tc>
          <w:tcPr>
            <w:tcW w:w="9140" w:type="dxa"/>
            <w:vAlign w:val="bottom"/>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40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REPORTING</w:t>
            </w:r>
          </w:p>
        </w:tc>
        <w:tc>
          <w:tcPr>
            <w:tcW w:w="1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9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80" w:type="dxa"/>
            <w:vAlign w:val="bottom"/>
          </w:tcPr>
          <w:p>
            <w:pPr>
              <w:spacing w:after="0"/>
              <w:rPr>
                <w:sz w:val="20"/>
                <w:szCs w:val="20"/>
                <w:color w:val="auto"/>
              </w:rPr>
            </w:pPr>
          </w:p>
        </w:tc>
        <w:tc>
          <w:tcPr>
            <w:tcW w:w="920" w:type="dxa"/>
            <w:vAlign w:val="bottom"/>
          </w:tcPr>
          <w:p>
            <w:pPr>
              <w:jc w:val="center"/>
              <w:ind w:right="145"/>
              <w:spacing w:after="0"/>
              <w:rPr>
                <w:sz w:val="20"/>
                <w:szCs w:val="20"/>
                <w:color w:val="auto"/>
              </w:rPr>
            </w:pPr>
            <w:r>
              <w:rPr>
                <w:rFonts w:ascii="Arial" w:cs="Arial" w:eastAsia="Arial" w:hAnsi="Arial"/>
                <w:sz w:val="18"/>
                <w:szCs w:val="18"/>
                <w:color w:val="auto"/>
                <w:w w:val="89"/>
              </w:rPr>
              <w:t>PERSON</w:t>
            </w:r>
          </w:p>
        </w:tc>
        <w:tc>
          <w:tcPr>
            <w:tcW w:w="12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9140" w:type="dxa"/>
            <w:vAlign w:val="bottom"/>
          </w:tcPr>
          <w:p>
            <w:pPr>
              <w:ind w:left="200"/>
              <w:spacing w:after="0" w:line="232" w:lineRule="exact"/>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79"/>
        </w:trPr>
        <w:tc>
          <w:tcPr>
            <w:tcW w:w="480" w:type="dxa"/>
            <w:vAlign w:val="bottom"/>
          </w:tcPr>
          <w:p>
            <w:pPr>
              <w:spacing w:after="0"/>
              <w:rPr>
                <w:sz w:val="6"/>
                <w:szCs w:val="6"/>
                <w:color w:val="auto"/>
              </w:rPr>
            </w:pPr>
          </w:p>
        </w:tc>
        <w:tc>
          <w:tcPr>
            <w:tcW w:w="920" w:type="dxa"/>
            <w:vAlign w:val="bottom"/>
            <w:vMerge w:val="restart"/>
          </w:tcPr>
          <w:p>
            <w:pPr>
              <w:jc w:val="center"/>
              <w:ind w:right="145"/>
              <w:spacing w:after="0"/>
              <w:rPr>
                <w:sz w:val="20"/>
                <w:szCs w:val="20"/>
                <w:color w:val="auto"/>
              </w:rPr>
            </w:pPr>
            <w:r>
              <w:rPr>
                <w:rFonts w:ascii="Arial" w:cs="Arial" w:eastAsia="Arial" w:hAnsi="Arial"/>
                <w:sz w:val="18"/>
                <w:szCs w:val="18"/>
                <w:color w:val="auto"/>
              </w:rPr>
              <w:t>WITH</w:t>
            </w:r>
          </w:p>
        </w:tc>
        <w:tc>
          <w:tcPr>
            <w:tcW w:w="120" w:type="dxa"/>
            <w:vAlign w:val="bottom"/>
            <w:tcBorders>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20" w:type="dxa"/>
            <w:vAlign w:val="bottom"/>
            <w:tcBorders>
              <w:bottom w:val="single" w:sz="8" w:color="auto"/>
              <w:right w:val="single" w:sz="8" w:color="auto"/>
            </w:tcBorders>
          </w:tcPr>
          <w:p>
            <w:pPr>
              <w:spacing w:after="0"/>
              <w:rPr>
                <w:sz w:val="6"/>
                <w:szCs w:val="6"/>
                <w:color w:val="auto"/>
              </w:rPr>
            </w:pPr>
          </w:p>
        </w:tc>
        <w:tc>
          <w:tcPr>
            <w:tcW w:w="91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1"/>
        </w:trPr>
        <w:tc>
          <w:tcPr>
            <w:tcW w:w="480" w:type="dxa"/>
            <w:vAlign w:val="bottom"/>
          </w:tcPr>
          <w:p>
            <w:pPr>
              <w:spacing w:after="0"/>
              <w:rPr>
                <w:sz w:val="11"/>
                <w:szCs w:val="11"/>
                <w:color w:val="auto"/>
              </w:rPr>
            </w:pPr>
          </w:p>
        </w:tc>
        <w:tc>
          <w:tcPr>
            <w:tcW w:w="92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right w:val="single" w:sz="8" w:color="auto"/>
            </w:tcBorders>
          </w:tcPr>
          <w:p>
            <w:pPr>
              <w:spacing w:after="0"/>
              <w:rPr>
                <w:sz w:val="11"/>
                <w:szCs w:val="11"/>
                <w:color w:val="auto"/>
              </w:rPr>
            </w:pPr>
          </w:p>
        </w:tc>
        <w:tc>
          <w:tcPr>
            <w:tcW w:w="9140" w:type="dxa"/>
            <w:vAlign w:val="bottom"/>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93"/>
        </w:trPr>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240" w:type="dxa"/>
            <w:vAlign w:val="bottom"/>
            <w:vMerge w:val="continue"/>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91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9140" w:type="dxa"/>
            <w:vAlign w:val="bottom"/>
            <w:tcBorders>
              <w:bottom w:val="single" w:sz="8" w:color="auto"/>
            </w:tcBorders>
          </w:tcPr>
          <w:p>
            <w:pPr>
              <w:ind w:left="200"/>
              <w:spacing w:after="0"/>
              <w:rPr>
                <w:sz w:val="20"/>
                <w:szCs w:val="20"/>
                <w:color w:val="auto"/>
              </w:rPr>
            </w:pPr>
            <w:r>
              <w:rPr>
                <w:rFonts w:ascii="Arial" w:cs="Arial" w:eastAsia="Arial" w:hAnsi="Arial"/>
                <w:sz w:val="22"/>
                <w:szCs w:val="22"/>
                <w:color w:val="auto"/>
              </w:rPr>
              <w:t>2,343,154</w:t>
            </w: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9.</w:t>
            </w:r>
          </w:p>
        </w:tc>
        <w:tc>
          <w:tcPr>
            <w:tcW w:w="1040" w:type="dxa"/>
            <w:vAlign w:val="bottom"/>
            <w:gridSpan w:val="2"/>
          </w:tcPr>
          <w:p>
            <w:pPr>
              <w:ind w:left="160"/>
              <w:spacing w:after="0"/>
              <w:rPr>
                <w:sz w:val="20"/>
                <w:szCs w:val="20"/>
                <w:color w:val="auto"/>
              </w:rPr>
            </w:pPr>
            <w:r>
              <w:rPr>
                <w:rFonts w:ascii="Arial" w:cs="Arial" w:eastAsia="Arial" w:hAnsi="Arial"/>
                <w:sz w:val="18"/>
                <w:szCs w:val="18"/>
                <w:color w:val="auto"/>
                <w:w w:val="73"/>
              </w:rPr>
              <w:t>AGGREGATE</w:t>
            </w:r>
          </w:p>
        </w:tc>
        <w:tc>
          <w:tcPr>
            <w:tcW w:w="360" w:type="dxa"/>
            <w:vAlign w:val="bottom"/>
            <w:gridSpan w:val="2"/>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2,343,154</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10.</w:t>
            </w:r>
          </w:p>
        </w:tc>
        <w:tc>
          <w:tcPr>
            <w:tcW w:w="10540" w:type="dxa"/>
            <w:vAlign w:val="bottom"/>
            <w:gridSpan w:val="5"/>
          </w:tcPr>
          <w:p>
            <w:pPr>
              <w:ind w:left="160"/>
              <w:spacing w:after="0" w:line="207" w:lineRule="exact"/>
              <w:rPr>
                <w:sz w:val="20"/>
                <w:szCs w:val="20"/>
                <w:color w:val="auto"/>
              </w:rPr>
            </w:pPr>
            <w:r>
              <w:rPr>
                <w:rFonts w:ascii="Arial" w:cs="Arial" w:eastAsia="Arial" w:hAnsi="Arial"/>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right w:val="single" w:sz="8" w:color="auto"/>
            </w:tcBorders>
          </w:tcPr>
          <w:p>
            <w:pPr>
              <w:spacing w:after="0"/>
              <w:rPr>
                <w:sz w:val="16"/>
                <w:szCs w:val="16"/>
                <w:color w:val="auto"/>
              </w:rPr>
            </w:pPr>
          </w:p>
        </w:tc>
        <w:tc>
          <w:tcPr>
            <w:tcW w:w="10540" w:type="dxa"/>
            <w:vAlign w:val="bottom"/>
            <w:tcBorders>
              <w:bottom w:val="single" w:sz="8" w:color="auto"/>
            </w:tcBorders>
            <w:gridSpan w:val="5"/>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80"/>
              <w:spacing w:after="0"/>
              <w:rPr>
                <w:sz w:val="20"/>
                <w:szCs w:val="20"/>
                <w:color w:val="auto"/>
              </w:rPr>
            </w:pPr>
            <w:r>
              <w:rPr>
                <w:rFonts w:ascii="Arial" w:cs="Arial" w:eastAsia="Arial" w:hAnsi="Arial"/>
                <w:sz w:val="22"/>
                <w:szCs w:val="22"/>
                <w:color w:val="auto"/>
              </w:rPr>
              <w:t>10.0% (1)</w:t>
            </w: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80" w:type="dxa"/>
            <w:vAlign w:val="bottom"/>
            <w:tcBorders>
              <w:right w:val="single" w:sz="8" w:color="auto"/>
            </w:tcBorders>
          </w:tcPr>
          <w:p>
            <w:pPr>
              <w:jc w:val="right"/>
              <w:ind w:right="30"/>
              <w:spacing w:after="0"/>
              <w:rPr>
                <w:sz w:val="20"/>
                <w:szCs w:val="20"/>
                <w:color w:val="auto"/>
              </w:rPr>
            </w:pPr>
            <w:r>
              <w:rPr>
                <w:rFonts w:ascii="Arial" w:cs="Arial" w:eastAsia="Arial" w:hAnsi="Arial"/>
                <w:sz w:val="18"/>
                <w:szCs w:val="18"/>
                <w:color w:val="auto"/>
              </w:rPr>
              <w:t>12.</w:t>
            </w:r>
          </w:p>
        </w:tc>
        <w:tc>
          <w:tcPr>
            <w:tcW w:w="10540" w:type="dxa"/>
            <w:vAlign w:val="bottom"/>
            <w:gridSpan w:val="5"/>
          </w:tcPr>
          <w:p>
            <w:pPr>
              <w:ind w:left="16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84"/>
        </w:trPr>
        <w:tc>
          <w:tcPr>
            <w:tcW w:w="480" w:type="dxa"/>
            <w:vAlign w:val="bottom"/>
            <w:tcBorders>
              <w:bottom w:val="single" w:sz="8" w:color="auto"/>
              <w:right w:val="single" w:sz="8" w:color="auto"/>
            </w:tcBorders>
          </w:tcPr>
          <w:p>
            <w:pPr>
              <w:spacing w:after="0"/>
              <w:rPr>
                <w:sz w:val="24"/>
                <w:szCs w:val="24"/>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OO</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0" w:right="140" w:hanging="436"/>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 of class was calculated based on 23,340,544 shares of common stock issued and outstanding as of November 8, 2019, as disclosed in the Issuer’s 10-Q filed with the Securities and Exchange Commission on November 14, 2019.</w:t>
      </w:r>
    </w:p>
    <w:p>
      <w:pPr>
        <w:sectPr>
          <w:pgSz w:w="11900" w:h="16838" w:orient="portrait"/>
          <w:cols w:equalWidth="0" w:num="1">
            <w:col w:w="11040"/>
          </w:cols>
          <w:pgMar w:left="440" w:top="265" w:right="41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CUSIP No. 359616109</w:t>
      </w:r>
    </w:p>
    <w:p>
      <w:pPr>
        <w:spacing w:after="0" w:line="20" w:lineRule="exact"/>
        <w:rPr>
          <w:sz w:val="20"/>
          <w:szCs w:val="20"/>
          <w:color w:val="auto"/>
        </w:rPr>
      </w:pPr>
      <w:r>
        <w:rPr>
          <w:sz w:val="20"/>
          <w:szCs w:val="20"/>
          <w:color w:val="auto"/>
        </w:rPr>
        <w:br w:type="column"/>
      </w:r>
    </w:p>
    <w:p>
      <w:pPr>
        <w:jc w:val="center"/>
        <w:ind w:right="2360"/>
        <w:spacing w:after="0"/>
        <w:rPr>
          <w:sz w:val="20"/>
          <w:szCs w:val="20"/>
          <w:color w:val="auto"/>
        </w:rPr>
      </w:pPr>
      <w:r>
        <w:rPr>
          <w:rFonts w:ascii="Arial" w:cs="Arial" w:eastAsia="Arial" w:hAnsi="Arial"/>
          <w:sz w:val="19"/>
          <w:szCs w:val="19"/>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-217805</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Page 5 of 7 Pages</w:t>
      </w:r>
    </w:p>
    <w:p>
      <w:pPr>
        <w:spacing w:after="0" w:line="198" w:lineRule="exact"/>
        <w:rPr>
          <w:sz w:val="20"/>
          <w:szCs w:val="20"/>
          <w:color w:val="auto"/>
        </w:rPr>
      </w:pPr>
    </w:p>
    <w:p>
      <w:pPr>
        <w:sectPr>
          <w:pgSz w:w="11900" w:h="16838" w:orient="portrait"/>
          <w:cols w:equalWidth="0" w:num="3">
            <w:col w:w="4280" w:space="720"/>
            <w:col w:w="3860" w:space="720"/>
            <w:col w:w="1440"/>
          </w:cols>
          <w:pgMar w:left="440" w:top="265" w:right="439" w:bottom="1440" w:gutter="0" w:footer="0" w:header="0"/>
        </w:sectPr>
      </w:pPr>
    </w:p>
    <w:p>
      <w:pPr>
        <w:spacing w:after="0"/>
        <w:rPr>
          <w:sz w:val="20"/>
          <w:szCs w:val="20"/>
          <w:color w:val="auto"/>
        </w:rPr>
      </w:pPr>
      <w:r>
        <w:rPr>
          <w:rFonts w:ascii="Arial" w:cs="Arial" w:eastAsia="Arial" w:hAnsi="Arial"/>
          <w:sz w:val="17"/>
          <w:szCs w:val="17"/>
          <w:b w:val="1"/>
          <w:bCs w:val="1"/>
          <w:color w:val="auto"/>
        </w:rPr>
        <w:t>Item 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Issuer</w:t>
      </w:r>
    </w:p>
    <w:p>
      <w:pPr>
        <w:spacing w:after="0" w:line="144" w:lineRule="exact"/>
        <w:rPr>
          <w:sz w:val="20"/>
          <w:szCs w:val="20"/>
          <w:color w:val="auto"/>
        </w:rPr>
      </w:pPr>
    </w:p>
    <w:p>
      <w:pPr>
        <w:sectPr>
          <w:pgSz w:w="11900" w:h="16838" w:orient="portrait"/>
          <w:cols w:equalWidth="0" w:num="2">
            <w:col w:w="1280" w:space="720"/>
            <w:col w:w="9020"/>
          </w:cols>
          <w:pgMar w:left="440" w:top="265" w:right="439" w:bottom="1440" w:gutter="0" w:footer="0" w:header="0"/>
          <w:type w:val="continuous"/>
        </w:sectPr>
      </w:pPr>
    </w:p>
    <w:p>
      <w:pPr>
        <w:ind w:left="2000" w:hanging="1213"/>
        <w:spacing w:after="0"/>
        <w:tabs>
          <w:tab w:leader="none" w:pos="20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113" w:lineRule="exact"/>
        <w:rPr>
          <w:rFonts w:ascii="Arial" w:cs="Arial" w:eastAsia="Arial" w:hAnsi="Arial"/>
          <w:sz w:val="18"/>
          <w:szCs w:val="18"/>
          <w:color w:val="auto"/>
        </w:rPr>
      </w:pPr>
    </w:p>
    <w:p>
      <w:pPr>
        <w:ind w:left="2000"/>
        <w:spacing w:after="0"/>
        <w:rPr>
          <w:rFonts w:ascii="Arial" w:cs="Arial" w:eastAsia="Arial" w:hAnsi="Arial"/>
          <w:sz w:val="18"/>
          <w:szCs w:val="18"/>
          <w:color w:val="auto"/>
        </w:rPr>
      </w:pPr>
      <w:r>
        <w:rPr>
          <w:rFonts w:ascii="Arial" w:cs="Arial" w:eastAsia="Arial" w:hAnsi="Arial"/>
          <w:sz w:val="18"/>
          <w:szCs w:val="18"/>
          <w:color w:val="auto"/>
        </w:rPr>
        <w:t>Fulcrum Therapeutics, Inc. (the “</w:t>
      </w:r>
      <w:r>
        <w:rPr>
          <w:rFonts w:ascii="Arial" w:cs="Arial" w:eastAsia="Arial" w:hAnsi="Arial"/>
          <w:sz w:val="18"/>
          <w:szCs w:val="18"/>
          <w:b w:val="1"/>
          <w:bCs w:val="1"/>
          <w:color w:val="auto"/>
        </w:rPr>
        <w:t>Issuer</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2000" w:hanging="1213"/>
        <w:spacing w:after="0"/>
        <w:tabs>
          <w:tab w:leader="none" w:pos="20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Address of Issuer’s Principal Executive Offices:</w:t>
      </w:r>
    </w:p>
    <w:p>
      <w:pPr>
        <w:spacing w:after="0" w:line="140" w:lineRule="exact"/>
        <w:rPr>
          <w:rFonts w:ascii="Arial" w:cs="Arial" w:eastAsia="Arial" w:hAnsi="Arial"/>
          <w:sz w:val="16"/>
          <w:szCs w:val="16"/>
          <w:color w:val="auto"/>
        </w:rPr>
      </w:pPr>
    </w:p>
    <w:p>
      <w:pPr>
        <w:ind w:left="2000" w:right="7340"/>
        <w:spacing w:after="0" w:line="342" w:lineRule="auto"/>
        <w:rPr>
          <w:rFonts w:ascii="Arial" w:cs="Arial" w:eastAsia="Arial" w:hAnsi="Arial"/>
          <w:sz w:val="16"/>
          <w:szCs w:val="16"/>
          <w:color w:val="auto"/>
        </w:rPr>
      </w:pPr>
      <w:r>
        <w:rPr>
          <w:rFonts w:ascii="Arial" w:cs="Arial" w:eastAsia="Arial" w:hAnsi="Arial"/>
          <w:sz w:val="16"/>
          <w:szCs w:val="16"/>
          <w:color w:val="auto"/>
        </w:rPr>
        <w:t>26 Landsdowne Street Cambridge, MA 02139</w:t>
      </w:r>
    </w:p>
    <w:p>
      <w:pPr>
        <w:sectPr>
          <w:pgSz w:w="11900" w:h="16838" w:orient="portrait"/>
          <w:cols w:equalWidth="0" w:num="1">
            <w:col w:w="11020"/>
          </w:cols>
          <w:pgMar w:left="440" w:top="265" w:right="43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Filing Person</w:t>
      </w:r>
    </w:p>
    <w:p>
      <w:pPr>
        <w:spacing w:after="0" w:line="144" w:lineRule="exact"/>
        <w:rPr>
          <w:sz w:val="20"/>
          <w:szCs w:val="20"/>
          <w:color w:val="auto"/>
        </w:rPr>
      </w:pPr>
    </w:p>
    <w:p>
      <w:pPr>
        <w:sectPr>
          <w:pgSz w:w="11900" w:h="16838" w:orient="portrait"/>
          <w:cols w:equalWidth="0" w:num="2">
            <w:col w:w="1280" w:space="720"/>
            <w:col w:w="9020"/>
          </w:cols>
          <w:pgMar w:left="440" w:top="265" w:right="43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(a) – (c)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Name of Persons Filing; Address; Citizenship:</w:t>
      </w:r>
    </w:p>
    <w:p>
      <w:pPr>
        <w:spacing w:after="0" w:line="11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7"/>
          <w:szCs w:val="17"/>
          <w:color w:val="auto"/>
        </w:rPr>
        <w:t>Third Rock Ventures IV, L.P. (“</w:t>
      </w:r>
      <w:r>
        <w:rPr>
          <w:rFonts w:ascii="Arial" w:cs="Arial" w:eastAsia="Arial" w:hAnsi="Arial"/>
          <w:sz w:val="17"/>
          <w:szCs w:val="17"/>
          <w:b w:val="1"/>
          <w:bCs w:val="1"/>
          <w:color w:val="auto"/>
        </w:rPr>
        <w:t>TRV IV</w:t>
      </w:r>
      <w:r>
        <w:rPr>
          <w:rFonts w:ascii="Arial" w:cs="Arial" w:eastAsia="Arial" w:hAnsi="Arial"/>
          <w:sz w:val="17"/>
          <w:szCs w:val="17"/>
          <w:color w:val="auto"/>
        </w:rPr>
        <w: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(ii)  Third Rock Ventures GP IV, L.P. (“</w:t>
      </w:r>
      <w:r>
        <w:rPr>
          <w:rFonts w:ascii="Arial" w:cs="Arial" w:eastAsia="Arial" w:hAnsi="Arial"/>
          <w:sz w:val="18"/>
          <w:szCs w:val="18"/>
          <w:b w:val="1"/>
          <w:bCs w:val="1"/>
          <w:color w:val="auto"/>
        </w:rPr>
        <w:t>TRV GP IV</w:t>
      </w:r>
      <w:r>
        <w:rPr>
          <w:rFonts w:ascii="Arial" w:cs="Arial" w:eastAsia="Arial" w:hAnsi="Arial"/>
          <w:sz w:val="18"/>
          <w:szCs w:val="18"/>
          <w:color w:val="auto"/>
        </w:rPr>
        <w:t>”), which is the sole general partner of TRV IV; and</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(iii) TRV GP IV, LLC (“</w:t>
      </w:r>
      <w:r>
        <w:rPr>
          <w:rFonts w:ascii="Arial" w:cs="Arial" w:eastAsia="Arial" w:hAnsi="Arial"/>
          <w:sz w:val="17"/>
          <w:szCs w:val="17"/>
          <w:b w:val="1"/>
          <w:bCs w:val="1"/>
          <w:color w:val="auto"/>
        </w:rPr>
        <w:t>TRV GP IV LLC</w:t>
      </w:r>
      <w:r>
        <w:rPr>
          <w:rFonts w:ascii="Arial" w:cs="Arial" w:eastAsia="Arial" w:hAnsi="Arial"/>
          <w:sz w:val="17"/>
          <w:szCs w:val="17"/>
          <w:color w:val="auto"/>
        </w:rPr>
        <w:t>,” and collectively with TRV IV and TRV GP IV, the “</w:t>
      </w:r>
      <w:r>
        <w:rPr>
          <w:rFonts w:ascii="Arial" w:cs="Arial" w:eastAsia="Arial" w:hAnsi="Arial"/>
          <w:sz w:val="17"/>
          <w:szCs w:val="17"/>
          <w:b w:val="1"/>
          <w:bCs w:val="1"/>
          <w:color w:val="auto"/>
        </w:rPr>
        <w:t>Reporting Persons</w:t>
      </w:r>
      <w:r>
        <w:rPr>
          <w:rFonts w:ascii="Arial" w:cs="Arial" w:eastAsia="Arial" w:hAnsi="Arial"/>
          <w:sz w:val="17"/>
          <w:szCs w:val="17"/>
          <w:color w:val="auto"/>
        </w:rPr>
        <w:t>”),</w:t>
      </w:r>
    </w:p>
    <w:p>
      <w:pPr>
        <w:spacing w:after="0" w:line="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which is the sole general partner of TRV GP IV.</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The address of the principal business office of each of the Reporting Persons is Third Rock Ventures, LLC, 29 Newbury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Street, 3rd Floor, Boston, MA 02116.</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Each of TRV IV and TRV GP IV is a Delaware limited partnership. TRV GP IV LLC is a Delaware limited liability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116" w:lineRule="exact"/>
        <w:rPr>
          <w:sz w:val="20"/>
          <w:szCs w:val="20"/>
          <w:color w:val="auto"/>
        </w:rPr>
      </w:pPr>
    </w:p>
    <w:p>
      <w:pPr>
        <w:sectPr>
          <w:pgSz w:w="11900" w:h="16838" w:orient="portrait"/>
          <w:cols w:equalWidth="0" w:num="2">
            <w:col w:w="1360" w:space="640"/>
            <w:col w:w="9020"/>
          </w:cols>
          <w:pgMar w:left="440" w:top="265" w:right="439" w:bottom="1440" w:gutter="0" w:footer="0" w:header="0"/>
          <w:type w:val="continuous"/>
        </w:sectPr>
      </w:pPr>
    </w:p>
    <w:p>
      <w:pPr>
        <w:ind w:left="2000" w:hanging="1213"/>
        <w:spacing w:after="0"/>
        <w:tabs>
          <w:tab w:leader="none" w:pos="2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Title of Class of Securities:</w:t>
      </w:r>
    </w:p>
    <w:p>
      <w:pPr>
        <w:spacing w:after="0" w:line="113" w:lineRule="exact"/>
        <w:rPr>
          <w:rFonts w:ascii="Arial" w:cs="Arial" w:eastAsia="Arial" w:hAnsi="Arial"/>
          <w:sz w:val="18"/>
          <w:szCs w:val="18"/>
          <w:color w:val="auto"/>
        </w:rPr>
      </w:pPr>
    </w:p>
    <w:p>
      <w:pPr>
        <w:ind w:left="2000"/>
        <w:spacing w:after="0"/>
        <w:rPr>
          <w:rFonts w:ascii="Arial" w:cs="Arial" w:eastAsia="Arial" w:hAnsi="Arial"/>
          <w:sz w:val="18"/>
          <w:szCs w:val="18"/>
          <w:color w:val="auto"/>
        </w:rPr>
      </w:pPr>
      <w:r>
        <w:rPr>
          <w:rFonts w:ascii="Arial" w:cs="Arial" w:eastAsia="Arial" w:hAnsi="Arial"/>
          <w:sz w:val="18"/>
          <w:szCs w:val="18"/>
          <w:color w:val="auto"/>
        </w:rPr>
        <w:t>Common stock, $0.001 par value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2000" w:right="7820" w:hanging="1213"/>
        <w:spacing w:after="0" w:line="437" w:lineRule="auto"/>
        <w:tabs>
          <w:tab w:leader="none" w:pos="20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359616109</w:t>
      </w:r>
    </w:p>
    <w:p>
      <w:pPr>
        <w:spacing w:after="0" w:line="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Rules 13d-1(b), or 13d-2(b) or (c), check whether the person filing is a:</w:t>
      </w:r>
    </w:p>
    <w:p>
      <w:pPr>
        <w:spacing w:after="0" w:line="88" w:lineRule="exact"/>
        <w:rPr>
          <w:sz w:val="20"/>
          <w:szCs w:val="20"/>
          <w:color w:val="auto"/>
        </w:rPr>
      </w:pPr>
    </w:p>
    <w:p>
      <w:pPr>
        <w:ind w:left="2000" w:hanging="1213"/>
        <w:spacing w:after="0" w:line="207" w:lineRule="exact"/>
        <w:tabs>
          <w:tab w:leader="none" w:pos="2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2000" w:hanging="1213"/>
        <w:spacing w:after="0" w:line="207" w:lineRule="exact"/>
        <w:tabs>
          <w:tab w:leader="none" w:pos="2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2000" w:hanging="1213"/>
        <w:spacing w:after="0" w:line="207" w:lineRule="exact"/>
        <w:tabs>
          <w:tab w:leader="none" w:pos="2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2000" w:hanging="1213"/>
        <w:spacing w:after="0" w:line="207" w:lineRule="exact"/>
        <w:tabs>
          <w:tab w:leader="none" w:pos="2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2000" w:hanging="1213"/>
        <w:spacing w:after="0" w:line="207" w:lineRule="exact"/>
        <w:tabs>
          <w:tab w:leader="none" w:pos="2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2000" w:hanging="1213"/>
        <w:spacing w:after="0" w:line="207" w:lineRule="exact"/>
        <w:tabs>
          <w:tab w:leader="none" w:pos="2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2000" w:hanging="1213"/>
        <w:spacing w:after="0" w:line="207" w:lineRule="exact"/>
        <w:tabs>
          <w:tab w:leader="none" w:pos="2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2000" w:hanging="1213"/>
        <w:spacing w:after="0" w:line="207" w:lineRule="exact"/>
        <w:tabs>
          <w:tab w:leader="none" w:pos="2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2320" w:right="200" w:hanging="1533"/>
        <w:spacing w:after="0" w:line="239" w:lineRule="exact"/>
        <w:tabs>
          <w:tab w:leader="none" w:pos="1996"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spacing w:after="0" w:line="62" w:lineRule="exact"/>
        <w:rPr>
          <w:rFonts w:ascii="Arial" w:cs="Arial" w:eastAsia="Arial" w:hAnsi="Arial"/>
          <w:sz w:val="18"/>
          <w:szCs w:val="18"/>
          <w:color w:val="auto"/>
        </w:rPr>
      </w:pPr>
    </w:p>
    <w:p>
      <w:pPr>
        <w:ind w:left="2000" w:hanging="1213"/>
        <w:spacing w:after="0" w:line="207" w:lineRule="exact"/>
        <w:tabs>
          <w:tab w:leader="none" w:pos="200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ectPr>
          <w:pgSz w:w="11900" w:h="16838" w:orient="portrait"/>
          <w:cols w:equalWidth="0" w:num="1">
            <w:col w:w="11020"/>
          </w:cols>
          <w:pgMar w:left="440" w:top="265" w:right="439" w:bottom="1440" w:gutter="0" w:footer="0" w:header="0"/>
          <w:type w:val="continuous"/>
        </w:sectPr>
      </w:pPr>
    </w:p>
    <w:bookmarkStart w:id="5" w:name="page6"/>
    <w:bookmarkEnd w:id="5"/>
    <w:p>
      <w:pPr>
        <w:spacing w:after="0"/>
        <w:tabs>
          <w:tab w:leader="none" w:pos="4980" w:val="left"/>
          <w:tab w:leader="none" w:pos="9560" w:val="left"/>
        </w:tabs>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359616109</w:t>
      </w:r>
      <w:r>
        <w:rPr>
          <w:sz w:val="20"/>
          <w:szCs w:val="20"/>
          <w:color w:val="auto"/>
        </w:rPr>
        <w:tab/>
      </w:r>
      <w:r>
        <w:rPr>
          <w:rFonts w:ascii="Arial" w:cs="Arial" w:eastAsia="Arial" w:hAnsi="Arial"/>
          <w:sz w:val="20"/>
          <w:szCs w:val="20"/>
          <w:b w:val="1"/>
          <w:bCs w:val="1"/>
          <w:color w:val="auto"/>
        </w:rPr>
        <w:t>SCHEDULE 13G</w:t>
      </w:r>
      <w:r>
        <w:rPr>
          <w:sz w:val="20"/>
          <w:szCs w:val="20"/>
          <w:color w:val="auto"/>
        </w:rPr>
        <w:tab/>
      </w:r>
      <w:r>
        <w:rPr>
          <w:rFonts w:ascii="Arial" w:cs="Arial" w:eastAsia="Arial" w:hAnsi="Arial"/>
          <w:sz w:val="16"/>
          <w:szCs w:val="16"/>
          <w:b w:val="1"/>
          <w:bCs w:val="1"/>
          <w:color w:val="auto"/>
        </w:rPr>
        <w:t>Page 6 of 7 Pages</w:t>
      </w:r>
    </w:p>
    <w:p>
      <w:pPr>
        <w:spacing w:after="0" w:line="232" w:lineRule="exact"/>
        <w:rPr>
          <w:sz w:val="20"/>
          <w:szCs w:val="20"/>
          <w:color w:val="auto"/>
        </w:rPr>
      </w:pPr>
    </w:p>
    <w:p>
      <w:pPr>
        <w:ind w:left="2000" w:hanging="1213"/>
        <w:spacing w:after="0" w:line="196" w:lineRule="exact"/>
        <w:tabs>
          <w:tab w:leader="none" w:pos="2000" w:val="left"/>
        </w:tabs>
        <w:numPr>
          <w:ilvl w:val="0"/>
          <w:numId w:val="9"/>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Group, in accordance with Rule 240.13d-1(b)(1)(ii)(K). If filing as a non-U.S. institution in accordance with Rule</w:t>
      </w:r>
    </w:p>
    <w:p>
      <w:pPr>
        <w:spacing w:after="0" w:line="69" w:lineRule="exact"/>
        <w:rPr>
          <w:rFonts w:ascii="Arial" w:cs="Arial" w:eastAsia="Arial" w:hAnsi="Arial"/>
          <w:sz w:val="17"/>
          <w:szCs w:val="17"/>
          <w:color w:val="auto"/>
        </w:rPr>
      </w:pPr>
    </w:p>
    <w:p>
      <w:pPr>
        <w:ind w:left="2320"/>
        <w:spacing w:after="0"/>
        <w:rPr>
          <w:rFonts w:ascii="Arial" w:cs="Arial" w:eastAsia="Arial" w:hAnsi="Arial"/>
          <w:sz w:val="17"/>
          <w:szCs w:val="17"/>
          <w:color w:val="auto"/>
        </w:rPr>
      </w:pPr>
      <w:r>
        <w:rPr>
          <w:rFonts w:ascii="Arial" w:cs="Arial" w:eastAsia="Arial" w:hAnsi="Arial"/>
          <w:sz w:val="18"/>
          <w:szCs w:val="18"/>
          <w:color w:val="auto"/>
        </w:rPr>
        <w:t>240.13d-1(b)(1)(ii)(J), please specify the type of institution:</w:t>
      </w:r>
    </w:p>
    <w:p>
      <w:pPr>
        <w:spacing w:after="0" w:line="101" w:lineRule="exact"/>
        <w:rPr>
          <w:sz w:val="20"/>
          <w:szCs w:val="20"/>
          <w:color w:val="auto"/>
        </w:rPr>
      </w:pPr>
    </w:p>
    <w:p>
      <w:pPr>
        <w:ind w:left="2000"/>
        <w:spacing w:after="0"/>
        <w:rPr>
          <w:sz w:val="20"/>
          <w:szCs w:val="20"/>
          <w:color w:val="auto"/>
        </w:rPr>
      </w:pPr>
      <w:r>
        <w:rPr>
          <w:rFonts w:ascii="Arial" w:cs="Arial" w:eastAsia="Arial" w:hAnsi="Arial"/>
          <w:sz w:val="18"/>
          <w:szCs w:val="18"/>
          <w:color w:val="auto"/>
        </w:rPr>
        <w:t>If filing as a non-U.S. institution in accordance with §240.13d-1(b)(1)(ii)(J), please specify the type of institution:</w:t>
      </w:r>
    </w:p>
    <w:p>
      <w:pPr>
        <w:spacing w:after="0" w:line="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03" w:lineRule="exact"/>
        <w:rPr>
          <w:sz w:val="20"/>
          <w:szCs w:val="20"/>
          <w:color w:val="auto"/>
        </w:rPr>
      </w:pPr>
    </w:p>
    <w:p>
      <w:pPr>
        <w:ind w:left="1140" w:hanging="245"/>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and (b)</w:t>
      </w:r>
      <w:r>
        <w:rPr>
          <w:rFonts w:ascii="Arial" w:cs="Arial" w:eastAsia="Arial" w:hAnsi="Arial"/>
          <w:sz w:val="16"/>
          <w:szCs w:val="16"/>
          <w:color w:val="auto"/>
        </w:rPr>
        <w:t>Amount beneficially owned:</w:t>
      </w:r>
    </w:p>
    <w:p>
      <w:pPr>
        <w:spacing w:after="0" w:line="113" w:lineRule="exact"/>
        <w:rPr>
          <w:rFonts w:ascii="Arial" w:cs="Arial" w:eastAsia="Arial" w:hAnsi="Arial"/>
          <w:sz w:val="18"/>
          <w:szCs w:val="18"/>
          <w:color w:val="auto"/>
        </w:rPr>
      </w:pPr>
    </w:p>
    <w:p>
      <w:pPr>
        <w:ind w:left="2340" w:right="260" w:hanging="351"/>
        <w:spacing w:after="0" w:line="282" w:lineRule="auto"/>
        <w:tabs>
          <w:tab w:leader="none" w:pos="2327" w:val="left"/>
        </w:tabs>
        <w:numPr>
          <w:ilvl w:val="1"/>
          <w:numId w:val="10"/>
        </w:numPr>
        <w:rPr>
          <w:rFonts w:ascii="Arial" w:cs="Arial" w:eastAsia="Arial" w:hAnsi="Arial"/>
          <w:sz w:val="18"/>
          <w:szCs w:val="18"/>
          <w:color w:val="auto"/>
        </w:rPr>
      </w:pPr>
      <w:r>
        <w:rPr>
          <w:rFonts w:ascii="Arial" w:cs="Arial" w:eastAsia="Arial" w:hAnsi="Arial"/>
          <w:sz w:val="18"/>
          <w:szCs w:val="18"/>
          <w:color w:val="auto"/>
        </w:rPr>
        <w:t>TRV IV directly owns 2,343,154 shares of Common Stock (the “</w:t>
      </w:r>
      <w:r>
        <w:rPr>
          <w:rFonts w:ascii="Arial" w:cs="Arial" w:eastAsia="Arial" w:hAnsi="Arial"/>
          <w:sz w:val="18"/>
          <w:szCs w:val="18"/>
          <w:b w:val="1"/>
          <w:bCs w:val="1"/>
          <w:color w:val="auto"/>
        </w:rPr>
        <w:t>Shares</w:t>
      </w:r>
      <w:r>
        <w:rPr>
          <w:rFonts w:ascii="Arial" w:cs="Arial" w:eastAsia="Arial" w:hAnsi="Arial"/>
          <w:sz w:val="18"/>
          <w:szCs w:val="18"/>
          <w:color w:val="auto"/>
        </w:rPr>
        <w:t>”), which represents approximately 10.0% of the outstanding shares of Common Stock.</w:t>
      </w:r>
    </w:p>
    <w:p>
      <w:pPr>
        <w:spacing w:after="0" w:line="57" w:lineRule="exact"/>
        <w:rPr>
          <w:rFonts w:ascii="Arial" w:cs="Arial" w:eastAsia="Arial" w:hAnsi="Arial"/>
          <w:sz w:val="18"/>
          <w:szCs w:val="18"/>
          <w:color w:val="auto"/>
        </w:rPr>
      </w:pPr>
    </w:p>
    <w:p>
      <w:pPr>
        <w:ind w:left="2340" w:hanging="351"/>
        <w:spacing w:after="0"/>
        <w:tabs>
          <w:tab w:leader="none" w:pos="23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TRV GP IV is the general partner of TRV IV and may be deemed to beneficially own the Shares.</w:t>
      </w:r>
    </w:p>
    <w:p>
      <w:pPr>
        <w:spacing w:after="0" w:line="117" w:lineRule="exact"/>
        <w:rPr>
          <w:rFonts w:ascii="Arial" w:cs="Arial" w:eastAsia="Arial" w:hAnsi="Arial"/>
          <w:sz w:val="18"/>
          <w:szCs w:val="18"/>
          <w:color w:val="auto"/>
        </w:rPr>
      </w:pPr>
    </w:p>
    <w:p>
      <w:pPr>
        <w:ind w:left="2320" w:hanging="331"/>
        <w:spacing w:after="0"/>
        <w:tabs>
          <w:tab w:leader="none" w:pos="23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TRV GP IV LLC is the general partner of TRV GP IV and may be deemed to beneficially own the Shares.</w:t>
      </w:r>
    </w:p>
    <w:p>
      <w:pPr>
        <w:spacing w:after="0" w:line="117" w:lineRule="exact"/>
        <w:rPr>
          <w:sz w:val="20"/>
          <w:szCs w:val="20"/>
          <w:color w:val="auto"/>
        </w:rPr>
      </w:pPr>
    </w:p>
    <w:p>
      <w:pPr>
        <w:ind w:left="1980" w:hanging="1085"/>
        <w:spacing w:after="0"/>
        <w:tabs>
          <w:tab w:leader="none" w:pos="1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1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Reporting Person</w:t>
            </w:r>
          </w:p>
        </w:tc>
        <w:tc>
          <w:tcPr>
            <w:tcW w:w="3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Number of Shares of Common Stock</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40" w:type="dxa"/>
            <w:vAlign w:val="bottom"/>
            <w:gridSpan w:val="2"/>
            <w:vMerge w:val="continue"/>
          </w:tcPr>
          <w:p>
            <w:pPr>
              <w:spacing w:after="0"/>
              <w:rPr>
                <w:sz w:val="12"/>
                <w:szCs w:val="12"/>
                <w:color w:val="auto"/>
              </w:rPr>
            </w:pPr>
          </w:p>
        </w:tc>
        <w:tc>
          <w:tcPr>
            <w:tcW w:w="3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tcPr>
          <w:p>
            <w:pPr>
              <w:jc w:val="right"/>
              <w:ind w:right="219"/>
              <w:spacing w:after="0" w:line="142" w:lineRule="exact"/>
              <w:rPr>
                <w:sz w:val="20"/>
                <w:szCs w:val="20"/>
                <w:color w:val="auto"/>
              </w:rPr>
            </w:pPr>
            <w:r>
              <w:rPr>
                <w:rFonts w:ascii="Arial" w:cs="Arial" w:eastAsia="Arial" w:hAnsi="Arial"/>
                <w:sz w:val="14"/>
                <w:szCs w:val="14"/>
                <w:color w:val="auto"/>
              </w:rPr>
              <w:t>(i)</w:t>
            </w:r>
          </w:p>
        </w:tc>
        <w:tc>
          <w:tcPr>
            <w:tcW w:w="420" w:type="dxa"/>
            <w:vAlign w:val="bottom"/>
          </w:tcPr>
          <w:p>
            <w:pPr>
              <w:spacing w:after="0"/>
              <w:rPr>
                <w:sz w:val="12"/>
                <w:szCs w:val="12"/>
                <w:color w:val="auto"/>
              </w:rPr>
            </w:pPr>
          </w:p>
        </w:tc>
        <w:tc>
          <w:tcPr>
            <w:tcW w:w="1200" w:type="dxa"/>
            <w:vAlign w:val="bottom"/>
            <w:gridSpan w:val="2"/>
          </w:tcPr>
          <w:p>
            <w:pPr>
              <w:ind w:left="300"/>
              <w:spacing w:after="0" w:line="142" w:lineRule="exact"/>
              <w:rPr>
                <w:sz w:val="20"/>
                <w:szCs w:val="20"/>
                <w:color w:val="auto"/>
              </w:rPr>
            </w:pPr>
            <w:r>
              <w:rPr>
                <w:rFonts w:ascii="Arial" w:cs="Arial" w:eastAsia="Arial" w:hAnsi="Arial"/>
                <w:sz w:val="14"/>
                <w:szCs w:val="14"/>
                <w:color w:val="auto"/>
              </w:rPr>
              <w:t>(ii)</w:t>
            </w:r>
          </w:p>
        </w:tc>
        <w:tc>
          <w:tcPr>
            <w:tcW w:w="1220" w:type="dxa"/>
            <w:vAlign w:val="bottom"/>
            <w:gridSpan w:val="2"/>
          </w:tcPr>
          <w:p>
            <w:pPr>
              <w:ind w:left="280"/>
              <w:spacing w:after="0" w:line="142" w:lineRule="exact"/>
              <w:rPr>
                <w:sz w:val="20"/>
                <w:szCs w:val="20"/>
                <w:color w:val="auto"/>
              </w:rPr>
            </w:pPr>
            <w:r>
              <w:rPr>
                <w:rFonts w:ascii="Arial" w:cs="Arial" w:eastAsia="Arial" w:hAnsi="Arial"/>
                <w:sz w:val="14"/>
                <w:szCs w:val="14"/>
                <w:color w:val="auto"/>
              </w:rPr>
              <w:t>(iii)</w:t>
            </w:r>
          </w:p>
        </w:tc>
        <w:tc>
          <w:tcPr>
            <w:tcW w:w="800" w:type="dxa"/>
            <w:vAlign w:val="bottom"/>
          </w:tcPr>
          <w:p>
            <w:pPr>
              <w:jc w:val="right"/>
              <w:ind w:right="214"/>
              <w:spacing w:after="0" w:line="142" w:lineRule="exact"/>
              <w:rPr>
                <w:sz w:val="20"/>
                <w:szCs w:val="20"/>
                <w:color w:val="auto"/>
              </w:rPr>
            </w:pPr>
            <w:r>
              <w:rPr>
                <w:rFonts w:ascii="Arial" w:cs="Arial" w:eastAsia="Arial" w:hAnsi="Arial"/>
                <w:sz w:val="14"/>
                <w:szCs w:val="14"/>
                <w:color w:val="auto"/>
              </w:rPr>
              <w:t>(iv)</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TRV IV</w:t>
            </w:r>
          </w:p>
        </w:tc>
        <w:tc>
          <w:tcPr>
            <w:tcW w:w="3840" w:type="dxa"/>
            <w:vAlign w:val="bottom"/>
            <w:tcBorders>
              <w:top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w:t>
            </w:r>
          </w:p>
        </w:tc>
        <w:tc>
          <w:tcPr>
            <w:tcW w:w="420" w:type="dxa"/>
            <w:vAlign w:val="bottom"/>
          </w:tcPr>
          <w:p>
            <w:pPr>
              <w:spacing w:after="0"/>
              <w:rPr>
                <w:sz w:val="16"/>
                <w:szCs w:val="16"/>
                <w:color w:val="auto"/>
              </w:rPr>
            </w:pP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4"/>
              </w:rPr>
              <w:t>2,343,154</w:t>
            </w:r>
          </w:p>
        </w:tc>
        <w:tc>
          <w:tcPr>
            <w:tcW w:w="42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0</w:t>
            </w:r>
          </w:p>
        </w:tc>
        <w:tc>
          <w:tcPr>
            <w:tcW w:w="420" w:type="dxa"/>
            <w:vAlign w:val="bottom"/>
          </w:tcPr>
          <w:p>
            <w:pPr>
              <w:spacing w:after="0"/>
              <w:rPr>
                <w:sz w:val="16"/>
                <w:szCs w:val="16"/>
                <w:color w:val="auto"/>
              </w:rPr>
            </w:pPr>
          </w:p>
        </w:tc>
        <w:tc>
          <w:tcPr>
            <w:tcW w:w="8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7"/>
              </w:rPr>
              <w:t>2,343,154</w:t>
            </w:r>
          </w:p>
        </w:tc>
        <w:tc>
          <w:tcPr>
            <w:tcW w:w="0" w:type="dxa"/>
            <w:vAlign w:val="bottom"/>
          </w:tcPr>
          <w:p>
            <w:pPr>
              <w:spacing w:after="0"/>
              <w:rPr>
                <w:sz w:val="1"/>
                <w:szCs w:val="1"/>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8"/>
                <w:szCs w:val="18"/>
                <w:color w:val="auto"/>
              </w:rPr>
              <w:t>TRV GP IV</w:t>
            </w:r>
          </w:p>
        </w:tc>
        <w:tc>
          <w:tcPr>
            <w:tcW w:w="492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2,343,154</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2,343,154</w:t>
            </w:r>
          </w:p>
        </w:tc>
        <w:tc>
          <w:tcPr>
            <w:tcW w:w="0" w:type="dxa"/>
            <w:vAlign w:val="bottom"/>
          </w:tcPr>
          <w:p>
            <w:pPr>
              <w:spacing w:after="0"/>
              <w:rPr>
                <w:sz w:val="1"/>
                <w:szCs w:val="1"/>
                <w:color w:val="auto"/>
              </w:rPr>
            </w:pPr>
          </w:p>
        </w:tc>
      </w:tr>
      <w:tr>
        <w:trPr>
          <w:trHeight w:val="230"/>
        </w:trPr>
        <w:tc>
          <w:tcPr>
            <w:tcW w:w="1440" w:type="dxa"/>
            <w:vAlign w:val="bottom"/>
            <w:gridSpan w:val="2"/>
          </w:tcPr>
          <w:p>
            <w:pPr>
              <w:spacing w:after="0"/>
              <w:rPr>
                <w:sz w:val="20"/>
                <w:szCs w:val="20"/>
                <w:color w:val="auto"/>
              </w:rPr>
            </w:pPr>
            <w:r>
              <w:rPr>
                <w:rFonts w:ascii="Arial" w:cs="Arial" w:eastAsia="Arial" w:hAnsi="Arial"/>
                <w:sz w:val="18"/>
                <w:szCs w:val="18"/>
                <w:color w:val="auto"/>
              </w:rPr>
              <w:t>TRV GP IV LLC</w:t>
            </w:r>
          </w:p>
        </w:tc>
        <w:tc>
          <w:tcPr>
            <w:tcW w:w="492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2,343,154</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w:t>
            </w:r>
          </w:p>
        </w:tc>
        <w:tc>
          <w:tcPr>
            <w:tcW w:w="4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2,343,154</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340" w:type="dxa"/>
            <w:vAlign w:val="bottom"/>
            <w:gridSpan w:val="4"/>
          </w:tcPr>
          <w:p>
            <w:pPr>
              <w:ind w:left="1120"/>
              <w:spacing w:after="0"/>
              <w:rPr>
                <w:sz w:val="20"/>
                <w:szCs w:val="20"/>
                <w:color w:val="auto"/>
              </w:rPr>
            </w:pPr>
            <w:r>
              <w:rPr>
                <w:rFonts w:ascii="Arial" w:cs="Arial" w:eastAsia="Arial" w:hAnsi="Arial"/>
                <w:sz w:val="18"/>
                <w:szCs w:val="18"/>
                <w:color w:val="auto"/>
              </w:rPr>
              <w:t>(i)  Sole power to vote or direct the vote</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340" w:type="dxa"/>
            <w:vAlign w:val="bottom"/>
            <w:gridSpan w:val="4"/>
          </w:tcPr>
          <w:p>
            <w:pPr>
              <w:ind w:left="1120"/>
              <w:spacing w:after="0"/>
              <w:rPr>
                <w:sz w:val="20"/>
                <w:szCs w:val="20"/>
                <w:color w:val="auto"/>
              </w:rPr>
            </w:pPr>
            <w:r>
              <w:rPr>
                <w:rFonts w:ascii="Arial" w:cs="Arial" w:eastAsia="Arial" w:hAnsi="Arial"/>
                <w:sz w:val="18"/>
                <w:szCs w:val="18"/>
                <w:color w:val="auto"/>
              </w:rPr>
              <w:t>(ii)  Shared power to vote or to direct the vote</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6340" w:type="dxa"/>
            <w:vAlign w:val="bottom"/>
            <w:gridSpan w:val="4"/>
          </w:tcPr>
          <w:p>
            <w:pPr>
              <w:ind w:left="1120"/>
              <w:spacing w:after="0"/>
              <w:rPr>
                <w:sz w:val="20"/>
                <w:szCs w:val="20"/>
                <w:color w:val="auto"/>
              </w:rPr>
            </w:pPr>
            <w:r>
              <w:rPr>
                <w:rFonts w:ascii="Arial" w:cs="Arial" w:eastAsia="Arial" w:hAnsi="Arial"/>
                <w:sz w:val="18"/>
                <w:szCs w:val="18"/>
                <w:color w:val="auto"/>
              </w:rPr>
              <w:t>(iii) Sole power to dispose or to direct the disposition of</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420" w:type="dxa"/>
            <w:vAlign w:val="bottom"/>
          </w:tcPr>
          <w:p>
            <w:pPr>
              <w:ind w:left="1120"/>
              <w:spacing w:after="0"/>
              <w:rPr>
                <w:sz w:val="20"/>
                <w:szCs w:val="20"/>
                <w:color w:val="auto"/>
              </w:rPr>
            </w:pPr>
            <w:r>
              <w:rPr>
                <w:rFonts w:ascii="Arial" w:cs="Arial" w:eastAsia="Arial" w:hAnsi="Arial"/>
                <w:sz w:val="18"/>
                <w:szCs w:val="18"/>
                <w:color w:val="auto"/>
              </w:rPr>
              <w:t>(iv)</w:t>
            </w:r>
          </w:p>
        </w:tc>
        <w:tc>
          <w:tcPr>
            <w:tcW w:w="4920" w:type="dxa"/>
            <w:vAlign w:val="bottom"/>
            <w:gridSpan w:val="3"/>
          </w:tcPr>
          <w:p>
            <w:pPr>
              <w:jc w:val="right"/>
              <w:ind w:right="899"/>
              <w:spacing w:after="0"/>
              <w:rPr>
                <w:sz w:val="20"/>
                <w:szCs w:val="20"/>
                <w:color w:val="auto"/>
              </w:rPr>
            </w:pPr>
            <w:r>
              <w:rPr>
                <w:rFonts w:ascii="Arial" w:cs="Arial" w:eastAsia="Arial" w:hAnsi="Arial"/>
                <w:sz w:val="18"/>
                <w:szCs w:val="18"/>
                <w:color w:val="auto"/>
                <w:w w:val="91"/>
              </w:rPr>
              <w:t>Shared power to dispose or to direct the disposition of</w:t>
            </w: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900" w:right="540"/>
        <w:spacing w:after="0" w:line="308" w:lineRule="auto"/>
        <w:rPr>
          <w:sz w:val="20"/>
          <w:szCs w:val="20"/>
          <w:color w:val="auto"/>
        </w:rPr>
      </w:pPr>
      <w:r>
        <w:rPr>
          <w:rFonts w:ascii="Arial" w:cs="Arial" w:eastAsia="Arial" w:hAnsi="Arial"/>
          <w:sz w:val="17"/>
          <w:szCs w:val="17"/>
          <w:color w:val="auto"/>
        </w:rPr>
        <w:t>The percent of class was calculated based on 23,340,544 shares of common stock issued and outstanding as of November 8, 2019, as disclosed in the Issuer’s 10-Q filed with the Securities and Exchange Commission on November 14, 2019.</w:t>
      </w:r>
    </w:p>
    <w:p>
      <w:pPr>
        <w:spacing w:after="0" w:line="3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ind w:left="900" w:right="780" w:hanging="904"/>
        <w:spacing w:after="0" w:line="282" w:lineRule="auto"/>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7"/>
          <w:szCs w:val="17"/>
          <w:b w:val="1"/>
          <w:bCs w:val="1"/>
          <w:color w:val="auto"/>
        </w:rPr>
        <w:t>Certification.</w:t>
      </w:r>
    </w:p>
    <w:p>
      <w:pPr>
        <w:spacing w:after="0" w:line="12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20"/>
          </w:cols>
          <w:pgMar w:left="440" w:top="265" w:right="439" w:bottom="1440" w:gutter="0" w:footer="0" w:header="0"/>
        </w:sectPr>
      </w:pPr>
    </w:p>
    <w:bookmarkStart w:id="6" w:name="page7"/>
    <w:bookmarkEnd w:id="6"/>
    <w:p>
      <w:pPr>
        <w:spacing w:after="0"/>
        <w:tabs>
          <w:tab w:leader="none" w:pos="4980" w:val="left"/>
          <w:tab w:leader="none" w:pos="9560" w:val="left"/>
        </w:tabs>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359616109</w:t>
      </w:r>
      <w:r>
        <w:rPr>
          <w:sz w:val="20"/>
          <w:szCs w:val="20"/>
          <w:color w:val="auto"/>
        </w:rPr>
        <w:tab/>
      </w:r>
      <w:r>
        <w:rPr>
          <w:rFonts w:ascii="Arial" w:cs="Arial" w:eastAsia="Arial" w:hAnsi="Arial"/>
          <w:sz w:val="20"/>
          <w:szCs w:val="20"/>
          <w:b w:val="1"/>
          <w:bCs w:val="1"/>
          <w:color w:val="auto"/>
        </w:rPr>
        <w:t>SCHEDULE 13G</w:t>
      </w:r>
      <w:r>
        <w:rPr>
          <w:sz w:val="20"/>
          <w:szCs w:val="20"/>
          <w:color w:val="auto"/>
        </w:rPr>
        <w:tab/>
      </w:r>
      <w:r>
        <w:rPr>
          <w:rFonts w:ascii="Arial" w:cs="Arial" w:eastAsia="Arial" w:hAnsi="Arial"/>
          <w:sz w:val="16"/>
          <w:szCs w:val="16"/>
          <w:b w:val="1"/>
          <w:bCs w:val="1"/>
          <w:color w:val="auto"/>
        </w:rPr>
        <w:t>Page 7 of 7 Pages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120" w:firstLine="441"/>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THIRD ROCK VENTURES GP IV,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GP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TRV GP IV,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ectPr>
          <w:pgSz w:w="11900" w:h="16838" w:orient="portrait"/>
          <w:cols w:equalWidth="0" w:num="1">
            <w:col w:w="11020"/>
          </w:cols>
          <w:pgMar w:left="440" w:top="265" w:right="4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THIRD ROCK VENTURES GP IV,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THIRD ROCK VENTURES GP IV,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TRV GP IV,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p>
      <w:pPr>
        <w:spacing w:after="0" w:line="220"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TRV GP IV,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Kevin Gillis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Operating Officer</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1"/>
    </w:lvl>
  </w:abstractNum>
  <w:abstractNum w:abstractNumId="4">
    <w:nsid w:val="7545E146"/>
    <w:multiLevelType w:val="hybridMultilevel"/>
    <w:lvl w:ilvl="0">
      <w:lvlJc w:val="left"/>
      <w:lvlText w:val="(%1)"/>
      <w:numFmt w:val="decimal"/>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4"/>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1"/>
    </w:lvl>
  </w:abstractNum>
  <w:abstractNum w:abstractNumId="9">
    <w:nsid w:val="216231B"/>
    <w:multiLevelType w:val="hybridMultilevel"/>
    <w:lvl w:ilvl="0">
      <w:lvlJc w:val="left"/>
      <w:lvlText w:val="(%1)"/>
      <w:numFmt w:val="lowerLetter"/>
      <w:start w:val="1"/>
    </w:lvl>
    <w:lvl w:ilvl="1">
      <w:lvlJc w:val="left"/>
      <w:lvlText w:val="(%2)"/>
      <w:numFmt w:val="lowerRoman"/>
      <w:start w:val="1"/>
    </w:lvl>
  </w:abstractNum>
  <w:abstractNum w:abstractNumId="10">
    <w:nsid w:val="1F16E9E8"/>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2020-02-05T15:37:04Z</dcterms:created>
  <dcterms:modified xsi:type="dcterms:W3CDTF">2020-02-05T15:37:04Z</dcterms:modified>
</cp:coreProperties>
</file>