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2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jc w:val="center"/>
              <w:ind w:righ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00" w:type="dxa"/>
            <w:vAlign w:val="bottom"/>
            <w:gridSpan w:val="19"/>
            <w:vMerge w:val="restart"/>
          </w:tcPr>
          <w:p>
            <w:pPr>
              <w:jc w:val="center"/>
              <w:ind w:left="16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ind w:left="2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  <w:vMerge w:val="restart"/>
          </w:tcPr>
          <w:p>
            <w:pPr>
              <w:jc w:val="center"/>
              <w:ind w:left="7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Oltmans Curtis Gale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Fulcrum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FULC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SVP, General Counsel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FULCRUM THERAPEUTICS, INC.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 LANDSDOWNE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0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1,088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1,248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-5669280</wp:posOffset>
            </wp:positionV>
            <wp:extent cx="7044055" cy="56826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8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Consists of 1,248 shares acquired under the Issuer's 2019 Employee Stock Purchase Plan on November 12, 2021.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Curt Oltmans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01/07/2022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714982" TargetMode="External"/><Relationship Id="rId9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2022-01-07T15:18:55Z</dcterms:created>
  <dcterms:modified xsi:type="dcterms:W3CDTF">2022-01-07T15:18:55Z</dcterms:modified>
</cp:coreProperties>
</file>