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700" w:hanging="3812"/>
        <w:spacing w:after="0" w:line="375" w:lineRule="auto"/>
        <w:tabs>
          <w:tab w:leader="none" w:pos="37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51"/>
        </w:trPr>
        <w:tc>
          <w:tcPr>
            <w:tcW w:w="5040" w:type="dxa"/>
            <w:vAlign w:val="bottom"/>
          </w:tcPr>
          <w:p>
            <w:pPr>
              <w:jc w:val="center"/>
              <w:ind w:right="123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40" w:type="dxa"/>
            <w:vAlign w:val="bottom"/>
          </w:tcPr>
          <w:p>
            <w:pPr>
              <w:jc w:val="center"/>
              <w:ind w:left="12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540" w:type="dxa"/>
            <w:vAlign w:val="bottom"/>
          </w:tcPr>
          <w:p>
            <w:pPr>
              <w:spacing w:after="0"/>
              <w:rPr>
                <w:sz w:val="18"/>
                <w:szCs w:val="18"/>
                <w:color w:val="auto"/>
              </w:rPr>
            </w:pPr>
          </w:p>
        </w:tc>
      </w:tr>
      <w:tr>
        <w:trPr>
          <w:trHeight w:val="214"/>
        </w:trPr>
        <w:tc>
          <w:tcPr>
            <w:tcW w:w="504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54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04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5"/>
                <w:szCs w:val="15"/>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5"/>
                <w:szCs w:val="15"/>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450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6"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April 24, 2025, the registrant had 53,979,306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 of pociredir, including the timing of data announcements and status of enrollment;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 including novel therapeutic agents for the potential treatment of inherited aplastic anemias, such as Diamond-Blackfan anemia, or DBA, Shwachman-Diamond syndrome, and Fanconi anemia, and other discovery programs;</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exclusive global license agreement with CAMP4 Therapeutics Corp., or CAMP4;</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recent changes in the administration, shifts in government policy and the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on our business and operations, including our clinical trials and development plans, as well as our future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right="1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 million for the year ended December 31, 2024. Our net loss was $17.7 million for the three months ended March 31, 2025. We expect to incur losses over the next several years and may never achieve or maintain profitability. As of March 31, 2025, we had an accumulated deficit of $537.1 million.</w:t>
      </w:r>
    </w:p>
    <w:p>
      <w:pPr>
        <w:spacing w:after="0" w:line="175"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one product candidate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4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175" w:lineRule="exact"/>
        <w:rPr>
          <w:rFonts w:ascii="Times New Roman" w:cs="Times New Roman" w:eastAsia="Times New Roman" w:hAnsi="Times New Roman"/>
          <w:sz w:val="18"/>
          <w:szCs w:val="18"/>
          <w:color w:val="auto"/>
        </w:rPr>
      </w:pPr>
    </w:p>
    <w:p>
      <w:pPr>
        <w:ind w:left="380" w:right="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30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10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hostilities in Israel and the Gaza Strip, or changes in U.S. economic policy announced by the current administration, including tariffs. These events have led to volatility in the market and uncertainty and may adversely impact the U.S. economy and/or economies worldwide, which could result in adverse effects on our business and operations.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0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9860" w:type="dxa"/>
            <w:vAlign w:val="bottom"/>
            <w:gridSpan w:val="17"/>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2025 and December 31,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tcBorders>
              <w:left w:val="single" w:sz="8" w:color="0000FF"/>
            </w:tcBorders>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vMerge w:val="continue"/>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42,178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58,212</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182,809</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4,974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6,806</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232,556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249,923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5,335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242,649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1,507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7,694</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2,239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2,186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5,866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6,443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14,163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53,979,306 and 53,968,303 shares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765,415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762,248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(537,053)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(519,398)</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228,486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243,034</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242,649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-2836545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-1979295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13,404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19,773</w:t>
            </w:r>
          </w:p>
        </w:tc>
      </w:tr>
      <w:tr>
        <w:trPr>
          <w:trHeight w:val="216"/>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10,061</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20,403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29,834</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2,964</w:t>
            </w:r>
          </w:p>
        </w:tc>
      </w:tr>
      <w:tr>
        <w:trPr>
          <w:trHeight w:val="22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(26,870)</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60" w:type="dxa"/>
            <w:vAlign w:val="bottom"/>
            <w:tcBorders>
              <w:bottom w:val="single" w:sz="8" w:color="CFF0FC"/>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62,479</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61,984</w:t>
            </w:r>
          </w:p>
        </w:tc>
      </w:tr>
      <w:tr>
        <w:trPr>
          <w:trHeight w:val="196"/>
        </w:trPr>
        <w:tc>
          <w:tcPr>
            <w:tcW w:w="7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(26,870)</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0"/>
        </w:trPr>
        <w:tc>
          <w:tcPr>
            <w:tcW w:w="776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(27,168)</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-1927860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-1353820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-1336675</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-1028065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210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140" w:type="dxa"/>
            <w:vAlign w:val="bottom"/>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e</w:t>
            </w:r>
          </w:p>
        </w:tc>
        <w:tc>
          <w:tcPr>
            <w:tcW w:w="120" w:type="dxa"/>
            <w:vAlign w:val="bottom"/>
          </w:tcPr>
          <w:p>
            <w:pPr>
              <w:spacing w:after="0"/>
              <w:rPr>
                <w:sz w:val="17"/>
                <w:szCs w:val="17"/>
                <w:color w:val="auto"/>
              </w:rPr>
            </w:pPr>
          </w:p>
        </w:tc>
        <w:tc>
          <w:tcPr>
            <w:tcW w:w="114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60" w:type="dxa"/>
            <w:vAlign w:val="bottom"/>
            <w:gridSpan w:val="2"/>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61,915,367</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744,940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235,193</w:t>
            </w: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214,094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11,550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62,141,011</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750,507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(536,543)</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213,592</w:t>
            </w:r>
          </w:p>
        </w:tc>
        <w:tc>
          <w:tcPr>
            <w:tcW w:w="0" w:type="dxa"/>
            <w:vAlign w:val="bottom"/>
          </w:tcPr>
          <w:p>
            <w:pPr>
              <w:spacing w:after="0"/>
              <w:rPr>
                <w:sz w:val="1"/>
                <w:szCs w:val="1"/>
                <w:color w:val="auto"/>
              </w:rPr>
            </w:pPr>
          </w:p>
        </w:tc>
      </w:tr>
      <w:tr>
        <w:trPr>
          <w:trHeight w:val="197"/>
        </w:trPr>
        <w:tc>
          <w:tcPr>
            <w:tcW w:w="3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53,968,303</w:t>
            </w: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762,248</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(519,398)</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243,034</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53,979,306</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765,415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(537,053)</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228,486</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-882650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-864870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-882650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-864870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-882650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-864870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-882650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-864870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-882650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-864870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50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(26,870)</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3,916</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803</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w:t>
            </w:r>
          </w:p>
        </w:tc>
      </w:tr>
      <w:tr>
        <w:trPr>
          <w:trHeight w:val="203"/>
        </w:trPr>
        <w:tc>
          <w:tcPr>
            <w:tcW w:w="62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5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w:t>
            </w: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50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(25,284)</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(55,816)</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59,620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93,972</w:t>
            </w: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38,128</w:t>
            </w: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15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1,651</w:t>
            </w: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5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1,651</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14,495</w:t>
            </w: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5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59,413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26,655</w:t>
            </w:r>
          </w:p>
        </w:tc>
      </w:tr>
      <w:tr>
        <w:trPr>
          <w:trHeight w:val="23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5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43,379</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41,150</w:t>
            </w:r>
          </w:p>
        </w:tc>
      </w:tr>
      <w:tr>
        <w:trPr>
          <w:trHeight w:val="183"/>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54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25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652</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-1868170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-822325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-281940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-264795</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42,178</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39,949</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2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43,379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41,150</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2025 and the results of its operations and its cash flows for the three months ended March 31, 2025 and 2024. The results for the three months ended March 31, 2025 are not necessarily indicative of results to be expected for the year ending December 31, 2025, any other interim periods, or any future year or period. These consolidated financial statements should be read in conjunction with the Company’s audited consolidated financial statements and the notes thereto for the year ended December 31, 2024 included in the Company’s Annual Report on Form 10-K filed with the Securities and Exchange Commission (the “SEC”) on February 25, 2025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March 31, 2025, the Company had an accumulated deficit of $537.1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2024 included in the Company’s Annual Report on Form 10-K. There have been no material changes in the Company’s significant accounting policies during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government agency securities. The Company’s marketable securities consist of U.S. Treasury securities, government agency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To Be Adopted</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Adopted</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Segment Reporting. The new standard became effective for the Company on January 1, 2025. The adoption of this standard did not have a material impact on the Company’s consolidated financial position and results of operations. See Note 17, “Segment Information”, for further information regarding the adoption of this standard.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March 31, 2025 and December 31, 2024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35,207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159,287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159,287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226,603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35,207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191,396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47"/>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195,299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-1610995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-1610995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March 31, 2025 and December 31, 2024 (in thousands):</w:t>
      </w:r>
    </w:p>
    <w:p>
      <w:pPr>
        <w:spacing w:after="0" w:line="24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March 31, 2025</w:t>
      </w:r>
    </w:p>
    <w:tbl>
      <w:tblPr>
        <w:tblLayout w:type="fixed"/>
        <w:tblInd w:w="0" w:type="dxa"/>
        <w:tblCellMar>
          <w:top w:w="0" w:type="dxa"/>
          <w:left w:w="0" w:type="dxa"/>
          <w:bottom w:w="0" w:type="dxa"/>
          <w:right w:w="0" w:type="dxa"/>
        </w:tblCellMar>
      </w:tblPr>
      <w:tr>
        <w:trPr>
          <w:trHeight w:val="117"/>
        </w:trPr>
        <w:tc>
          <w:tcPr>
            <w:tcW w:w="4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35,207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35,207</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1,993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4,979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42,179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42,178</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14,848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159,225</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159,287</w:t>
            </w:r>
          </w:p>
        </w:tc>
        <w:tc>
          <w:tcPr>
            <w:tcW w:w="0" w:type="dxa"/>
            <w:vAlign w:val="bottom"/>
          </w:tcPr>
          <w:p>
            <w:pPr>
              <w:spacing w:after="0"/>
              <w:rPr>
                <w:sz w:val="1"/>
                <w:szCs w:val="1"/>
                <w:color w:val="auto"/>
              </w:rPr>
            </w:pP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184,354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184,425</w:t>
            </w: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226,533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226,603</w:t>
            </w:r>
          </w:p>
        </w:tc>
        <w:tc>
          <w:tcPr>
            <w:tcW w:w="0" w:type="dxa"/>
            <w:vAlign w:val="bottom"/>
          </w:tcPr>
          <w:p>
            <w:pPr>
              <w:spacing w:after="0"/>
              <w:rPr>
                <w:sz w:val="1"/>
                <w:szCs w:val="1"/>
                <w:color w:val="auto"/>
              </w:rPr>
            </w:pPr>
          </w:p>
        </w:tc>
      </w:tr>
      <w:tr>
        <w:trPr>
          <w:trHeight w:val="629"/>
        </w:trPr>
        <w:tc>
          <w:tcPr>
            <w:tcW w:w="464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-1782445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-1782445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-1782445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-1224915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-1224915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-1224915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-916305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-933450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-916305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0" w:type="dxa"/>
        <w:tblCellMar>
          <w:top w:w="0" w:type="dxa"/>
          <w:left w:w="0" w:type="dxa"/>
          <w:bottom w:w="0" w:type="dxa"/>
          <w:right w:w="0" w:type="dxa"/>
        </w:tblCellMar>
      </w:tblPr>
      <w:tr>
        <w:trPr>
          <w:trHeight w:val="117"/>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45,722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12,488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58,210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58,212</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168,925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169,031</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182,681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182,809</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240,891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241,021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-1019175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-1019175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-1019175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months ended March 31, 2025. As of March 31, 2025, the Company held 14 debt securities that were in an unrealized loss position for less than 12 months with an aggregate fair value of $41.8 million. As of March 31, 2025, the Company held 5 debt securities that were in an unrealized loss position for greater than 12 months with an aggregate fair value of $27.2 million. As of March 31, 2025, the aggregate fair value of marketable securities with a remaining contractual maturity of greater than one year was $29.3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months ended March 31, 2025</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-453390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$0.4 million and $0.5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Prepaid sign-on bonuses subject to vesting provisions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5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-1079500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5,000,000 shares of undesignated preferred stock were authorized. No shares of preferred stock were issued or outstanding as of March 31, 2025 and December 31,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and December 31, 2024, 200,000,000 shares of common stock, $0.001 par value per share, were authorized.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and December 31, 2024, the Company has reserved for future issuance the following number of shares of common stock:</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12,010,355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43,072</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4,463,836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5,207,362</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2,100,414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1,671,843</w:t>
            </w: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1,928,100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1,896,209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r>
      <w:tr>
        <w:trPr>
          <w:trHeight w:val="250"/>
        </w:trPr>
        <w:tc>
          <w:tcPr>
            <w:tcW w:w="5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29,090,753</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26,673,185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As of March 31, 2025, 850,000 pre-funded warrants have been exercised.</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8"/>
          <w:szCs w:val="18"/>
          <w:color w:val="auto"/>
        </w:rPr>
        <w:t>holder may not exercise (nor may we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9.99%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or, with respect to the other existing institutional stockholder’s pre-funded warrants, not in excess of 9.99%.</w:t>
      </w:r>
    </w:p>
    <w:p>
      <w:pPr>
        <w:spacing w:after="0" w:line="12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in the Annual Report on Form 10-K.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2025, no shares remained available for future issuance under the 2016 Plan. Any options or other awards outstanding under the 2016 Plan remain outstanding and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2025, the number of shares reserved for issuance under the 2019 Plan was increased by 2,000,000 shares. As of March 31, 2025, there were 4,463,836 shares available for future issuance under the 2019 Plan.</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March 31, 2025, there were 1,928,100 shares available for future issuance under the Inducement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three months ended March 31, 2025:</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9,354,699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7.46</w:t>
            </w: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5,353,463</w:t>
            </w: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2,888,773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12,010,355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6.62</w:t>
            </w:r>
          </w:p>
        </w:tc>
        <w:tc>
          <w:tcPr>
            <w:tcW w:w="12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150,489</w:t>
            </w:r>
          </w:p>
        </w:tc>
        <w:tc>
          <w:tcPr>
            <w:tcW w:w="0" w:type="dxa"/>
            <w:vAlign w:val="bottom"/>
          </w:tcPr>
          <w:p>
            <w:pPr>
              <w:spacing w:after="0"/>
              <w:rPr>
                <w:sz w:val="1"/>
                <w:szCs w:val="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16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4,643,108</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8.80</w:t>
            </w:r>
          </w:p>
        </w:tc>
        <w:tc>
          <w:tcPr>
            <w:tcW w:w="128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69,830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-187960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6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months ended March 31, 2025 and 2024 was $3.52 per share and $6.23 per share, respectively. The total intrinsic value of stock options exercised during the three months ended March 31, 2025 and 2024 was zero and $0.8 million, respectively.</w:t>
      </w:r>
    </w:p>
    <w:p>
      <w:pPr>
        <w:spacing w:after="0" w:line="1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months ended March 31, 2025 and 2024 has been calculated on the date of grant using the following weighted average assumptions: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6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780" w:type="dxa"/>
            <w:vAlign w:val="bottom"/>
          </w:tcPr>
          <w:p>
            <w:pPr>
              <w:spacing w:after="0"/>
              <w:rPr>
                <w:sz w:val="12"/>
                <w:szCs w:val="12"/>
                <w:color w:val="auto"/>
              </w:rPr>
            </w:pPr>
          </w:p>
        </w:tc>
        <w:tc>
          <w:tcPr>
            <w:tcW w:w="16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6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780" w:type="dxa"/>
            <w:vAlign w:val="bottom"/>
          </w:tcPr>
          <w:p>
            <w:pPr>
              <w:spacing w:after="0"/>
              <w:rPr>
                <w:sz w:val="15"/>
                <w:szCs w:val="15"/>
                <w:color w:val="auto"/>
              </w:rPr>
            </w:pPr>
          </w:p>
        </w:tc>
        <w:tc>
          <w:tcPr>
            <w:tcW w:w="16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6.1</w:t>
            </w:r>
          </w:p>
        </w:tc>
        <w:tc>
          <w:tcPr>
            <w:tcW w:w="17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2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three months ended March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4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48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43,072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8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57,105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4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32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2025</w:t>
            </w:r>
          </w:p>
        </w:tc>
        <w:tc>
          <w:tcPr>
            <w:tcW w:w="48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88,048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5.84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8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jc w:val="right"/>
              <w:ind w:right="167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-933450</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-916305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1,329</w:t>
            </w: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3,916</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an aggregate of $28.6 million of unrecognized stock-based compensation expense, which is expected to be recognized over a weighted average period of 2.73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2025, the number of shares reserved for issuance under the 2019 ESPP was increased by 428,571 shares. As of March 31, 2025, there were 2,100,414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the termination date, the agreement was terminated in its entirety, and the Company is not entitled to receive any further milestone payments, royalties, or global development cost reimbursement.</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agreement, pursuant to a mutually agreed global development plan, the Company continued the Phase 3 clinical trial for losmapimod for the treatment of FSHD, and the Company and Sanofi agreed to equally share global development costs. In addition to potential future activities conducted under a mutually agreed global development plan, Sanofi had the right to conduct certain development activities that were solely intended to support obtaining or maintaining regulatory approval outside of the United States. The Company had the sole right to manufacture for its activities under the global development plan and for commercialization in the United States and, subject to the terms of a supply agreement, the Company was to have supplied Sanofi’s clinical and commercial supply requirements of losmapimod until Sanofi elected to take over such manufacturing responsibilities.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Per the terms of the agreement, Sanofi made an upfront payment of $80.0 million to the Company. While the Sanofi Agreement was in effect, the Company could not research, develop, manufacture, commercialize, use, or otherwise exploit any compound or product that binds or otherwise modulates p38a/b MAPK anywhere in the world, other than losmapimod in the United States.</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ind w:right="760"/>
        <w:spacing w:after="0" w:line="282" w:lineRule="auto"/>
        <w:rPr>
          <w:sz w:val="20"/>
          <w:szCs w:val="20"/>
          <w:color w:val="auto"/>
        </w:rPr>
      </w:pPr>
      <w:r>
        <w:rPr>
          <w:rFonts w:ascii="Times New Roman" w:cs="Times New Roman" w:eastAsia="Times New Roman" w:hAnsi="Times New Roman"/>
          <w:sz w:val="18"/>
          <w:szCs w:val="18"/>
          <w:color w:val="auto"/>
        </w:rPr>
        <w:t>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9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9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w:t>
      </w:r>
    </w:p>
    <w:p>
      <w:pPr>
        <w:spacing w:after="0" w:line="1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three months ended March 31, 2025, the Company recognized no revenue associated with the upfront license payment.</w:t>
      </w:r>
    </w:p>
    <w:p>
      <w:pPr>
        <w:spacing w:after="0" w:line="10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three months ended March 31, 2025, the Company recorded a reduction in research and development expenses in connection with global development activities for losmapimod of $1.0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Agreement</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20, 2020, the Company entered into a collaboration and license agreement (as amended, the “MyoKardia Collaboration Agreement”) with MyoKardia, Inc. (“MyoKardia”),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 On February 26, 2025, the Company received written notice of MyoKardia's election to terminate for convenience the collaboration and license agreement. In accordance with the agreement, the termination will become effective on June 26, 2025, which is 120 days following the date of receipt of the notice by the Company.</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Until the termination of the agreement, the parties will continue to perform their respective obligations under the agreement. As of the termination date, the agreement will be terminated in its entirety, following which the Company will not be entitled to receive any further milestone payments, royalties, or research activity cost reimbursement.</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pursuant to a mutually agreed research plan, the Company agreed to perform assay screening and related research activities to identify and validate up to a specified number of potential cardiomyopathy gene targets for further research, development, manufacture and commercialization by MyoKardia.</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MyoKardia made a $10.0 million upfront payment and a $2.5 million payment as prepaid research funding to the Company. MyoKardia also agreed to reimburse the Company for the costs of the research activities not covered by the prepaid research funding, up to a maximum amount of total research funding (including the prepaid research funding). Upon the achievement of specified milestones, the Company would have been entitled to preclinical milestone payments, development milestone payments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sales-based milestone payments of up to $298.5 million in the aggregate per target for certain identified targets, and of up to $150.0 million in the aggregate per target for certain other identified targets. The Company achieved a $2.5 million specified preclinical milestone. MyoKardia also agreed to pay the Company tiered royalties ranging from a mid single-digit percentage to a low double-digit percentage based on MyoKardia’s, and any of its affiliates’ and sublicensees’, annual worldwide net sales of products under the agreement directed against any identified target. The royalties were payable on a product-by-product basis during a specified royalty term, and could have been reduced in specified circumstances.</w:t>
      </w:r>
    </w:p>
    <w:p>
      <w:pPr>
        <w:spacing w:after="0" w:line="183"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2025 and 2024, the Company recognized no collaboration revenue associated with the MyoKardia Collaboration Agreement. As of March 31, 2025 and December 31, 2024, the Company recorded no deferred revenue or accounts receivable associated with the MyoKardia Collaboration Agreement. As of March 31, 2025 and December 31, 2024, the Company had received $7.7 million of cost reimbursement payments under the MyoKardia Collaboration Agreement and $2.5 million associated with the achievement of a preclinical milestone.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40" w:firstLine="8"/>
        <w:spacing w:after="0" w:line="255"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 In April 2025, the Company achieved a $0.6 million preclinical milestone that the Company will record as research and development expense during the three months ended June 30, 2025.</w:t>
      </w:r>
    </w:p>
    <w:p>
      <w:pPr>
        <w:spacing w:after="0" w:line="1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March 31, 2025 and December 31, 2024. Operating lease expense associated with this lease for the three months ended March 31, 2025 was approximately $0.5 million. Variable lease expense associated with this lease for the three months ended March 31, 2025 was approximately $0.3 million.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March 31, 2025,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3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(1)</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8"/>
                <w:szCs w:val="18"/>
                <w:color w:val="auto"/>
              </w:rPr>
            </w:pPr>
          </w:p>
        </w:tc>
      </w:tr>
      <w:tr>
        <w:trPr>
          <w:trHeight w:val="20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(858)</w:t>
            </w:r>
          </w:p>
        </w:tc>
      </w:tr>
      <w:tr>
        <w:trPr>
          <w:trHeight w:val="250"/>
        </w:trPr>
        <w:tc>
          <w:tcPr>
            <w:tcW w:w="9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620" w:hanging="252"/>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for the nine months ending December 31, 2025.</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2025 or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180"/>
        <w:spacing w:after="0" w:line="282" w:lineRule="auto"/>
        <w:rPr>
          <w:sz w:val="20"/>
          <w:szCs w:val="20"/>
          <w:color w:val="auto"/>
        </w:rPr>
      </w:pPr>
      <w:r>
        <w:rPr>
          <w:rFonts w:ascii="Times New Roman" w:cs="Times New Roman" w:eastAsia="Times New Roman" w:hAnsi="Times New Roman"/>
          <w:sz w:val="18"/>
          <w:szCs w:val="18"/>
          <w:color w:val="auto"/>
        </w:rPr>
        <w:t>was completed on the motion in February 2024. On March 27, 2025, the United States District Court for the District of Massachusetts granted the motion to dismiss the Securities Action in full, and the court closed the Securities Action on March 28, 2025.</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three months ended March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$0.2 million, respectively, in contributions to the 401(k) Plan for the three months ended March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8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42"/>
        </w:trPr>
        <w:tc>
          <w:tcPr>
            <w:tcW w:w="4960" w:type="dxa"/>
            <w:vAlign w:val="bottom"/>
          </w:tcPr>
          <w:p>
            <w:pPr>
              <w:spacing w:after="0"/>
              <w:rPr>
                <w:sz w:val="12"/>
                <w:szCs w:val="12"/>
                <w:color w:val="auto"/>
              </w:rPr>
            </w:pPr>
          </w:p>
        </w:tc>
        <w:tc>
          <w:tcPr>
            <w:tcW w:w="196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bottom w:val="single" w:sz="8" w:color="auto"/>
            </w:tcBorders>
          </w:tcPr>
          <w:p>
            <w:pPr>
              <w:jc w:val="right"/>
              <w:ind w:right="7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12,010,355</w:t>
            </w:r>
          </w:p>
        </w:tc>
        <w:tc>
          <w:tcPr>
            <w:tcW w:w="20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12,289,352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88,048</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128,709</w:t>
            </w:r>
          </w:p>
        </w:tc>
      </w:tr>
      <w:tr>
        <w:trPr>
          <w:trHeight w:val="250"/>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12,098,403</w:t>
            </w:r>
          </w:p>
        </w:tc>
        <w:tc>
          <w:tcPr>
            <w:tcW w:w="12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12,418,061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number of common shares outstanding during the period, including the 8,500,000 shares of common stock issuable upon the exercise of warrants that are exercisable for little or no consideration, as described in Note 6. Diluted net loss per share is calculated by dividing the net loss by the weighted-average number of common equivalent shares outstanding for the period, including the 8,500,000 shares of common stock issuable upon the exercise of warrants that are exercisable for little or no consideration as well as any dilutive effect from outstanding stock options, unvested restricted stock, restricted stock units, and employee stock purchase plan stock using the treasury stock method.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Activities</w:t>
      </w:r>
    </w:p>
    <w:p>
      <w:pPr>
        <w:spacing w:after="0" w:line="22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three months ended March 31, 2025, the Company recorded no restructuring charges related to severance and other employee-related costs. During the three months ended March 31, 2025, the Company paid $0.3 million in restructuring charges.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8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8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charges as of March 31, 2025</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income (loss), disaggregated between (a) research and development and (b) general and administrative, as the key indicator to assess the segment's performance and for allocating resources.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 revenue, operating expenses, and net loss for the three months ended March 31, 2025 and 2024 are as follows:</w:t>
      </w:r>
    </w:p>
    <w:p>
      <w:pPr>
        <w:spacing w:after="0" w:line="24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compensation expenses (excluding stock-based compensation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(29,834)</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(26,870)</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-1362075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once daily dose cohorts, and do not plan to enroll additional subjects in these cohorts. Although we commenced enrollment in the 12 mg dose cohort, in February 2023 the FDA placed a full clinical hold on the investigational new drug, or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 Subjects are evaluated over a 12-week treatment period. We completed enrollment in the 12 mg dose cohort (with 16 patients), and we have initiated the 20 mg once daily dose cohort. We expect to provide clinical data from the 12 mg dose cohort in early third quarter 2025 and from the 20 mg dose cohort by the end of 2025. The median and mean baseline fetal hemoglobin, or HbF, levels of the 16 patients enrolled in the 12 mg dose cohort is 7.7% and 7.6%, respectively. No discontinuations have occurred to date in the 12 mg dose cohort, and we have observed greater than 90% adherence rates (patients took the prescribed dose at the prescribed time) to study drug for the patients in this 12 mg dose cohort.</w:t>
      </w:r>
    </w:p>
    <w:p>
      <w:pPr>
        <w:spacing w:after="0" w:line="194"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inherited aplastic anemias, such as DBA, Shwachman-Diamond syndrome, and Fanconi anemia, and we plan to submit an IND for DBA during the fourth quarter of 2025.</w:t>
      </w:r>
    </w:p>
    <w:p>
      <w:pPr>
        <w:spacing w:after="0" w:line="16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 was $17.7 million for the three months ended March 31, 2025. Our net loss was $26.9 million for the three months ended March 31, 2024. As of March 31, 2025, we had an accumulated deficit of $537.1 million. We expect our expenses and operating losses will increase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$226.6 million in cash, cash equivalents, and marketable securities. We believe that our existing cash, cash equivalents, and marketable securities as of March 31, 2025 will enable us to fund our operating expenses and capital expenditure requirements into at least 2027.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facioscapulohumeral muscular dystrophy, or FSHD, outside of the United States and received an upfront payment of $80.0 million.</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we recorded a $1.0 million reduction in research and development expenses in connection with global development activities for losmapimod. During the three months ended March 31, 2025, we recognized no revenue associated with the Sanofi territory-specific manufacturing activities for losmapimod. As a result of the suspension of future development of losmapimod following our September 2024 announcement that there was no statistically significant difference between losmapimod and placebo on the primary endpoint in the Phase 3 REACH trial, Sanofi terminated the license. Accordingly, we do not expect to recognize additional revenues under the Sanofi collaboration agreement.</w:t>
      </w:r>
    </w:p>
    <w:p>
      <w:pPr>
        <w:spacing w:after="0" w:line="11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enter into additional license or collaboration agreements for our product candidates or intellectual property, and we may generate revenue in the future from payments as a result of such license or collaboration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months ended March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4,264</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2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4,053</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5,716</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13,404</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19,773</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March 31, 2025 and 2024 along with the changes in those items in dollars:</w:t>
      </w:r>
    </w:p>
    <w:tbl>
      <w:tblPr>
        <w:tblLayout w:type="fixed"/>
        <w:tblInd w:w="8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6"/>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4"/>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(20,403)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(29,834)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(17,655)</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(26,870)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-599440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-599440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2025 and 2024:</w:t>
      </w:r>
    </w:p>
    <w:tbl>
      <w:tblPr>
        <w:tblLayout w:type="fixed"/>
        <w:tblInd w:w="8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$6.4 million from $19.8 million for the three months ended March 31, 2024 to $13.4 million for the three months ended March 31, 2025. The decrease in research and development expense was primarily attributable to the following:</w:t>
      </w:r>
    </w:p>
    <w:p>
      <w:pPr>
        <w:spacing w:after="0" w:line="54" w:lineRule="exact"/>
        <w:rPr>
          <w:sz w:val="20"/>
          <w:szCs w:val="20"/>
          <w:color w:val="auto"/>
        </w:rPr>
      </w:pPr>
    </w:p>
    <w:p>
      <w:pPr>
        <w:ind w:left="900" w:right="6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of decreased external research and development costs, primarily due to the suspension of the losmapimod program as well as $1.0 million of reimbursement from the global development cost sharing under our collaboration with Sanofi for losmapimod, partially offset by increased development costs associated with the advancement of the Phase 1b PIONEER trial of pociredir;</w:t>
      </w:r>
    </w:p>
    <w:p>
      <w:pPr>
        <w:spacing w:after="0" w:line="6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decreased employee compensation costs due to decreased headcount, including a $0.3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$0.2 million of increased laboratory supplies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2025 and 2024:</w:t>
      </w:r>
    </w:p>
    <w:tbl>
      <w:tblPr>
        <w:tblLayout w:type="fixed"/>
        <w:tblInd w:w="0" w:type="dxa"/>
        <w:tblCellMar>
          <w:top w:w="0" w:type="dxa"/>
          <w:left w:w="0" w:type="dxa"/>
          <w:bottom w:w="0" w:type="dxa"/>
          <w:right w:w="0" w:type="dxa"/>
        </w:tblCellMar>
      </w:tblPr>
      <w:tr>
        <w:trPr>
          <w:trHeight w:val="151"/>
        </w:trPr>
        <w:tc>
          <w:tcPr>
            <w:tcW w:w="9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7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4,217</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5,662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1,919</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3,006</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6,999</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10,061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-916305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-933450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-916305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-933450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-916305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$3.1 million from $10.1 million for the three months ended March 31, 2024 to $7.0 million for the three months ended March 31, 2025. The decrease in general and administrative expenses was primarily attributable to the following:</w:t>
      </w:r>
    </w:p>
    <w:p>
      <w:pPr>
        <w:spacing w:after="0" w:line="54" w:lineRule="exact"/>
        <w:rPr>
          <w:sz w:val="20"/>
          <w:szCs w:val="20"/>
          <w:color w:val="auto"/>
        </w:rPr>
      </w:pPr>
    </w:p>
    <w:p>
      <w:pPr>
        <w:ind w:left="900" w:right="7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decreased employee compensation costs due to decreased headcount, including a $0.4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of decreased professional services costs, primarily due to decreased commercial and legal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facility costs as a result of the expiration of our lease agreement for office space at 125 Sidney Street;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Other income, net decreased by $0.3 million from $3.0 million for the three months ended March 31, 2024 to $2.7 million for the three months ended March 31, 2025. The decrease was primarily attributable to the expiration of our sublease agreement for office space at 125 Sidney Street.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2025, we have funded our operations primarily with aggregate gross proceeds of $792.5 million from the sale of shares of our capital stock and from upfront payments received under our collaboration and license agreements. As of March 31, 2025, we had cash, cash equivalents, and marketable securities of $226.6 million.</w:t>
      </w:r>
    </w:p>
    <w:p>
      <w:pPr>
        <w:spacing w:after="0" w:line="194"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March 31, 2025,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2025:</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$15.3 million during the three months ended March 31, 2025 compared to $25.3 million during the three months ended March 31, 2024. The decrease in net cash used in operating activities of $10.0 million was primarily due to a decrease in our net loss, including as a result of decreased external research and development costs due to the suspension of the losmapimod program as well as decreased employee compensation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$0.8 million during the three months ended March 31, 2025 compared to net cash provided by investing activities of $38.1 million during the three months ended March 31, 2024. The increase in net cash used in investing activities of $38.9 million was primarily due to net purchases of marketable securities during the three months ended March 31, 2025, as compared to net maturities of marketable securities during the three months ended March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zero during the three months ended March 31, 2025 compared to net cash provided by financing activities of $1.7 million during the three months ended March 31, 2024. Net cash provided by financing activities during the three months ended March 31, 2024 primarily consisted of net proceeds of $1.7 million from the issuance of common stock under our benefit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March 31, 2025 will enable us to fund our operating expenses and capital expenditure requirements into at least 2027.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29" w:name="page30"/>
    <w:bookmarkEnd w:id="29"/>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2025, there were no material changes to our critical accounting policies from those described in our Annual Report on Form 10-K filed with the SEC on February 25,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March 31,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2025,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w:t>
      </w:r>
      <w:r>
        <w:rPr>
          <w:rFonts w:ascii="Times New Roman" w:cs="Times New Roman" w:eastAsia="Times New Roman" w:hAnsi="Times New Roman"/>
          <w:sz w:val="18"/>
          <w:szCs w:val="18"/>
          <w:color w:val="auto"/>
        </w:rPr>
        <w:t>., et al.,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 was completed on the motion in February 2024, and the court held a hearing on the motion in September 2024. On March 27, 2025, the United States District Court for the District of Massachusetts granted the motion to dismiss the Securities Action in full, and the court closed the Securities Action on March 28,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 million for the year ended December 31, 2024 and $17.7 million for the three months ended March 31, 2025. As of March 31, 2025, we had an accumulated deficit of $537.1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2" w:name="page33"/>
    <w:bookmarkEnd w:id="32"/>
    <w:p>
      <w:pPr>
        <w:ind w:left="900" w:right="260" w:hanging="368"/>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this and any other product candidates. We expect our expenses to increase substantially in connection with our ongoing activities, particularly as we advance our preclinical activities and Phase 1b clinical trial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1b clinical trial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 with CAMP4;</w:t>
      </w:r>
    </w:p>
    <w:p>
      <w:pPr>
        <w:spacing w:after="0" w:line="117" w:lineRule="exact"/>
        <w:rPr>
          <w:rFonts w:ascii="Times New Roman" w:cs="Times New Roman" w:eastAsia="Times New Roman" w:hAnsi="Times New Roman"/>
          <w:sz w:val="18"/>
          <w:szCs w:val="18"/>
          <w:color w:val="auto"/>
        </w:rPr>
      </w:pPr>
    </w:p>
    <w:p>
      <w:pPr>
        <w:ind w:left="900" w:right="62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0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approximately $226.6 million. We believe that our cash, cash equivalents, and marketable securities as of March 31, 2025 will enable us to fund our operating expenses and capital expenditure requirements into at least 2027.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FSHD but did not demonstrate a statistically significant difference between losmapimod and placebo on the primary endpoint in the Phase 3 REACH trial, for which we announced topline data in September 2024 and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recent strategic realignment effected in September 2024.</w:t>
      </w:r>
    </w:p>
    <w:p>
      <w:pPr>
        <w:spacing w:after="0" w:line="30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right="80"/>
        <w:spacing w:after="0" w:line="266" w:lineRule="auto"/>
        <w:rPr>
          <w:sz w:val="20"/>
          <w:szCs w:val="20"/>
          <w:color w:val="auto"/>
        </w:rPr>
      </w:pPr>
      <w:r>
        <w:rPr>
          <w:rFonts w:ascii="Times New Roman" w:cs="Times New Roman" w:eastAsia="Times New Roman" w:hAnsi="Times New Roman"/>
          <w:sz w:val="18"/>
          <w:szCs w:val="18"/>
          <w:color w:val="auto"/>
        </w:rPr>
        <w:t>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$5.0 million, which may be available to offset future taxable income and do not expire, but are limited in their usage to an annual deduction equal to 80% of annual taxable income. As of December 31, 2024, we had state net operating loss carryforwards of $6.2 million, which begin to expire in 2044. As of December 31, 2024, we also had federal orphan drug credits of $2.2 million, which begin to expire in 2044. As of December 31, 2024, we also had federal and state research and development tax credit carryforwards of $0.3 million and $0.2 million, respectively, which begin to expire in 2039. These net operating loss and tax credit carryforwards could expire unused and be unavailable to offset future income tax liabilities.</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and determined that for purposes of Section 382, we were deemed to have undergone an ownership change as of September 12, 2024. Accordingly, we determined that all net operating loss carryforwards and credits generated before September 12, 2024 are limited. As a result, the carryfowards before the deemed ownership change date of September 12, 2024 are not available for utilization and have been written off. The carryfowards as of December 31, 2024 were generated after the deemed ownership change. If we experience a further deemed change of control for purposes of Section 382, utilization of the net operating loss carryforwards or research and development tax credit carryforwards generated after September 12, 2024 would be subject to an annual limitation under Section 382.</w:t>
      </w:r>
    </w:p>
    <w:p>
      <w:pPr>
        <w:spacing w:after="0" w:line="188"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In September 2024, we announced that REACH, our Phase 3 clinical trial of losmapimod for the treatment of FSHD, did not meet its primary endpoint and we suspended development of losmapimod. As a result, we currently only have one product candidate in active clinical development, pociredir for the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81" w:lineRule="exact"/>
        <w:rPr>
          <w:sz w:val="20"/>
          <w:szCs w:val="20"/>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7" w:name="page38"/>
    <w:bookmarkEnd w:id="37"/>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currently only have one product candidate in active clinical development following our recent decision to suspend further development of losmapimod.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39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18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6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8" w:name="page39"/>
    <w:bookmarkEnd w:id="38"/>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recent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1"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global instability, including political instability, such as the Russian invasion of Ukraine or hostilities in Israel and the Gaza Strip, changes in U.S. economic policy that adversely impact the U.S. economy and/or economies worldwide, or instability from an outbreak of pandemic or contagious disease in or around the countries in which we conduct our clinical trials (such as closure of clinical trial sites, as we experienced in our ReDUX4 clinical trial due to COVID-19), could delay the commencement or rate of completion of our clinical trials; and</w:t>
      </w:r>
    </w:p>
    <w:p>
      <w:pPr>
        <w:spacing w:after="0" w:line="56" w:lineRule="exact"/>
        <w:rPr>
          <w:rFonts w:ascii="Times New Roman" w:cs="Times New Roman" w:eastAsia="Times New Roman" w:hAnsi="Times New Roman"/>
          <w:sz w:val="17"/>
          <w:szCs w:val="17"/>
          <w:color w:val="auto"/>
        </w:rPr>
      </w:pPr>
    </w:p>
    <w:p>
      <w:pPr>
        <w:ind w:left="900" w:right="4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recent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necessitated our expansion of the trial outside of the United States to address initial enrollment difficulties.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0" w:name="page41"/>
    <w:bookmarkEnd w:id="4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suspended further development of losmapimod after devoting significant time, effort and capital on the program but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in Africa, and the FDA may not accept data from trials conducted in such locations.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a Phase 1b clinical trial of pociredir in patients with SCD in Africa. We may also conduct additional clinical trials of other product candidates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2024 Annual Report.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4" w:name="page45"/>
    <w:bookmarkEnd w:id="44"/>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 or products or such quantities at an acceptable cost or quality, which could delay, prevent or impair our development or commercialization efforts.</w:t>
      </w:r>
    </w:p>
    <w:p>
      <w:pPr>
        <w:spacing w:after="0" w:line="5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2024 Annual Report.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18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and the Gaza Strip);</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recent announced tariffs by the current U.S. administration, which have led to volatility in the market and uncertainty);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47" w:name="page48"/>
    <w:bookmarkEnd w:id="47"/>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 with Acceleron Pharma, Inc. and our collaboration with MyoKardia, Inc., which will terminate on June 26, 2025),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 and our business could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w:t>
      </w:r>
    </w:p>
    <w:p>
      <w:pPr>
        <w:spacing w:after="0" w:line="89"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2024 Annual Report.</w:t>
      </w:r>
    </w:p>
    <w:p>
      <w:pPr>
        <w:spacing w:after="0" w:line="19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2" w:name="page53"/>
    <w:bookmarkEnd w:id="52"/>
    <w:p>
      <w:pPr>
        <w:ind w:right="100"/>
        <w:spacing w:after="0" w:line="282" w:lineRule="auto"/>
        <w:rPr>
          <w:sz w:val="20"/>
          <w:szCs w:val="20"/>
          <w:color w:val="auto"/>
        </w:rPr>
      </w:pPr>
      <w:r>
        <w:rPr>
          <w:rFonts w:ascii="Times New Roman" w:cs="Times New Roman" w:eastAsia="Times New Roman" w:hAnsi="Times New Roman"/>
          <w:sz w:val="18"/>
          <w:szCs w:val="18"/>
          <w:color w:val="auto"/>
        </w:rPr>
        <w:t>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2024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t>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80"/>
        <w:spacing w:after="0" w:line="282" w:lineRule="auto"/>
        <w:rPr>
          <w:sz w:val="20"/>
          <w:szCs w:val="20"/>
          <w:color w:val="auto"/>
        </w:rPr>
      </w:pPr>
      <w:r>
        <w:rPr>
          <w:rFonts w:ascii="Times New Roman" w:cs="Times New Roman" w:eastAsia="Times New Roman" w:hAnsi="Times New Roman"/>
          <w:sz w:val="18"/>
          <w:szCs w:val="18"/>
          <w:color w:val="auto"/>
        </w:rPr>
        <w:t>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lef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Currently, federal agencies in the United States are operating under a continuing resolution that is set to expire on September 30, 2025.</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7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may seek orphan drug designation for our other current and future product candidates.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for some of our other product candidates as well as breakthrough therapy designation. If a drug is intended for the treatment of a serious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line="256" w:lineRule="auto"/>
        <w:rPr>
          <w:sz w:val="20"/>
          <w:szCs w:val="20"/>
          <w:color w:val="auto"/>
        </w:rPr>
      </w:pPr>
      <w:r>
        <w:rPr>
          <w:rFonts w:ascii="Times New Roman" w:cs="Times New Roman" w:eastAsia="Times New Roman" w:hAnsi="Times New Roman"/>
          <w:sz w:val="18"/>
          <w:szCs w:val="18"/>
          <w:color w:val="auto"/>
        </w:rPr>
        <w:t>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2024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180"/>
        <w:spacing w:after="0" w:line="261" w:lineRule="auto"/>
        <w:rPr>
          <w:sz w:val="20"/>
          <w:szCs w:val="20"/>
          <w:color w:val="auto"/>
        </w:rPr>
      </w:pPr>
      <w:r>
        <w:rPr>
          <w:rFonts w:ascii="Times New Roman" w:cs="Times New Roman" w:eastAsia="Times New Roman" w:hAnsi="Times New Roman"/>
          <w:sz w:val="18"/>
          <w:szCs w:val="18"/>
          <w:color w:val="auto"/>
        </w:rPr>
        <w:t>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More than a dozen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Regulators and legislators in the U.S. are increasingly scrutinizing and restricting certain personal data transfers and transactions involving foreign countries. See Item 1 “Business –Government Regulation and Product Approvals” in the 2024 Annual Report.</w:t>
      </w:r>
    </w:p>
    <w:p>
      <w:pPr>
        <w:spacing w:after="0" w:line="8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2024 Annual Report.</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the Inflation Reduction Act of 2022,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5" w:name="page66"/>
    <w:bookmarkEnd w:id="65"/>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had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and September 2024,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April 24, 2025, our executive officers and directors and our stockholders who owned more than 5% of our outstanding common stock in the aggregate beneficially owned shares representing approximately 72.6%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29" w:lineRule="exact"/>
        <w:rPr>
          <w:sz w:val="20"/>
          <w:szCs w:val="20"/>
          <w:color w:val="auto"/>
        </w:rPr>
      </w:pPr>
    </w:p>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8" w:name="page69"/>
    <w:bookmarkEnd w:id="68"/>
    <w:p>
      <w:pPr>
        <w:ind w:left="900" w:hanging="368"/>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2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5"/>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0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8"/>
        <w:spacing w:after="0" w:line="414"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 Alan Musso</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64"/>
        </w:trPr>
        <w:tc>
          <w:tcPr>
            <w:tcW w:w="3320" w:type="dxa"/>
            <w:vAlign w:val="bottom"/>
          </w:tcPr>
          <w:p>
            <w:pPr>
              <w:spacing w:after="0"/>
              <w:rPr>
                <w:sz w:val="24"/>
                <w:szCs w:val="24"/>
                <w:color w:val="auto"/>
              </w:rPr>
            </w:pPr>
          </w:p>
        </w:tc>
        <w:tc>
          <w:tcPr>
            <w:tcW w:w="2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540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6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74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38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74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38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2025,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2025,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1)"/>
      <w:numFmt w:val="lowerRoman"/>
      <w:start w:val="3"/>
    </w:lvl>
  </w:abstractNum>
  <w:abstractNum w:abstractNumId="7">
    <w:nsid w:val="1E7FF521"/>
    <w:multiLevelType w:val="hybridMultilevel"/>
    <w:lvl w:ilvl="0">
      <w:lvlJc w:val="left"/>
      <w:lvlText w:val="%1"/>
      <w:numFmt w:val="decimal"/>
      <w:start w:val="1"/>
    </w:lvl>
    <w:lvl w:ilvl="1">
      <w:lvlJc w:val="left"/>
      <w:lvlText w:val="(%2)"/>
      <w:numFmt w:val="decimal"/>
      <w:start w:val="1"/>
    </w:lvl>
  </w:abstractNum>
  <w:abstractNum w:abstractNumId="8">
    <w:nsid w:val="7C3DBD3D"/>
    <w:multiLevelType w:val="hybridMultilevel"/>
    <w:lvl w:ilvl="0">
      <w:lvlJc w:val="left"/>
      <w:lvlText w:val="%1."/>
      <w:numFmt w:val="decimal"/>
      <w:start w:val="12"/>
    </w:lvl>
    <w:lvl w:ilvl="1">
      <w:lvlJc w:val="left"/>
      <w:lvlText w:val="%2"/>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
      <w:numFmt w:val="bullet"/>
      <w:start w:val="1"/>
    </w:lvl>
    <w:lvl w:ilvl="1">
      <w:lvlJc w:val="left"/>
      <w:lvlText w:val="%2"/>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197" Type="http://schemas.openxmlformats.org/officeDocument/2006/relationships/hyperlink" Target="https://www.sec.gov/Archives/edgar/data/0001680581/000104746919004324/a2239321zex-3_1.htm" TargetMode="External"/><Relationship Id="rId198" Type="http://schemas.openxmlformats.org/officeDocument/2006/relationships/hyperlink" Target="https://www.sec.gov/Archives/edgar/data/1680581/000119312523164435/d463131dex31.htm" TargetMode="External"/><Relationship Id="rId199"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2025-05-01T06:17:00Z</dcterms:created>
  <dcterms:modified xsi:type="dcterms:W3CDTF">2025-05-01T06:17:00Z</dcterms:modified>
</cp:coreProperties>
</file>