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12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120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Musso Alan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10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4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5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1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10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01/17/2024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01/17/2024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61,822</w:t>
            </w:r>
          </w:p>
        </w:tc>
        <w:tc>
          <w:tcPr>
            <w:tcW w:w="28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02/07/2024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08/06/2033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61,822</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240"/>
              <w:spacing w:after="0" w:line="194" w:lineRule="exact"/>
              <w:rPr>
                <w:sz w:val="20"/>
                <w:szCs w:val="20"/>
                <w:color w:val="auto"/>
              </w:rPr>
            </w:pPr>
            <w:r>
              <w:rPr>
                <w:rFonts w:ascii="Times New Roman" w:cs="Times New Roman" w:eastAsia="Times New Roman" w:hAnsi="Times New Roman"/>
                <w:sz w:val="13"/>
                <w:szCs w:val="13"/>
                <w:color w:val="0000FF"/>
              </w:rPr>
              <w:t>61,822</w:t>
            </w:r>
            <w:r>
              <w:rPr>
                <w:rFonts w:ascii="Times New Roman" w:cs="Times New Roman" w:eastAsia="Times New Roman" w:hAnsi="Times New Roman"/>
                <w:sz w:val="21"/>
                <w:szCs w:val="21"/>
                <w:color w:val="008000"/>
                <w:vertAlign w:val="superscript"/>
              </w:rPr>
              <w:t>(1)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performance-based stock option was granted on August 7, 2023 and is subject to the achievement of certain pre-defined performance objectives pertaining to financial and investor relations goals within six months from the grant date, and subject to Mr. Musso continuing to be an "eligible participant" (as defined in Fulcrum Therapeutics, Inc.'s 2022 Inducement Stock Incentive Plan) through the vesting date. All performance objectives were met on January 17, 2024.</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Greg Tourangeau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01/19/2024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 for Alan Musso</w:t>
            </w: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830"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2024-01-19T15:26:28Z</dcterms:created>
  <dcterms:modified xsi:type="dcterms:W3CDTF">2024-01-19T15:26:28Z</dcterms:modified>
</cp:coreProperties>
</file>