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Cadavid Diego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SVP Clinical Development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02139</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1,828</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17.2567</w:t>
            </w:r>
            <w:r>
              <w:rPr>
                <w:rFonts w:ascii="Arial" w:cs="Arial" w:eastAsia="Arial" w:hAnsi="Arial"/>
                <w:sz w:val="22"/>
                <w:szCs w:val="22"/>
                <w:color w:val="008000"/>
                <w:w w:val="9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67,100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212"/>
              <w:spacing w:after="0"/>
              <w:rPr>
                <w:sz w:val="20"/>
                <w:szCs w:val="20"/>
                <w:color w:val="auto"/>
              </w:rPr>
            </w:pPr>
            <w:r>
              <w:rPr>
                <w:rFonts w:ascii="Arial" w:cs="Arial" w:eastAsia="Arial" w:hAnsi="Arial"/>
                <w:sz w:val="18"/>
                <w:szCs w:val="18"/>
                <w:color w:val="0000FF"/>
              </w:rPr>
              <w:t>315</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18.1255</w:t>
            </w:r>
            <w:r>
              <w:rPr>
                <w:rFonts w:ascii="Arial" w:cs="Arial" w:eastAsia="Arial" w:hAnsi="Arial"/>
                <w:sz w:val="22"/>
                <w:szCs w:val="22"/>
                <w:color w:val="008000"/>
                <w:w w:val="90"/>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66,785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December 19, 2019.</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$16.91 to $17.85,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$18.00 to $18.45,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(3)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Peter Thomson, as attorney- </w:t>
      </w:r>
      <w:r>
        <w:rPr>
          <w:rFonts w:ascii="Arial" w:cs="Arial" w:eastAsia="Arial" w:hAnsi="Arial"/>
          <w:sz w:val="35"/>
          <w:szCs w:val="35"/>
          <w:color w:val="0000FF"/>
          <w:vertAlign w:val="subscript"/>
        </w:rPr>
        <w:t>03/02/2020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0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Diego Cadavid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487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871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8713"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2020-03-02T17:43:27Z</dcterms:created>
  <dcterms:modified xsi:type="dcterms:W3CDTF">2020-03-02T17:43:27Z</dcterms:modified>
</cp:coreProperties>
</file>