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199"/>
              <w:spacing w:after="0"/>
              <w:rPr>
                <w:sz w:val="20"/>
                <w:szCs w:val="20"/>
                <w:color w:val="auto"/>
              </w:rPr>
            </w:pPr>
            <w:r>
              <w:rPr>
                <w:rFonts w:ascii="Arial" w:cs="Arial" w:eastAsia="Arial" w:hAnsi="Arial"/>
                <w:sz w:val="18"/>
                <w:szCs w:val="18"/>
                <w:b w:val="1"/>
                <w:bCs w:val="1"/>
                <w:color w:val="auto"/>
                <w:w w:val="90"/>
              </w:rPr>
              <w:t>26 Landsdowne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199"/>
              <w:spacing w:after="0"/>
              <w:rPr>
                <w:sz w:val="20"/>
                <w:szCs w:val="20"/>
                <w:color w:val="auto"/>
              </w:rPr>
            </w:pPr>
            <w:r>
              <w:rPr>
                <w:rFonts w:ascii="Arial" w:cs="Arial" w:eastAsia="Arial" w:hAnsi="Arial"/>
                <w:sz w:val="18"/>
                <w:szCs w:val="18"/>
                <w:b w:val="1"/>
                <w:bCs w:val="1"/>
                <w:color w:val="auto"/>
                <w:w w:val="89"/>
              </w:rPr>
              <w:t>Cambridge, Massachusetts</w:t>
            </w:r>
          </w:p>
        </w:tc>
        <w:tc>
          <w:tcPr>
            <w:tcW w:w="23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ind w:left="1520"/>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185"/>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28"/>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197"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Securities Purchase Agreement</w:t>
      </w:r>
    </w:p>
    <w:p>
      <w:pPr>
        <w:spacing w:after="0" w:line="117"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On June 9, 2020, Fulcrum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securities purchase agreement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with accredited investors (the “</w:t>
      </w:r>
      <w:r>
        <w:rPr>
          <w:rFonts w:ascii="Arial" w:cs="Arial" w:eastAsia="Arial" w:hAnsi="Arial"/>
          <w:sz w:val="18"/>
          <w:szCs w:val="18"/>
          <w:u w:val="single" w:color="auto"/>
          <w:color w:val="auto"/>
        </w:rPr>
        <w:t>Investors</w:t>
      </w:r>
      <w:r>
        <w:rPr>
          <w:rFonts w:ascii="Arial" w:cs="Arial" w:eastAsia="Arial" w:hAnsi="Arial"/>
          <w:sz w:val="18"/>
          <w:szCs w:val="18"/>
          <w:color w:val="auto"/>
        </w:rPr>
        <w:t>”), pursuant to which the Company issued and sold to the Investors in a private placement an aggregate of 4,029,411 shares of the Company’s common stock, par value $0.001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at a price of $17.00 per share (the “</w:t>
      </w:r>
      <w:r>
        <w:rPr>
          <w:rFonts w:ascii="Arial" w:cs="Arial" w:eastAsia="Arial" w:hAnsi="Arial"/>
          <w:sz w:val="18"/>
          <w:szCs w:val="18"/>
          <w:u w:val="single" w:color="auto"/>
          <w:color w:val="auto"/>
        </w:rPr>
        <w:t>Offering</w:t>
      </w:r>
      <w:r>
        <w:rPr>
          <w:rFonts w:ascii="Arial" w:cs="Arial" w:eastAsia="Arial" w:hAnsi="Arial"/>
          <w:sz w:val="18"/>
          <w:szCs w:val="18"/>
          <w:color w:val="auto"/>
        </w:rPr>
        <w:t>”). The Offering priced on June 8, 2020.</w:t>
      </w:r>
    </w:p>
    <w:p>
      <w:pPr>
        <w:spacing w:after="0" w:line="187"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The Offering closed on June 9, 2020. The Company received aggregate gross proceeds from the Offering of approximately $68.5 million, before deducting placement agent fees and offering expenses, and aggregate net proceeds from the Offering of approximately $64.4 million, after deducting placement agent fees. SVB Leerink acted as the exclusive placement agent for the Offering.</w:t>
      </w:r>
    </w:p>
    <w:p>
      <w:pPr>
        <w:spacing w:after="0" w:line="184"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The Company has granted the Investors indemnification rights with respect to its representations, warranties, covenants and agreements under the Securities Purchase Agreement.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On June 9, 2020, the Company entered into a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with the Investors, pursuant to which the Company agreed to register for resale the Shares. Under the Registration Rights Agreement, the Company has agreed to file a registration statement covering the resale by the Investors of their Shares (the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within 15 days following the date of the Registration Rights Agreement. The Company has agreed to use commercially reasonable efforts to cause such registration statement to be declared effective as soon as practicable and to keep such registration statement effective until the date the Shares covered by such registration statement have been sold or cease to be Registrable Securities. The Company has agreed to be responsible for all fees and expenses incurred in connection with the registration of the Registrable Securities.</w:t>
      </w:r>
    </w:p>
    <w:p>
      <w:pPr>
        <w:spacing w:after="0" w:line="195"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In the event (i) the registration statement has not been filed within 15 days following the date of the Registration Rights Agreement, (ii) the registration statement is not declared effective prior to the earlier of (a) five business days after the date on which the Company is notified by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that the registration statement will not be reviewed by the SEC staff or is not subject to further comment by the SEC staff, (b) the 45</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the Registration Rights Agreement, if the SEC staff determines not to review the registration statement, or</w:t>
      </w:r>
    </w:p>
    <w:p>
      <w:pPr>
        <w:ind w:left="4" w:right="60" w:hanging="4"/>
        <w:spacing w:after="0" w:line="292"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54</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the Registration Rights Agreement, if the SEC staff determines to review the registration statement, or (iii) after the registration statement has been declared effective by the SEC, sales cannot be made pursuant to the registration statement for any reason, subject to certain limited exceptions, then the Company has agreed to make pro rata payments to each Investor as liquidated damages in an amount equal to 1% of the aggregate amount invested by each such Investor in the Registrable Securities per 30-day period or pro rata for any portion thereof for each such month during which such event continues, subject to certain caps set forth in the Registration Rights Agreement.</w:t>
      </w:r>
    </w:p>
    <w:p>
      <w:pPr>
        <w:spacing w:after="0" w:line="164"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Company has granted the Investors customary indemnification rights in connection with the registration statement. The Investors have also granted the Company customary indemnification rights in connection with the registration statement.</w:t>
      </w:r>
    </w:p>
    <w:p>
      <w:pPr>
        <w:spacing w:after="0" w:line="170"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foregoing descriptions of the Securities Purchase Agreement and the Registration Rights Agreement do not purport to be complete and are qualified in their entirety by reference to the full text of the Securities Purchase Agreement and the Registration Rights Agreement, copies of which are filed as Exhibits 10.1 and 10.2 hereto, respectively, and incorporated by reference herein.</w:t>
      </w:r>
    </w:p>
    <w:p>
      <w:pPr>
        <w:spacing w:after="0" w:line="184"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representations, warranties and covenants contained in the Securities Purchase Agreement and the Registration Rights Agreement were made solely for the benefit of the parties thereto and the placement agent expressly named as a third-party beneficiary thereto and may be subject to limitations agreed upon by the contracting parties. Accordingly, the Securities Purchase Agreement and the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w:t>
      </w:r>
    </w:p>
    <w:p>
      <w:pPr>
        <w:spacing w:after="0" w:line="337"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The information contained above in Item 1.01 is hereby incorporated by reference into this Item 3.02. Based in part upon the representations of the Investors in the Securities Purchase Agreement, the offering and sale of the Shares will be exempt from registration under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Rule 506 of Regulation D under the Securities Act. The Shares have not been registered under the Securities Act or any state securities laws, and the Shares may not be offered or sold in the United States absent registration with the SEC or an applicable exemption from the registration</w:t>
      </w:r>
    </w:p>
    <w:p>
      <w:pPr>
        <w:sectPr>
          <w:pgSz w:w="11900" w:h="16838" w:orient="portrait"/>
          <w:cols w:equalWidth="0" w:num="1">
            <w:col w:w="11004"/>
          </w:cols>
          <w:pgMar w:left="436" w:top="270" w:right="459"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requirements. The sale of the securities will not involve a public offering and will be made without general solicitation or general advertising. The Investors represented that they are accredited investors, as such term is defined in Rule 501(a) of Regulation D under the Securities Act, and that they are acquiring the Shares for investment purposes only and not with a view to any resale, distribution or other disposition of the Shares in violation of the United States federal securities laws.</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June 10, 2020, the Company issued a press release announcing plans to evaluate losmapimod as a potential treatment for patients with COVID-19. The full text of the press release issued in connection with this announcement is attached as Exhibit 99.1 to this Current Report on Form 8-K and is incorporated herein by reference.</w:t>
      </w:r>
    </w:p>
    <w:p>
      <w:pPr>
        <w:spacing w:after="0" w:line="18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information in this Item 7.01, including Exhibit 99.1, shall not be deemed “filed” for purposes of Section 18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On June 10, 2020, the Company issued a press release announcing the Offering. The full text of the press release issued in connection with this announcement is attached as Exhibit 99.2 to this Current Report on Form 8-K and is incorporated herein by reference.</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10, 2020, the Company announced plans to evaluate losmapimod as a potential treatment for patients with COVID-19. The Company has submitted an investigational new drug (“</w:t>
      </w:r>
      <w:r>
        <w:rPr>
          <w:rFonts w:ascii="Arial" w:cs="Arial" w:eastAsia="Arial" w:hAnsi="Arial"/>
          <w:sz w:val="17"/>
          <w:szCs w:val="17"/>
          <w:u w:val="single" w:color="auto"/>
          <w:color w:val="auto"/>
        </w:rPr>
        <w:t>IND</w:t>
      </w:r>
      <w:r>
        <w:rPr>
          <w:rFonts w:ascii="Arial" w:cs="Arial" w:eastAsia="Arial" w:hAnsi="Arial"/>
          <w:sz w:val="17"/>
          <w:szCs w:val="17"/>
          <w:color w:val="auto"/>
        </w:rPr>
        <w:t>”) application to support initiation of a randomized, placebo-controlled, Phase 3 clinical trial in hospitalized patients in the United States following Pre-IND consultation via the Coronavirus Treatment Acceleration Program (CTAP).</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that involve substantial risks and uncertainties, including statements regarding the Company’s plans to file a registration statement to register the resale of the Shares and the Company’s planned evaluation of losmapimod as a potential treatment for COVID-19. All statements, other than statements of historical facts, contained in this Current Report on Form 8-K,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relating to the COVID-19 pandemic; risks associated with the Company’s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ectPr>
          <w:pgSz w:w="11900" w:h="16838" w:orient="portrait"/>
          <w:cols w:equalWidth="0" w:num="1">
            <w:col w:w="11000"/>
          </w:cols>
          <w:pgMar w:left="440" w:top="274" w:right="4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8320" w:type="dxa"/>
            <w:vAlign w:val="bottom"/>
            <w:gridSpan w:val="3"/>
          </w:tcPr>
          <w:p>
            <w:pPr>
              <w:ind w:left="49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18"/>
        </w:trPr>
        <w:tc>
          <w:tcPr>
            <w:tcW w:w="800" w:type="dxa"/>
            <w:vAlign w:val="bottom"/>
            <w:gridSpan w:val="2"/>
          </w:tcPr>
          <w:p>
            <w:pPr>
              <w:jc w:val="right"/>
              <w:ind w:right="408"/>
              <w:spacing w:after="0"/>
              <w:rPr>
                <w:sz w:val="20"/>
                <w:szCs w:val="20"/>
                <w:color w:val="auto"/>
              </w:rPr>
            </w:pPr>
            <w:r>
              <w:rPr>
                <w:rFonts w:ascii="Arial" w:cs="Arial" w:eastAsia="Arial" w:hAnsi="Arial"/>
                <w:sz w:val="18"/>
                <w:szCs w:val="18"/>
                <w:color w:val="auto"/>
                <w:w w:val="85"/>
              </w:rPr>
              <w:t>10.1</w:t>
            </w:r>
          </w:p>
        </w:tc>
        <w:tc>
          <w:tcPr>
            <w:tcW w:w="8320" w:type="dxa"/>
            <w:vAlign w:val="bottom"/>
            <w:gridSpan w:val="3"/>
          </w:tcPr>
          <w:p>
            <w:pPr>
              <w:ind w:left="420"/>
              <w:spacing w:after="0"/>
              <w:rPr>
                <w:rFonts w:ascii="Arial" w:cs="Arial" w:eastAsia="Arial" w:hAnsi="Arial"/>
                <w:sz w:val="18"/>
                <w:szCs w:val="18"/>
                <w:u w:val="single" w:color="auto"/>
                <w:color w:val="0000EE"/>
                <w:w w:val="88"/>
              </w:rPr>
            </w:pPr>
            <w:hyperlink w:anchor="page6">
              <w:r>
                <w:rPr>
                  <w:rFonts w:ascii="Arial" w:cs="Arial" w:eastAsia="Arial" w:hAnsi="Arial"/>
                  <w:sz w:val="18"/>
                  <w:szCs w:val="18"/>
                  <w:u w:val="single" w:color="auto"/>
                  <w:color w:val="0000EE"/>
                  <w:w w:val="88"/>
                </w:rPr>
                <w:t>Securities Purchase Agreement, dated June 9, 2020, by and among the Company and the other parties thereto.</w:t>
              </w:r>
            </w:hyperlink>
          </w:p>
        </w:tc>
      </w:tr>
      <w:tr>
        <w:trPr>
          <w:trHeight w:val="324"/>
        </w:trPr>
        <w:tc>
          <w:tcPr>
            <w:tcW w:w="800" w:type="dxa"/>
            <w:vAlign w:val="bottom"/>
            <w:gridSpan w:val="2"/>
          </w:tcPr>
          <w:p>
            <w:pPr>
              <w:jc w:val="right"/>
              <w:ind w:right="408"/>
              <w:spacing w:after="0"/>
              <w:rPr>
                <w:sz w:val="20"/>
                <w:szCs w:val="20"/>
                <w:color w:val="auto"/>
              </w:rPr>
            </w:pPr>
            <w:r>
              <w:rPr>
                <w:rFonts w:ascii="Arial" w:cs="Arial" w:eastAsia="Arial" w:hAnsi="Arial"/>
                <w:sz w:val="18"/>
                <w:szCs w:val="18"/>
                <w:color w:val="auto"/>
                <w:w w:val="85"/>
              </w:rPr>
              <w:t>10.2</w:t>
            </w:r>
          </w:p>
        </w:tc>
        <w:tc>
          <w:tcPr>
            <w:tcW w:w="8320" w:type="dxa"/>
            <w:vAlign w:val="bottom"/>
            <w:gridSpan w:val="3"/>
          </w:tcPr>
          <w:p>
            <w:pPr>
              <w:ind w:left="420"/>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Registration Rights Agreement, dated June 9, 2020, by and among the Company and the other parties thereto.</w:t>
              </w:r>
            </w:hyperlink>
          </w:p>
        </w:tc>
      </w:tr>
      <w:tr>
        <w:trPr>
          <w:trHeight w:val="324"/>
        </w:trPr>
        <w:tc>
          <w:tcPr>
            <w:tcW w:w="800" w:type="dxa"/>
            <w:vAlign w:val="bottom"/>
            <w:gridSpan w:val="2"/>
          </w:tcPr>
          <w:p>
            <w:pPr>
              <w:jc w:val="right"/>
              <w:ind w:right="408"/>
              <w:spacing w:after="0"/>
              <w:rPr>
                <w:sz w:val="20"/>
                <w:szCs w:val="20"/>
                <w:color w:val="auto"/>
              </w:rPr>
            </w:pPr>
            <w:r>
              <w:rPr>
                <w:rFonts w:ascii="Arial" w:cs="Arial" w:eastAsia="Arial" w:hAnsi="Arial"/>
                <w:sz w:val="18"/>
                <w:szCs w:val="18"/>
                <w:color w:val="auto"/>
                <w:w w:val="85"/>
              </w:rPr>
              <w:t>99.1</w:t>
            </w:r>
          </w:p>
        </w:tc>
        <w:tc>
          <w:tcPr>
            <w:tcW w:w="8320" w:type="dxa"/>
            <w:vAlign w:val="bottom"/>
            <w:gridSpan w:val="3"/>
          </w:tcPr>
          <w:p>
            <w:pPr>
              <w:ind w:left="4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Press Release, dated June 10, 2020.</w:t>
              </w:r>
            </w:hyperlink>
          </w:p>
        </w:tc>
      </w:tr>
      <w:tr>
        <w:trPr>
          <w:trHeight w:val="324"/>
        </w:trPr>
        <w:tc>
          <w:tcPr>
            <w:tcW w:w="800" w:type="dxa"/>
            <w:vAlign w:val="bottom"/>
            <w:gridSpan w:val="2"/>
          </w:tcPr>
          <w:p>
            <w:pPr>
              <w:jc w:val="right"/>
              <w:ind w:right="408"/>
              <w:spacing w:after="0"/>
              <w:rPr>
                <w:sz w:val="20"/>
                <w:szCs w:val="20"/>
                <w:color w:val="auto"/>
              </w:rPr>
            </w:pPr>
            <w:r>
              <w:rPr>
                <w:rFonts w:ascii="Arial" w:cs="Arial" w:eastAsia="Arial" w:hAnsi="Arial"/>
                <w:sz w:val="18"/>
                <w:szCs w:val="18"/>
                <w:color w:val="auto"/>
                <w:w w:val="85"/>
              </w:rPr>
              <w:t>99.2</w:t>
            </w:r>
          </w:p>
        </w:tc>
        <w:tc>
          <w:tcPr>
            <w:tcW w:w="8320" w:type="dxa"/>
            <w:vAlign w:val="bottom"/>
            <w:gridSpan w:val="3"/>
          </w:tcPr>
          <w:p>
            <w:pPr>
              <w:ind w:left="4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Press Release, dated June 10, 2020.</w:t>
              </w:r>
            </w:hyperlink>
          </w:p>
        </w:tc>
      </w:tr>
    </w:tbl>
    <w:p>
      <w:pPr>
        <w:sectPr>
          <w:pgSz w:w="11900" w:h="16838" w:orient="portrait"/>
          <w:cols w:equalWidth="0" w:num="1">
            <w:col w:w="10019"/>
          </w:cols>
          <w:pgMar w:left="440" w:top="27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FULCRUM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10, 2020</w:t>
            </w: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By:  /s/ Robert J. Gould</w:t>
            </w:r>
          </w:p>
        </w:tc>
      </w:tr>
      <w:tr>
        <w:trPr>
          <w:trHeight w:val="195"/>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SECURITIES PURCHASE AGREEMENT</w:t>
      </w:r>
    </w:p>
    <w:p>
      <w:pPr>
        <w:spacing w:after="0" w:line="229" w:lineRule="exact"/>
        <w:rPr>
          <w:sz w:val="20"/>
          <w:szCs w:val="20"/>
          <w:color w:val="auto"/>
        </w:rPr>
      </w:pPr>
    </w:p>
    <w:p>
      <w:pPr>
        <w:jc w:val="both"/>
        <w:ind w:right="740" w:firstLine="440"/>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June 9, 2020 by and among Fulcrum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(each an “</w:t>
      </w:r>
      <w:r>
        <w:rPr>
          <w:rFonts w:ascii="Arial" w:cs="Arial" w:eastAsia="Arial" w:hAnsi="Arial"/>
          <w:sz w:val="18"/>
          <w:szCs w:val="18"/>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The Company and the Investors are executing and delivering this Agreement in reliance upon the exemption from securities registration afforded by the provisions of Section 4(a)(2) of the 1933 Act (as defined below), and Rule 506 of Regulation D (“</w:t>
      </w:r>
      <w:r>
        <w:rPr>
          <w:rFonts w:ascii="Arial" w:cs="Arial" w:eastAsia="Arial" w:hAnsi="Arial"/>
          <w:sz w:val="18"/>
          <w:szCs w:val="18"/>
          <w:u w:val="single" w:color="auto"/>
          <w:color w:val="auto"/>
        </w:rPr>
        <w:t>Regulation D</w:t>
      </w:r>
      <w:r>
        <w:rPr>
          <w:rFonts w:ascii="Arial" w:cs="Arial" w:eastAsia="Arial" w:hAnsi="Arial"/>
          <w:sz w:val="18"/>
          <w:szCs w:val="18"/>
          <w:color w:val="auto"/>
        </w:rPr>
        <w:t>”) as promulgated by the SEC (as defined below) under the 1933 Act;</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B. The Investors wish to purchase from the Company, and the Company wishes to sell and issue to the Investors, upon the terms and subject to the conditions stated in this Agreement, an aggregate of 4,029,411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C. Contemporaneously with the sale of the Shares, the parties hereto will execute and deliver a Registration Rights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pursuant to which the Company will agree to provide certain registration rights in respect of the Shares under the 1933 Act and applicable state securities laws.</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meanings set forth below:</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through one or more intermediaries Controls, is controlled by, or is under common Control with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Saturday or Sunday, on which banks in New York City are open for the general transaction of business.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ectPr>
          <w:pgSz w:w="11900" w:h="16838" w:orient="portrait"/>
          <w:cols w:equalWidth="0" w:num="1">
            <w:col w:w="11020"/>
          </w:cols>
          <w:pgMar w:left="440" w:top="121" w:right="439" w:bottom="1440" w:gutter="0" w:footer="0" w:header="0"/>
        </w:sectPr>
      </w:pPr>
    </w:p>
    <w:bookmarkStart w:id="6" w:name="page7"/>
    <w:bookmarkEnd w:id="6"/>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Company Covered Person</w:t>
      </w:r>
      <w:r>
        <w:rPr>
          <w:rFonts w:ascii="Arial" w:cs="Arial" w:eastAsia="Arial" w:hAnsi="Arial"/>
          <w:sz w:val="18"/>
          <w:szCs w:val="18"/>
          <w:color w:val="auto"/>
        </w:rPr>
        <w:t>” means, with respect to the Company as an “issuer” for purposes of Rule 506 promulgated under the 1933 Act, any Person listed in the first paragraph of Rule 506(d)(1).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Company’s Knowledge</w:t>
      </w:r>
      <w:r>
        <w:rPr>
          <w:rFonts w:ascii="Arial" w:cs="Arial" w:eastAsia="Arial" w:hAnsi="Arial"/>
          <w:sz w:val="16"/>
          <w:szCs w:val="16"/>
          <w:color w:val="auto"/>
        </w:rPr>
        <w:t>” means the actual knowledge of the executive officers (as defined in Rule 405 under the 1933 Act) of the Company.</w:t>
      </w:r>
    </w:p>
    <w:p>
      <w:pPr>
        <w:spacing w:after="0" w:line="24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Disqualification Event</w:t>
      </w:r>
      <w:r>
        <w:rPr>
          <w:rFonts w:ascii="Arial" w:cs="Arial" w:eastAsia="Arial" w:hAnsi="Arial"/>
          <w:sz w:val="18"/>
          <w:szCs w:val="18"/>
          <w:color w:val="auto"/>
        </w:rPr>
        <w:t>” has the meaning set forth in Section 4.33.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 system</w:t>
      </w:r>
      <w:r>
        <w:rPr>
          <w:rFonts w:ascii="Arial" w:cs="Arial" w:eastAsia="Arial" w:hAnsi="Arial"/>
          <w:sz w:val="18"/>
          <w:szCs w:val="18"/>
          <w:color w:val="auto"/>
        </w:rPr>
        <w:t>” has the meaning set forth in Section 4.9.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7.4(b).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has the meaning set forth in Section 4.15.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set forth in Section 4.17.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Section 4.14.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(i) the assets, liabilities, results of operations, financial condition or business of the Company and its subsidiary taken as a whole, (ii) the legality or enforceability of any of the Transaction Documents or (iii) the ability of the Company to perform its obligations under the Transaction Documents, except that for purposes of Section 6.1(i) of this Agreement, in no event shall a change in the market price of the Common Stock alone constitute a “Material Adverse Effect”.</w:t>
      </w:r>
    </w:p>
    <w:p>
      <w:pPr>
        <w:spacing w:after="0" w:line="187"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means any contract, instrument or other agreement to which the Company is a party or by which it is bound that has been filed or was required to have been filed as an exhibit to the SEC Filings pursuant to Item 601(b)(4) or Item 601(b)(10) of Regulation S-K.</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Market.</w:t>
      </w:r>
    </w:p>
    <w:p>
      <w:pPr>
        <w:spacing w:after="0" w:line="225"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40" w:top="274" w:right="57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SVB Leerink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Release</w:t>
      </w:r>
      <w:r>
        <w:rPr>
          <w:rFonts w:ascii="Arial" w:cs="Arial" w:eastAsia="Arial" w:hAnsi="Arial"/>
          <w:sz w:val="18"/>
          <w:szCs w:val="18"/>
          <w:color w:val="auto"/>
        </w:rPr>
        <w:t>” has the meaning set forth in Section 9.7.</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Trading Market</w:t>
      </w:r>
      <w:r>
        <w:rPr>
          <w:rFonts w:ascii="Arial" w:cs="Arial" w:eastAsia="Arial" w:hAnsi="Arial"/>
          <w:sz w:val="18"/>
          <w:szCs w:val="18"/>
          <w:color w:val="auto"/>
        </w:rPr>
        <w:t>” means the Trading Market on which the Common Stock is primarily listed on and quoted for trading, which, as of the date of this Agreement and the Closing Date, shall be the Nasdaq Global Market.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Authorities</w:t>
      </w:r>
      <w:r>
        <w:rPr>
          <w:rFonts w:ascii="Arial" w:cs="Arial" w:eastAsia="Arial" w:hAnsi="Arial"/>
          <w:sz w:val="18"/>
          <w:szCs w:val="18"/>
          <w:color w:val="auto"/>
        </w:rPr>
        <w:t>” has the meaning set forth in Section 4.30.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has the meaning set forth in Section 4.8.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1934 Act (but shall not be deemed to include the location and/or reservation of borrowable shares of Common Stock).</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(i) a day on which the Common Stock is listed or quoted and traded on its Principal Trading Market (other than the OTC Bulletin Board), or (ii) if the Common Stock is not listed on a Trading Market (other than the OTC Bulletin Board), a day on which the Common Stock is traded in the over-the-counter market, as reported by the OTC Bulletin Board, or (iii) if the Common Stock is not quoted on any Trading Market, a day on which the Common Stock is quoted in the over-the-counter market as reported in the “pink sheets” by OTC Markets Group Inc. (or any similar organization or agency succeeding to its functions of reporting prices); provided, that in the event that the Common Stock is not listed or quoted as set forth in (i), (ii) or (iii) hereof, then Trading Day shall mean a Business Day.</w:t>
      </w:r>
    </w:p>
    <w:p>
      <w:pPr>
        <w:spacing w:after="0" w:line="178"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whichever of the New York Stock Exchange, the NYSE American, the Nasdaq Global Select Market, the Nasdaq Global Market, the Nasdaq Capital Market or the OTC Bulletin Board on which the Common Stock is listed or quoted for trading on the date in question.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the Registration Rights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8" w:name="page9"/>
    <w:bookmarkEnd w:id="8"/>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1933 Act</w:t>
      </w:r>
      <w:r>
        <w:rPr>
          <w:rFonts w:ascii="Arial" w:cs="Arial" w:eastAsia="Arial" w:hAnsi="Arial"/>
          <w:sz w:val="17"/>
          <w:szCs w:val="17"/>
          <w:color w:val="auto"/>
        </w:rPr>
        <w:t>” means the Securities Act of 1933, as amended, or any successor statute, and the rules and regulations promulgated thereunder.</w:t>
      </w:r>
    </w:p>
    <w:p>
      <w:pPr>
        <w:spacing w:after="0" w:line="237" w:lineRule="exact"/>
        <w:rPr>
          <w:sz w:val="20"/>
          <w:szCs w:val="20"/>
          <w:color w:val="auto"/>
        </w:rPr>
      </w:pPr>
    </w:p>
    <w:p>
      <w:pPr>
        <w:ind w:left="4" w:right="1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 or any successor statute, and the rules and regulations promulgated thereunder.</w:t>
      </w:r>
    </w:p>
    <w:p>
      <w:pPr>
        <w:spacing w:after="0" w:line="170" w:lineRule="exact"/>
        <w:rPr>
          <w:sz w:val="20"/>
          <w:szCs w:val="20"/>
          <w:color w:val="auto"/>
        </w:rPr>
      </w:pPr>
    </w:p>
    <w:p>
      <w:pPr>
        <w:ind w:left="4" w:right="40" w:firstLine="436"/>
        <w:spacing w:after="0" w:line="286"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Purchase and Sale of the Shares</w:t>
      </w:r>
      <w:r>
        <w:rPr>
          <w:rFonts w:ascii="Arial" w:cs="Arial" w:eastAsia="Arial" w:hAnsi="Arial"/>
          <w:sz w:val="17"/>
          <w:szCs w:val="17"/>
          <w:color w:val="auto"/>
        </w:rPr>
        <w:t xml:space="preserve">. On the Closing Date, upon the terms and subject to the conditions set forth herein, the Company will issue and sell, and the Investors will purchase, severally and not jointly, the number of Shares set forth opposite the name of such Investor under the heading “Number of Shares to be Purchased”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purchase price per Share shall be $17.00.</w:t>
      </w:r>
    </w:p>
    <w:p>
      <w:pPr>
        <w:spacing w:after="0" w:line="165" w:lineRule="exact"/>
        <w:rPr>
          <w:rFonts w:ascii="Arial" w:cs="Arial" w:eastAsia="Arial" w:hAnsi="Arial"/>
          <w:sz w:val="17"/>
          <w:szCs w:val="17"/>
          <w:color w:val="auto"/>
        </w:rPr>
      </w:pPr>
    </w:p>
    <w:p>
      <w:pPr>
        <w:ind w:left="624" w:hanging="184"/>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left="4" w:right="300" w:firstLine="991"/>
        <w:spacing w:after="0" w:line="291" w:lineRule="auto"/>
        <w:rPr>
          <w:sz w:val="20"/>
          <w:szCs w:val="20"/>
          <w:color w:val="auto"/>
        </w:rPr>
      </w:pPr>
      <w:r>
        <w:rPr>
          <w:rFonts w:ascii="Arial" w:cs="Arial" w:eastAsia="Arial" w:hAnsi="Arial"/>
          <w:sz w:val="16"/>
          <w:szCs w:val="16"/>
          <w:color w:val="auto"/>
        </w:rPr>
        <w:t xml:space="preserve">3.1. Upon the satisfaction of the conditions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the completion of the purchase and sale of the Shares (the “</w:t>
      </w:r>
      <w:r>
        <w:rPr>
          <w:rFonts w:ascii="Arial" w:cs="Arial" w:eastAsia="Arial" w:hAnsi="Arial"/>
          <w:sz w:val="16"/>
          <w:szCs w:val="16"/>
          <w:u w:val="single" w:color="auto"/>
          <w:color w:val="auto"/>
        </w:rPr>
        <w:t>Closing</w:t>
      </w:r>
      <w:r>
        <w:rPr>
          <w:rFonts w:ascii="Arial" w:cs="Arial" w:eastAsia="Arial" w:hAnsi="Arial"/>
          <w:sz w:val="16"/>
          <w:szCs w:val="16"/>
          <w:color w:val="auto"/>
        </w:rPr>
        <w:t>”) shall occur remotely via exchange of documents and signatures at a time (the “</w:t>
      </w:r>
      <w:r>
        <w:rPr>
          <w:rFonts w:ascii="Arial" w:cs="Arial" w:eastAsia="Arial" w:hAnsi="Arial"/>
          <w:sz w:val="16"/>
          <w:szCs w:val="16"/>
          <w:u w:val="single" w:color="auto"/>
          <w:color w:val="auto"/>
        </w:rPr>
        <w:t>Closing Date</w:t>
      </w:r>
      <w:r>
        <w:rPr>
          <w:rFonts w:ascii="Arial" w:cs="Arial" w:eastAsia="Arial" w:hAnsi="Arial"/>
          <w:sz w:val="16"/>
          <w:szCs w:val="16"/>
          <w:color w:val="auto"/>
        </w:rPr>
        <w:t>”) to be agreed to by the Company and the Investors but</w:t>
      </w:r>
    </w:p>
    <w:p>
      <w:pPr>
        <w:ind w:left="4" w:right="60" w:hanging="4"/>
        <w:spacing w:after="0" w:line="260"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 event earlier than the second Business Day after the date hereof and (ii) in no event later than the fifth Trading Day after the date hereof, and of which the Investors will be notified in advance by the Placement Agent.</w:t>
      </w:r>
    </w:p>
    <w:p>
      <w:pPr>
        <w:spacing w:after="0" w:line="185"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3.2. On the Closing Date, each Investor shall deliver or cause to be delivered to the Company, via wire transfer of immediately available funds pursuant to the wire instructions delivered to such Investor by the Company on or prior to the Closing Date, an amount equal to the purchase price to be paid by the Investor for the Shares to be acquired by it as set forth opposite the name of such Investor under the heading “Aggregate Purchase Price of Shares”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7"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 xml:space="preserve">3.3. At or before the Closing, the Company shall deliver or cause to be delivered to each Investor a number of Shares, registered in the name of the Investor (or its nominee in accordance with its delivery instructions), equal to the number of Shares set forth opposite the name of such Investor under the heading “Number of Shares to be Purchased”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Shares shall be delivered via a book-entry record through the Company’s transfer agent. Unless the Company and an Investor otherwise mutually agree with respect to such Investor’s Shares, at Closing settlement shall occur on a “delivery versus payment” basis.</w:t>
      </w:r>
    </w:p>
    <w:p>
      <w:pPr>
        <w:spacing w:after="0" w:line="188" w:lineRule="exact"/>
        <w:rPr>
          <w:sz w:val="20"/>
          <w:szCs w:val="20"/>
          <w:color w:val="auto"/>
        </w:rPr>
      </w:pPr>
    </w:p>
    <w:p>
      <w:pPr>
        <w:ind w:left="4" w:right="120" w:firstLine="436"/>
        <w:spacing w:after="0" w:line="259"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the Investors that, except (a) as described in the Company’s SEC Filings (as defined below) and (b) as set forth on the disclosure schedule delivered herewith (which is arranged in numbered and lettered sections corresponding to the numbered and lettered sections contained in this Section 4) (the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each of which qualify these representations and warranties in their entirety:</w:t>
      </w:r>
    </w:p>
    <w:p>
      <w:pPr>
        <w:spacing w:after="0" w:line="187"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Company is a corporation duly organized, validly existing and in good standing under the laws of the jurisdiction of its incorporation and has all requisite corporate power and authority to carry on its business as now conducted and to own or lease its properties. The Company is duly qualified to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9" w:name="page10"/>
    <w:bookmarkEnd w:id="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a Material Adverse Effect. The Company’s subsidiary is set forth on Exhibit 21.1 to its most recent Annual Report on Form 10-K, and the Company owns 100% of the outstanding equity securities of such subsidiary. The Company’s subsidiary is duly organized, validly existing and in good standing under the laws of the Commonwealth of Massachusetts and has all requisite power and authority to carry on its business as now conducted and to own or lease its properties. The Company’s subsidiary is duly qualified to 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a Material Adverse Effect.</w:t>
      </w:r>
    </w:p>
    <w:p>
      <w:pPr>
        <w:spacing w:after="0" w:line="17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r>
        <w:rPr>
          <w:rFonts w:ascii="Arial" w:cs="Arial" w:eastAsia="Arial" w:hAnsi="Arial"/>
          <w:sz w:val="18"/>
          <w:szCs w:val="18"/>
          <w:color w:val="auto"/>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Shares. The Transaction Documents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9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is authorized under its Certificate of Incorporation to issue 200,000,000 shares of Common Stock. The Company’s disclosure of its issued and outstanding capital stock in its most recent SEC Filing containing such disclosure was accurate in all material respects as of the date indicated in such SEC Filing.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 No Person is entitled to preemptive or similar statutory or contractual rights with respect to the issuance by the Company of any securities of the Company, including, without limitation, the Shares. Except for stock options granted under Company stock-based compensation plans described in the SEC Filings, there are no outstanding warrants,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similar agreements among the Company and any of the securityholders of the Company relating to the securities of the Company held by them. Except as provided in the Registration Rights Agreement, and except as provided in that certain Amended and Restated Investors’ Rights Agreement, dated as of August 24, 2018, by and among the Company and certain investors signatory thereto, no Person has the right to (i) require the Company to register any securities of the Company under the 1933 Act, whether on a demand basis or in connection with the registration of securities of the Company for its own account or for the account of any other Person, or (ii) prohibit the Company from filing a registration statement under the 1933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 w:name="page11"/>
    <w:bookmarkEnd w:id="10"/>
    <w:p>
      <w:pPr>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issuance and sale of the Shares hereunder will not obligate the Company to issue shares of Common Stock or other securities to any other Person (other than the Investors) and will not result in the adjustment of the exercise, conversion, exchange or reset price of any outstanding security.</w:t>
      </w:r>
    </w:p>
    <w:p>
      <w:pPr>
        <w:spacing w:after="0" w:line="184"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The Company does not have outstanding stockholder purchase rights or “poison pill” or any similar arrangement in effect giving any Person the right to purchase any equity interest in the Company upon the occurrence of certain events.</w:t>
      </w:r>
    </w:p>
    <w:p>
      <w:pPr>
        <w:spacing w:after="0" w:line="170"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Valid Issuance</w:t>
      </w:r>
      <w:r>
        <w:rPr>
          <w:rFonts w:ascii="Arial" w:cs="Arial" w:eastAsia="Arial" w:hAnsi="Arial"/>
          <w:sz w:val="17"/>
          <w:szCs w:val="17"/>
          <w:color w:val="auto"/>
        </w:rPr>
        <w:t>. The Shares have been duly and validly authorized and, when issued and paid for pursuant to this Agreement, will be validly issued, fully paid and nonassessable, and shall be free and clear of all encumbrances and restrictions (other than those created by the Investors), except for restrictions on transfer set forth in the Transaction Documents or imposed by applicable securities laws.</w:t>
      </w:r>
    </w:p>
    <w:p>
      <w:pPr>
        <w:spacing w:after="0" w:line="16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Consents</w:t>
      </w:r>
      <w:r>
        <w:rPr>
          <w:rFonts w:ascii="Arial" w:cs="Arial" w:eastAsia="Arial" w:hAnsi="Arial"/>
          <w:sz w:val="17"/>
          <w:szCs w:val="17"/>
          <w:color w:val="auto"/>
        </w:rPr>
        <w:t>. Subject to the accuracy of the representations and warranties of each Investor set forth in Section 5 hereof, the execution, delivery and performance by the Company of the Transaction Documents and the offer, issuance and sale of the Shares require no consent of, action by or in respect of, or filing with, any Person, governmental body, agency, or official other than (a) filings that have been made pursuant to applicable state securities laws, (b) post-sale filings pursuant to applicable state and federal securities laws, (c) filings pursuant to the rules and regulations of Nasdaq and (d) filing of the registration statement required to be filed by the Registration Rights Agreement, each of which the Company has filed or undertakes to file within the applicable time. Subject to the accuracy of the representations and warranties of each Investor set forth in Section 5 hereof, the Company has taken all action necessary to exempt (i) the issuance and sale of the Shares and (ii) the other transactions contemplated by the Transaction Documents from the provisions of any stockholder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Shares and the ownership, disposition or voting of the Shares by the Investors or the exercise of any right granted to the Investors pursuant to this Agreement or the other Transaction Documents.</w:t>
      </w:r>
    </w:p>
    <w:p>
      <w:pPr>
        <w:spacing w:after="0" w:line="179"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net proceeds of the sale of the Shares hereunder shall be used by the Company for working capital and general corporate purposes.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December 31, 2019, except as identified and described in the SEC Filings filed at least one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Trading Day prior to the date hereof, there has not been:</w:t>
      </w:r>
    </w:p>
    <w:p>
      <w:pPr>
        <w:spacing w:after="0" w:line="103" w:lineRule="exact"/>
        <w:rPr>
          <w:sz w:val="20"/>
          <w:szCs w:val="20"/>
          <w:color w:val="auto"/>
        </w:rPr>
      </w:pPr>
    </w:p>
    <w:p>
      <w:pPr>
        <w:jc w:val="both"/>
        <w:ind w:firstLine="1428"/>
        <w:spacing w:after="0" w:line="311" w:lineRule="auto"/>
        <w:tabs>
          <w:tab w:leader="none" w:pos="1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change in the consolidated assets, liabilities, financial condition or operating results of the Company from that reflected in the financial statements included in the Company’s Annual Report on Form 10-K for the year ended December 31, 2019, except for changes in the ordinary course of business which have not had and would not reasonably be expected to have a Material Adverse Effect, individually or in the aggregate;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 w:name="page12"/>
    <w:bookmarkEnd w:id="11"/>
    <w:p>
      <w:pPr>
        <w:jc w:val="both"/>
        <w:ind w:right="800" w:firstLine="1428"/>
        <w:spacing w:after="0" w:line="342" w:lineRule="auto"/>
        <w:tabs>
          <w:tab w:leader="none" w:pos="1697"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5" w:lineRule="exact"/>
        <w:rPr>
          <w:rFonts w:ascii="Arial" w:cs="Arial" w:eastAsia="Arial" w:hAnsi="Arial"/>
          <w:sz w:val="16"/>
          <w:szCs w:val="16"/>
          <w:color w:val="auto"/>
        </w:rPr>
      </w:pPr>
    </w:p>
    <w:p>
      <w:pPr>
        <w:ind w:left="1740" w:hanging="312"/>
        <w:spacing w:after="0"/>
        <w:tabs>
          <w:tab w:leader="none" w:pos="1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material damage, destruction or loss, whether or not covered by insurance, to any assets or properties of the Company;</w:t>
      </w:r>
    </w:p>
    <w:p>
      <w:pPr>
        <w:spacing w:after="0" w:line="140" w:lineRule="exact"/>
        <w:rPr>
          <w:rFonts w:ascii="Arial" w:cs="Arial" w:eastAsia="Arial" w:hAnsi="Arial"/>
          <w:sz w:val="16"/>
          <w:szCs w:val="16"/>
          <w:color w:val="auto"/>
        </w:rPr>
      </w:pPr>
    </w:p>
    <w:p>
      <w:pPr>
        <w:ind w:left="1740" w:hanging="312"/>
        <w:spacing w:after="0"/>
        <w:tabs>
          <w:tab w:leader="none" w:pos="1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waiver, not in the ordinary course of business, by the Company of a material right or of a material debt owed to it;</w:t>
      </w:r>
    </w:p>
    <w:p>
      <w:pPr>
        <w:spacing w:after="0" w:line="128" w:lineRule="exact"/>
        <w:rPr>
          <w:rFonts w:ascii="Arial" w:cs="Arial" w:eastAsia="Arial" w:hAnsi="Arial"/>
          <w:sz w:val="17"/>
          <w:szCs w:val="17"/>
          <w:color w:val="auto"/>
        </w:rPr>
      </w:pPr>
    </w:p>
    <w:p>
      <w:pPr>
        <w:ind w:right="40" w:firstLine="1428"/>
        <w:spacing w:after="0" w:line="263" w:lineRule="auto"/>
        <w:tabs>
          <w:tab w:leader="none" w:pos="1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satisfaction or discharge of any lien, claim or encumbrance or payment of any obligation by the Company, except in the ordinary course of business and which is not material to the assets, properties, financial condition, operating results or business of the Company (as such business is presently conducted);</w:t>
      </w:r>
    </w:p>
    <w:p>
      <w:pPr>
        <w:spacing w:after="0" w:line="75" w:lineRule="exact"/>
        <w:rPr>
          <w:rFonts w:ascii="Arial" w:cs="Arial" w:eastAsia="Arial" w:hAnsi="Arial"/>
          <w:sz w:val="18"/>
          <w:szCs w:val="18"/>
          <w:color w:val="auto"/>
        </w:rPr>
      </w:pPr>
    </w:p>
    <w:p>
      <w:pPr>
        <w:ind w:right="80" w:firstLine="1428"/>
        <w:spacing w:after="0" w:line="277" w:lineRule="auto"/>
        <w:tabs>
          <w:tab w:leader="none" w:pos="1737"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 or amendment to the Company’s Certificate of Incorporation or Bylaws, or material change to any material contract or arrangement by which the Company is bound or to which any of its assets or properties is subject;</w:t>
      </w:r>
    </w:p>
    <w:p>
      <w:pPr>
        <w:spacing w:after="0" w:line="62" w:lineRule="exact"/>
        <w:rPr>
          <w:rFonts w:ascii="Arial" w:cs="Arial" w:eastAsia="Arial" w:hAnsi="Arial"/>
          <w:sz w:val="18"/>
          <w:szCs w:val="18"/>
          <w:color w:val="auto"/>
        </w:rPr>
      </w:pPr>
    </w:p>
    <w:p>
      <w:pPr>
        <w:ind w:left="1780" w:hanging="352"/>
        <w:spacing w:after="0"/>
        <w:tabs>
          <w:tab w:leader="none" w:pos="1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material labor difficulties or, to the Company’s Knowledge, labor union organizing activities with respect to employees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102" w:lineRule="exact"/>
        <w:rPr>
          <w:rFonts w:ascii="Arial" w:cs="Arial" w:eastAsia="Arial" w:hAnsi="Arial"/>
          <w:sz w:val="16"/>
          <w:szCs w:val="16"/>
          <w:color w:val="auto"/>
        </w:rPr>
      </w:pPr>
    </w:p>
    <w:p>
      <w:pPr>
        <w:ind w:left="1840" w:hanging="412"/>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material transaction entered into by the Company other than in the ordinary course of business;</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loss of the services of any key employee, or material change in the composition or duties of the senior management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or</w:t>
      </w:r>
    </w:p>
    <w:p>
      <w:pPr>
        <w:spacing w:after="0" w:line="102" w:lineRule="exact"/>
        <w:rPr>
          <w:rFonts w:ascii="Arial" w:cs="Arial" w:eastAsia="Arial" w:hAnsi="Arial"/>
          <w:sz w:val="16"/>
          <w:szCs w:val="16"/>
          <w:color w:val="auto"/>
        </w:rPr>
      </w:pPr>
    </w:p>
    <w:p>
      <w:pPr>
        <w:ind w:left="1680" w:hanging="252"/>
        <w:spacing w:after="0"/>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event or condition of any character that has had or would reasonably be expected to have a Material Adverse Effect.</w:t>
      </w:r>
    </w:p>
    <w:p>
      <w:pPr>
        <w:spacing w:after="0" w:line="248"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SEC Filings</w:t>
      </w:r>
      <w:r>
        <w:rPr>
          <w:rFonts w:ascii="Arial" w:cs="Arial" w:eastAsia="Arial" w:hAnsi="Arial"/>
          <w:sz w:val="18"/>
          <w:szCs w:val="18"/>
          <w:color w:val="auto"/>
        </w:rPr>
        <w:t>. The Company has filed all reports, schedules, forms, statements and other documents required to be filed by the Company under the 1933 Act and the 1934 Act, including pursuant to Section 13(a) or 15(d) thereof, for the one year period preceding the date hereof (or such shorter period as the Company was required by law or regulation to file such material) (collectively, the “</w:t>
      </w:r>
      <w:r>
        <w:rPr>
          <w:rFonts w:ascii="Arial" w:cs="Arial" w:eastAsia="Arial" w:hAnsi="Arial"/>
          <w:sz w:val="18"/>
          <w:szCs w:val="18"/>
          <w:u w:val="single" w:color="auto"/>
          <w:color w:val="auto"/>
        </w:rPr>
        <w:t>SEC Filings</w:t>
      </w:r>
      <w:r>
        <w:rPr>
          <w:rFonts w:ascii="Arial" w:cs="Arial" w:eastAsia="Arial" w:hAnsi="Arial"/>
          <w:sz w:val="18"/>
          <w:szCs w:val="18"/>
          <w:color w:val="auto"/>
        </w:rPr>
        <w:t>”). At the time of filing thereof, the SEC Filings complied in all material respects with the requirements of the 1933 Act or the 1934 Act, as applicable, and the rules and regulations of the SEC thereunder.</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 Conflict, Breach, Violation or Default</w:t>
      </w:r>
      <w:r>
        <w:rPr>
          <w:rFonts w:ascii="Arial" w:cs="Arial" w:eastAsia="Arial" w:hAnsi="Arial"/>
          <w:sz w:val="18"/>
          <w:szCs w:val="18"/>
          <w:color w:val="auto"/>
        </w:rPr>
        <w:t>. The execution, delivery and performance of the Transaction Documents by the Company and the issuance and sale of the Shares in accordance with the provisions thereof will not, except (solely in the case of clauses (i)(b) and (ii)) for such violations, conflicts or defaults as would not reasonably be expected, individually or in the aggregate, to have a Material Adverse Effect, (i) conflict with or result in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breach or violation of (a) any of the terms and provisions of, or constitute a default under, the Company’s Certificate of Incorporation or the Company’s Bylaws, both as in effect on the date hereof (true and complete copies of which have been made available to the Investors through the Electronic Data Gathering, Analysis, and Retrieval system (the “</w:t>
      </w:r>
      <w:r>
        <w:rPr>
          <w:rFonts w:ascii="Arial" w:cs="Arial" w:eastAsia="Arial" w:hAnsi="Arial"/>
          <w:sz w:val="16"/>
          <w:szCs w:val="16"/>
          <w:u w:val="single" w:color="auto"/>
          <w:color w:val="auto"/>
        </w:rPr>
        <w:t>EDGAR system</w:t>
      </w:r>
      <w:r>
        <w:rPr>
          <w:rFonts w:ascii="Arial" w:cs="Arial" w:eastAsia="Arial" w:hAnsi="Arial"/>
          <w:sz w:val="16"/>
          <w:szCs w:val="16"/>
          <w:color w:val="auto"/>
        </w:rPr>
        <w:t>”)), or (b) assuming the accuracy of the representations and warranties in Section 5, any applicable statute, rule, regulation or order of any governmental agency or body or any court, domestic or foreign, having jurisdiction over the Company or its subsidiary,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subsidiary or give to others any rights of termination, amendment, acceleration or cancellation (with or without notice, lapse of time or both) of, any Material Contract. This Section does not relate to matters with respect to tax status, which are the subject of Section 4.10, employee relations and labor matters, which are the subject of Section 4.13, or environmental laws, which are the subject of Section 4.15.</w:t>
      </w:r>
    </w:p>
    <w:p>
      <w:pPr>
        <w:spacing w:after="0" w:line="166"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Tax Matters</w:t>
      </w:r>
      <w:r>
        <w:rPr>
          <w:rFonts w:ascii="Arial" w:cs="Arial" w:eastAsia="Arial" w:hAnsi="Arial"/>
          <w:sz w:val="17"/>
          <w:szCs w:val="17"/>
          <w:color w:val="auto"/>
        </w:rPr>
        <w:t>. The Company and its subsidiary have timely prepared and filed all material tax returns required to have been filed by them with all appropriate governmental agencies and timely paid all material taxes shown thereon or otherwise owed by them. There are no material unpaid assessments against the Company nor, to the Company’s Knowledge, any audits by any federal, state or local taxing authority. All material taxes that the Company is required to withhold or to collect for payment have been duly withheld and collected and paid to the proper governmental entity or third party when due. There are no tax liens pending or, to the Company’s Knowledge, threatened against the Company or any of its assets or property. With the exception of agreements or other arrangements that are not primarily related to taxes entered into in the ordinary course of business, there are no outstanding tax sharing agreements or other such arrangements between the Company and any other corporation or entity (other than a subsidiary of the Company).</w:t>
      </w:r>
    </w:p>
    <w:p>
      <w:pPr>
        <w:spacing w:after="0" w:line="178" w:lineRule="exact"/>
        <w:rPr>
          <w:sz w:val="20"/>
          <w:szCs w:val="20"/>
          <w:color w:val="auto"/>
        </w:rPr>
      </w:pPr>
    </w:p>
    <w:p>
      <w:pPr>
        <w:jc w:val="both"/>
        <w:ind w:right="60" w:firstLine="991"/>
        <w:spacing w:after="0" w:line="30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Title to Properties</w:t>
      </w:r>
      <w:r>
        <w:rPr>
          <w:rFonts w:ascii="Arial" w:cs="Arial" w:eastAsia="Arial" w:hAnsi="Arial"/>
          <w:sz w:val="16"/>
          <w:szCs w:val="16"/>
          <w:color w:val="auto"/>
        </w:rPr>
        <w:t>. The Company and its subsidiary have good and marketable title to all real properties and all other properties and assets owned by them, in each case free from liens, encumbrances and defects, except such as would not reasonably be expected, individually or in the aggregate, to have a Material Adverse Effect; and the Company and its subsidiary hold any leased real or personal property under valid and enforceable leases with no exceptions, except such as would not reasonably be expected, individually or in the aggregate, to have a Material Adverse Effect.</w:t>
      </w:r>
    </w:p>
    <w:p>
      <w:pPr>
        <w:spacing w:after="0" w:line="157" w:lineRule="exact"/>
        <w:rPr>
          <w:sz w:val="20"/>
          <w:szCs w:val="20"/>
          <w:color w:val="auto"/>
        </w:rPr>
      </w:pPr>
    </w:p>
    <w:p>
      <w:pPr>
        <w:jc w:val="both"/>
        <w:ind w:right="380" w:firstLine="991"/>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Certificates, Authorities and Permits</w:t>
      </w:r>
      <w:r>
        <w:rPr>
          <w:rFonts w:ascii="Arial" w:cs="Arial" w:eastAsia="Arial" w:hAnsi="Arial"/>
          <w:sz w:val="18"/>
          <w:szCs w:val="18"/>
          <w:color w:val="auto"/>
        </w:rPr>
        <w:t>. The Company possesses adequate certificates, authorities or permits issued by appropriate governmental agencies or bodies necessary to conduct the business now operated by it, except where failure to so possess would not reasonably be expected, individually or in the aggregate, to result in a Material Adverse Effect. The Company has not received any written notice of proceedings relating to the revocation or modification of any such certificate, authority or permit that would reasonably be expected to have a Material Adverse Effect, individually or in the aggregate, on the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3" w:name="page14"/>
    <w:bookmarkEnd w:id="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4.13.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ind w:right="240" w:firstLine="987"/>
        <w:spacing w:after="0" w:line="259"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not party to or bound by any collective bargaining agreements or other agreements with labor organizations. To the Company’s Knowledge, the Company has not violated in any material respect any laws, regulations, orders or contract terms affecting the collective bargaining rights of employees or labor organizations, or any laws, regulations or orders affecting employment discrimination, equal opportunity employment, or employees’ health, safety, welfare, wages and hours.</w:t>
      </w:r>
    </w:p>
    <w:p>
      <w:pPr>
        <w:spacing w:after="0" w:line="186" w:lineRule="exact"/>
        <w:rPr>
          <w:rFonts w:ascii="Arial" w:cs="Arial" w:eastAsia="Arial" w:hAnsi="Arial"/>
          <w:sz w:val="18"/>
          <w:szCs w:val="18"/>
          <w:color w:val="auto"/>
        </w:rPr>
      </w:pPr>
    </w:p>
    <w:p>
      <w:pPr>
        <w:ind w:firstLine="987"/>
        <w:spacing w:after="0" w:line="27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with the employees of any principal supplier, manufacturer, customer or contractor of the Company, exists or, to the Company’s Knowledge, is threatened or imminent.</w:t>
      </w:r>
    </w:p>
    <w:p>
      <w:pPr>
        <w:spacing w:after="0" w:line="170" w:lineRule="exact"/>
        <w:rPr>
          <w:sz w:val="20"/>
          <w:szCs w:val="20"/>
          <w:color w:val="auto"/>
        </w:rPr>
      </w:pPr>
    </w:p>
    <w:p>
      <w:pPr>
        <w:ind w:right="60" w:firstLine="991"/>
        <w:spacing w:after="0" w:line="286"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its subsidiary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 Company’s business in all material respects as now conducted or as proposed in the SEC Filings to be conducted; and (a) there are no rights of third parties to any such Intellectual Property, including no liens, security interests or other encumbrances; (b) to the Company’s Knowledge, there is no material infringement by third parties of any such Intellectual Property; (c) there is no pending or, to the Company’s Knowledge, threatened action, suit, proceeding or claim by others challenging the Company’s rights in or to any such Intellectual Property; (d) such Intellectual Property that is described in the SEC Filings has not been adjudged by a court of competent jurisdiction invalid or unenforceable, in whole or in part; (e) there is no pending or, to the Company’s Knowledge, threatened action, suit, proceeding or claim by others challenging the validity or scope of any such Intellectual Property that is owned or licensed by the Company, including interferences, oppositions, reexaminations or government proceedings; (f) there is no pending or, to the Company’s Knowledge, threatened action, suit, proceeding or claim by others that the Company infringes, misappropriates, or otherwise violates any patent, trademark, copyright, trade secret or other proprietary rights of others; and (g) to the Company’s Knowledge, each Company employee involved with the development of Intellectual Property has entered into an invention assignment agreement with the Company.</w:t>
      </w:r>
    </w:p>
    <w:p>
      <w:pPr>
        <w:spacing w:after="0" w:line="174"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The Company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has not released any hazardous substances regulated by Environmental Law onto any real property that it owns or operates and has not received any written notice or claim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w:t>
      </w:r>
    </w:p>
    <w:p>
      <w:pPr>
        <w:spacing w:after="0" w:line="177"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legal, governmental or regulatory investigations, actions, suits or proceedings pending to which the Company or its subsidiary are or may reasonably be expected to become a party or to which any property of the Company or its subsidiary are or may reasonably be expected to become the subject that, individually or in the aggregate, would reasonably be expected to have a Material Adverse Effect.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4" w:name="page15"/>
    <w:bookmarkEnd w:id="14"/>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4.17.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United States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disclosed therein or in the notes thereto, and except that the unaudited financial statements may not contain all footnotes required by GAAP, and, in the case of quarterly financial statements, except as permitted by Form 10-Q under the 1934 Act).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w:t>
      </w:r>
    </w:p>
    <w:p>
      <w:pPr>
        <w:spacing w:after="0" w:line="182" w:lineRule="exact"/>
        <w:rPr>
          <w:sz w:val="20"/>
          <w:szCs w:val="20"/>
          <w:color w:val="auto"/>
        </w:rPr>
      </w:pPr>
    </w:p>
    <w:p>
      <w:pPr>
        <w:ind w:right="160" w:firstLine="991"/>
        <w:spacing w:after="0" w:line="311"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Insurance Coverage</w:t>
      </w:r>
      <w:r>
        <w:rPr>
          <w:rFonts w:ascii="Arial" w:cs="Arial" w:eastAsia="Arial" w:hAnsi="Arial"/>
          <w:sz w:val="16"/>
          <w:szCs w:val="16"/>
          <w:color w:val="auto"/>
        </w:rPr>
        <w:t>. The Company maintains in full force and effect insurance coverage that is customary for comparably situated companies for the business being conducted and properties owned or leased by the Company, and the Company reasonably believes such insurance coverage to be adequate against all liabilities, claims and risks against which it is customary for comparably situated companies to insure.</w:t>
      </w:r>
    </w:p>
    <w:p>
      <w:pPr>
        <w:spacing w:after="0" w:line="14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Compliance with Nasdaq Continued Listing Requirements</w:t>
      </w:r>
      <w:r>
        <w:rPr>
          <w:rFonts w:ascii="Arial" w:cs="Arial" w:eastAsia="Arial" w:hAnsi="Arial"/>
          <w:sz w:val="18"/>
          <w:szCs w:val="18"/>
          <w:color w:val="auto"/>
        </w:rPr>
        <w:t>.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87"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Brokers and Finders</w:t>
      </w:r>
      <w:r>
        <w:rPr>
          <w:rFonts w:ascii="Arial" w:cs="Arial" w:eastAsia="Arial" w:hAnsi="Arial"/>
          <w:sz w:val="16"/>
          <w:szCs w:val="16"/>
          <w:color w:val="auto"/>
        </w:rPr>
        <w:t>. Other than the Placement Agent,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the Company. No Investor shall have any obligation with respect to any fees, or with respect to any claims made by or on behalf of other Persons for fees, in each case of the type contemplated by this Section 4.20 that may be due in connection with the transactions contemplated by this Agreement or the Transaction Documents.</w:t>
      </w:r>
    </w:p>
    <w:p>
      <w:pPr>
        <w:spacing w:after="0" w:line="161"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No Directed Selling Efforts or General Solicitation</w:t>
      </w:r>
      <w:r>
        <w:rPr>
          <w:rFonts w:ascii="Arial" w:cs="Arial" w:eastAsia="Arial" w:hAnsi="Arial"/>
          <w:sz w:val="16"/>
          <w:szCs w:val="16"/>
          <w:color w:val="auto"/>
        </w:rPr>
        <w:t>. Neither the Company nor any Person acting on its behalf has conducted any general solicitation or general advertising (as those terms are used in Regulation D) in connection with the offer or sale of any of the Shares.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5" w:name="page16"/>
    <w:bookmarkEnd w:id="15"/>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4.22.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its subsidiary nor any Person acting on their behalf has, directly or indirectly, made any offers or sales of any Company security or solicited any offers to buy any Company security, under circumstances that would adversely affect reliance by the Company on Section 4(a)(2) and Regulation D for the exemption from registration for the transactions contemplated hereby or would require registration of the Shares under the 1933 Act.</w:t>
      </w:r>
    </w:p>
    <w:p>
      <w:pPr>
        <w:spacing w:after="0" w:line="18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Private Placement</w:t>
      </w:r>
      <w:r>
        <w:rPr>
          <w:rFonts w:ascii="Arial" w:cs="Arial" w:eastAsia="Arial" w:hAnsi="Arial"/>
          <w:sz w:val="18"/>
          <w:szCs w:val="18"/>
          <w:color w:val="auto"/>
        </w:rPr>
        <w:t>. Assuming the accuracy of the representations and warranties of the Investors set forth in Section 5, the offer and sale of the Shares to the Investors as contemplated hereby is exempt from the registration requirements of the 1933 Act. The issuance and sale of the Shares does not contravene the rules and regulations of Nasdaq.</w:t>
      </w:r>
    </w:p>
    <w:p>
      <w:pPr>
        <w:spacing w:after="0" w:line="184"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Questionable Payments</w:t>
      </w:r>
      <w:r>
        <w:rPr>
          <w:rFonts w:ascii="Arial" w:cs="Arial" w:eastAsia="Arial" w:hAnsi="Arial"/>
          <w:sz w:val="18"/>
          <w:szCs w:val="18"/>
          <w:color w:val="auto"/>
        </w:rPr>
        <w:t>. Neither the Company nor its subsidiary nor, to the Company’s Knowledge, any of their current or former directors, officers, employees, agents or other Persons acting on behalf of the Company or its subsidiary, has on behalf of the Company or its subsidiary in connection with their business: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which is in violation of law; (d) made any false or fictitious entries on the books and records of the Company; or (e) made any unlawful bribe, rebate, payoff, influence payment, kickback or other unlawful payment of any nature.</w:t>
      </w:r>
    </w:p>
    <w:p>
      <w:pPr>
        <w:spacing w:after="0" w:line="195"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None of the executive officers or directors of the Company and, to the Company’s Knowledge, none of the employees of the Company is presently a party to any transaction with the Company (other than as holders of stock options, warrants and/or restricted stock,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spacing w:after="0" w:line="192"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Internal Controls</w:t>
      </w:r>
      <w:r>
        <w:rPr>
          <w:rFonts w:ascii="Arial" w:cs="Arial" w:eastAsia="Arial" w:hAnsi="Arial"/>
          <w:sz w:val="18"/>
          <w:szCs w:val="18"/>
          <w:color w:val="auto"/>
        </w:rPr>
        <w:t>. The Company has established and maintains disclosure controls and procedures (as defined in Rules 13a-15 and 15d-15 under the 1934 Act), which are designed to ensure that material information relating to the Company, including its subsidiary, is made known to the Company’s principal executive officer and its principal financial officer by others within those entities. Since the end of the Company’s most recent audited fiscal year, there have been no material weaknesses in the Company’s internal control over financial reporting (whether or not remediated) and no change in the Company’s internal control over 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affected, or would reasonably be expected to materially affect, the Company’s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 w:name="page17"/>
    <w:bookmarkEnd w:id="16"/>
    <w:p>
      <w:pPr>
        <w:ind w:right="10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4.27. </w:t>
      </w:r>
      <w:r>
        <w:rPr>
          <w:rFonts w:ascii="Arial" w:cs="Arial" w:eastAsia="Arial" w:hAnsi="Arial"/>
          <w:sz w:val="16"/>
          <w:szCs w:val="16"/>
          <w:u w:val="single" w:color="auto"/>
          <w:color w:val="auto"/>
        </w:rPr>
        <w:t>Disclosures</w:t>
      </w:r>
      <w:r>
        <w:rPr>
          <w:rFonts w:ascii="Arial" w:cs="Arial" w:eastAsia="Arial" w:hAnsi="Arial"/>
          <w:sz w:val="16"/>
          <w:szCs w:val="16"/>
          <w:color w:val="auto"/>
        </w:rPr>
        <w:t>. Neither the Company nor any Person acting on its behalf has provided the Investors or their agents or counsel with any information that constitutes or would reasonably be expected to constitute material nonpublic information concerning the Company or its subsidiary, other than (A) with respect to the transactions contemplated hereby, which will be disclosed in the Press Release (as defined below) and (B) as set forth on the Disclosure Schedule. The SEC Filings do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transactions in securities of the Company.</w:t>
      </w:r>
    </w:p>
    <w:p>
      <w:pPr>
        <w:spacing w:after="0" w:line="16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Required Filings</w:t>
      </w:r>
      <w:r>
        <w:rPr>
          <w:rFonts w:ascii="Arial" w:cs="Arial" w:eastAsia="Arial" w:hAnsi="Arial"/>
          <w:sz w:val="18"/>
          <w:szCs w:val="18"/>
          <w:color w:val="auto"/>
        </w:rPr>
        <w:t>. Except for the transactions contemplated by this Agreement, including the acquisition of the Shares contemplated hereby,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an effective registration statement filed by the Company under the 1933 Act).</w:t>
      </w:r>
    </w:p>
    <w:p>
      <w:pPr>
        <w:spacing w:after="0" w:line="188"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required to be registered as, and immediately following the Closing will not be required to register as, an “investment company” within the meaning of the Investment Company Act of 1940, as amended.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4.30. </w:t>
      </w:r>
      <w:r>
        <w:rPr>
          <w:rFonts w:ascii="Arial" w:cs="Arial" w:eastAsia="Arial" w:hAnsi="Arial"/>
          <w:sz w:val="17"/>
          <w:szCs w:val="17"/>
          <w:u w:val="single" w:color="auto"/>
          <w:color w:val="auto"/>
        </w:rPr>
        <w:t>Tests and Preclinical and Clinical Trials</w:t>
      </w:r>
      <w:r>
        <w:rPr>
          <w:rFonts w:ascii="Arial" w:cs="Arial" w:eastAsia="Arial" w:hAnsi="Arial"/>
          <w:sz w:val="17"/>
          <w:szCs w:val="17"/>
          <w:color w:val="auto"/>
        </w:rPr>
        <w:t>. All clinical and pre-clinical trials conducted by or on behalf of, or sponsored by,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or its subsidiary, or in which the Company or its subsidiary have participated, that are described or referred to in the SEC Filings were and,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still pending, are being conducted, in all material respects, in compliance with the experimental protocols established for such trials, with accepted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medical and scientific standards, and all applicable statutes and all applicable rules and regulations of the U.S. Food and Drug Administration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comparable regulatory agencies outside of the United States to which they are subject, including the European Medicines Agency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Authorities</w:t>
      </w:r>
      <w:r>
        <w:rPr>
          <w:rFonts w:ascii="Arial" w:cs="Arial" w:eastAsia="Arial" w:hAnsi="Arial"/>
          <w:sz w:val="16"/>
          <w:szCs w:val="16"/>
          <w:color w:val="auto"/>
        </w:rPr>
        <w:t>”) and Good Clinical Practice and Good Laboratory Practice requirements. The descriptions of the clinical and pre-clinical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results thereof, contained in the SEC Filing are accurate and complete in all material respects and fairly present the data derived from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trials in all material respects; and neither the Company nor its subsidiary is aware of any other clinical or pre-clinical trials, the results of which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reasonably call into question the results described in the SEC Filings. Neither the Company nor its subsidiary has received any notices 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correspondence from the Regulatory Authorities or institutional review boards or comparable authorities requiring the termination, suspension,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modification or clinical hold of any clinical or pre-clinical trials conducted by or on behalf of the Company, and to the Company’s Knowledge, there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reasonable grounds for the same.</w:t>
      </w:r>
    </w:p>
    <w:p>
      <w:pPr>
        <w:spacing w:after="0" w:line="211"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Manipulation of Price</w:t>
      </w:r>
      <w:r>
        <w:rPr>
          <w:rFonts w:ascii="Arial" w:cs="Arial" w:eastAsia="Arial" w:hAnsi="Arial"/>
          <w:sz w:val="18"/>
          <w:szCs w:val="18"/>
          <w:color w:val="auto"/>
        </w:rPr>
        <w:t>. The Company has not taken, and, to the Company’s Knowledge, no Person acting on its behalf has taken, directly or indirectly, any action designed to cause or to result in the stabilization or manipulation of the price of any security of the Company to facilitate the sale or resale of any of the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 w:name="page18"/>
    <w:bookmarkEnd w:id="17"/>
    <w:p>
      <w:pPr>
        <w:ind w:left="4" w:right="14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4.32. </w:t>
      </w:r>
      <w:r>
        <w:rPr>
          <w:rFonts w:ascii="Arial" w:cs="Arial" w:eastAsia="Arial" w:hAnsi="Arial"/>
          <w:sz w:val="16"/>
          <w:szCs w:val="16"/>
          <w:u w:val="single" w:color="auto"/>
          <w:color w:val="auto"/>
        </w:rPr>
        <w:t>Anti-Bribery and Anti-Money Laundering Laws</w:t>
      </w:r>
      <w:r>
        <w:rPr>
          <w:rFonts w:ascii="Arial" w:cs="Arial" w:eastAsia="Arial" w:hAnsi="Arial"/>
          <w:sz w:val="16"/>
          <w:szCs w:val="16"/>
          <w:color w:val="auto"/>
        </w:rPr>
        <w:t>. Each of the Company, its subsidiary and any of their respective officers, directors, supervisors, managers, agents, or employees are and have at all times been in compliance with and its participation in the offering will not violate:</w:t>
      </w:r>
    </w:p>
    <w:p>
      <w:pPr>
        <w:ind w:left="4" w:right="60" w:hanging="4"/>
        <w:spacing w:after="0" w:line="268" w:lineRule="auto"/>
        <w:tabs>
          <w:tab w:leader="none" w:pos="299" w:val="left"/>
        </w:tabs>
        <w:numPr>
          <w:ilvl w:val="0"/>
          <w:numId w:val="9"/>
        </w:numPr>
        <w:rPr>
          <w:rFonts w:ascii="Arial" w:cs="Arial" w:eastAsia="Arial" w:hAnsi="Arial"/>
          <w:sz w:val="17"/>
          <w:szCs w:val="17"/>
          <w:color w:val="auto"/>
        </w:rPr>
      </w:pPr>
      <w:r>
        <w:rPr>
          <w:rFonts w:ascii="Arial" w:cs="Arial" w:eastAsia="Arial" w:hAnsi="Arial"/>
          <w:sz w:val="17"/>
          <w:szCs w:val="17"/>
          <w:color w:val="auto"/>
        </w:rPr>
        <w:t>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81"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No Bad Actors</w:t>
      </w:r>
      <w:r>
        <w:rPr>
          <w:rFonts w:ascii="Arial" w:cs="Arial" w:eastAsia="Arial" w:hAnsi="Arial"/>
          <w:sz w:val="18"/>
          <w:szCs w:val="18"/>
          <w:color w:val="auto"/>
        </w:rPr>
        <w:t>. No “bad actor” disqualifying event described in Rule 506(d)(1)(i)-(viii) of the 1933 Act (a “</w:t>
      </w:r>
      <w:r>
        <w:rPr>
          <w:rFonts w:ascii="Arial" w:cs="Arial" w:eastAsia="Arial" w:hAnsi="Arial"/>
          <w:sz w:val="18"/>
          <w:szCs w:val="18"/>
          <w:u w:val="single" w:color="auto"/>
          <w:color w:val="auto"/>
        </w:rPr>
        <w:t>Disqualification Event</w:t>
      </w:r>
      <w:r>
        <w:rPr>
          <w:rFonts w:ascii="Arial" w:cs="Arial" w:eastAsia="Arial" w:hAnsi="Arial"/>
          <w:sz w:val="18"/>
          <w:szCs w:val="18"/>
          <w:color w:val="auto"/>
        </w:rPr>
        <w:t>”) is applicable to the Company or, to the Company’s Knowledge, any Company Covered Person, except (i) for a Disqualification Event as to which Rule 506(d)(2)(ii–iv) or (d)(3) is applicable and (ii) no such representation is made with respect to the Placement Agent, or any of their respective general partners, managing members, directors, executive officers or other officers.</w:t>
      </w:r>
    </w:p>
    <w:p>
      <w:pPr>
        <w:spacing w:after="0" w:line="187"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has no other agreements or understandings (including, without limitation, side letters) with any Investor to purchase Shares on terms more favorable to such Investor than as set forth herein.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Shell Company Status</w:t>
      </w:r>
      <w:r>
        <w:rPr>
          <w:rFonts w:ascii="Arial" w:cs="Arial" w:eastAsia="Arial" w:hAnsi="Arial"/>
          <w:sz w:val="18"/>
          <w:szCs w:val="18"/>
          <w:color w:val="auto"/>
        </w:rPr>
        <w:t>. The Company is not, and has never been, an issuer identified in Rule 144(i)(1).</w:t>
      </w:r>
    </w:p>
    <w:p>
      <w:pPr>
        <w:spacing w:after="0" w:line="225"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 xml:space="preserve">4.36. </w:t>
      </w:r>
      <w:r>
        <w:rPr>
          <w:rFonts w:ascii="Arial" w:cs="Arial" w:eastAsia="Arial" w:hAnsi="Arial"/>
          <w:sz w:val="16"/>
          <w:szCs w:val="16"/>
          <w:u w:val="single" w:color="auto"/>
          <w:color w:val="auto"/>
        </w:rPr>
        <w:t>Compliance</w:t>
      </w:r>
      <w:r>
        <w:rPr>
          <w:rFonts w:ascii="Arial" w:cs="Arial" w:eastAsia="Arial" w:hAnsi="Arial"/>
          <w:sz w:val="16"/>
          <w:szCs w:val="16"/>
          <w:color w:val="auto"/>
        </w:rPr>
        <w:t>. The Company is not (i) in default under or in violation of (and no event has occurred that has not been waived that, with notice or lapse of time or both, would result in a default by the Company under), nor has the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or (ii) in violation of any judgment, decree or order of any court, arbitrator or governmental body, except in each case as could not have or reasonably be expected to result in a Material Adverse Effect.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Representations and Warranties of the Investors</w:t>
      </w:r>
      <w:r>
        <w:rPr>
          <w:rFonts w:ascii="Arial" w:cs="Arial" w:eastAsia="Arial" w:hAnsi="Arial"/>
          <w:sz w:val="16"/>
          <w:szCs w:val="16"/>
          <w:color w:val="auto"/>
        </w:rPr>
        <w:t>. Each of the Investors hereby severally, and not jointly, represents and warrants to the Company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and Existence</w:t>
      </w:r>
      <w:r>
        <w:rPr>
          <w:rFonts w:ascii="Arial" w:cs="Arial" w:eastAsia="Arial" w:hAnsi="Arial"/>
          <w:sz w:val="18"/>
          <w:szCs w:val="18"/>
          <w:color w:val="auto"/>
        </w:rPr>
        <w:t>. Such Investor is a duly incorporated or organized and validly existing corporation, limited partnership, limited liability company or other legal entity, has all requisite corporate, partnership or limited liability company power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8" w:name="page19"/>
    <w:bookmarkEnd w:id="18"/>
    <w:p>
      <w:pPr>
        <w:jc w:val="both"/>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authority to enter into and consummate the transactions contemplated by the Transaction Documents and to carry out its obligations hereunder and thereunder, and to invest in the Shares pursuant to this Agreement, and is in good standing under the laws of the jurisdiction of its incorporation or organization.</w:t>
      </w:r>
    </w:p>
    <w:p>
      <w:pPr>
        <w:spacing w:after="0" w:line="184"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Authorization</w:t>
      </w:r>
      <w:r>
        <w:rPr>
          <w:rFonts w:ascii="Arial" w:cs="Arial" w:eastAsia="Arial" w:hAnsi="Arial"/>
          <w:sz w:val="16"/>
          <w:szCs w:val="16"/>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57"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The Shares to be received by such Investor hereunder will be acquired for such Investor’s own account, not as nominee or agent, for the purpose of investment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Shares in compliance with applicable federal and state securities laws. The Shares are being purchased by such Investor in the ordinary course of its business. Nothing contained herein shall be deemed a representation or warranty by such Investor to hold the Shares for any period of time. Such Investor is not a broker-dealer registered with the SEC under the 1934 Act or an entity engaged in a business that would require it to be so registered.</w:t>
      </w:r>
    </w:p>
    <w:p>
      <w:pPr>
        <w:spacing w:after="0" w:line="166" w:lineRule="exact"/>
        <w:rPr>
          <w:sz w:val="20"/>
          <w:szCs w:val="20"/>
          <w:color w:val="auto"/>
        </w:rPr>
      </w:pPr>
    </w:p>
    <w:p>
      <w:pPr>
        <w:jc w:val="both"/>
        <w:ind w:right="360" w:firstLine="991"/>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Such Investor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Shares, and has conducted and completed its own independent due diligence. Such Investor acknowledges that copies of the SEC Filings are available on the EDGAR system. Based on the information such Investor has deemed appropriate, and without reliance upon the Placement Agent, it has independently made its own analysis and decision to enter into the Transaction Documents. Such Investor is relying exclusively on its own investment analysis and due diligence (including professional advice it deems appropriate) with respect to the execution, delivery and performance of the Transaction Documents, the Shares and the business, condition (financial and otherwise), management, operations, properties and prospects of the Company, including but not limited to all business, legal, regulatory, accounting, credit and tax matters. Such Investor has not relied on any information or advice furnished by or on behalf of the Placement Agent in connection with the transactions contemplated hereby. Neither such inquiries nor any other due diligence investigation conducted by such Investor shall modify, limit or otherwise affect such Investor’s right to rely on the Company’s representations and warranties contained in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9" w:name="page20"/>
    <w:bookmarkEnd w:id="19"/>
    <w:p>
      <w:pPr>
        <w:jc w:val="both"/>
        <w:ind w:right="3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Such Investor understands that the Shares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49"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Legends</w:t>
      </w:r>
      <w:r>
        <w:rPr>
          <w:rFonts w:ascii="Arial" w:cs="Arial" w:eastAsia="Arial" w:hAnsi="Arial"/>
          <w:sz w:val="18"/>
          <w:szCs w:val="18"/>
          <w:color w:val="auto"/>
        </w:rPr>
        <w:t>. It is understood that, except as provided below, certificates or book-entry records evidencing the Shares may bear the following or any similar legend:</w:t>
      </w:r>
    </w:p>
    <w:p>
      <w:pPr>
        <w:spacing w:after="0" w:line="62" w:lineRule="exact"/>
        <w:rPr>
          <w:sz w:val="20"/>
          <w:szCs w:val="20"/>
          <w:color w:val="auto"/>
        </w:rPr>
      </w:pPr>
    </w:p>
    <w:p>
      <w:pPr>
        <w:ind w:right="20" w:firstLine="987"/>
        <w:spacing w:after="0" w:line="273"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required by the authorities of any state in connection with the issuance of sale of the Shares, the legend required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 state authority.</w:t>
      </w:r>
    </w:p>
    <w:p>
      <w:pPr>
        <w:spacing w:after="0" w:line="211"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xml:space="preserve">. Such Investor is (a) an “accredited investor” within the meaning of Rule 501(a) of Regulation D. Such Investor has executed and delivered to the Company a questionnaire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Investor Questionnaire</w:t>
      </w:r>
      <w:r>
        <w:rPr>
          <w:rFonts w:ascii="Arial" w:cs="Arial" w:eastAsia="Arial" w:hAnsi="Arial"/>
          <w:sz w:val="16"/>
          <w:szCs w:val="16"/>
          <w:color w:val="auto"/>
        </w:rPr>
        <w:t>”), which such Investor represents and warrants is true, correct and complete. Such investor is a sophisticated institutional investor with sufficient knowledge and experience in investing in private equity transactions to properly evaluate the risks and merits of its purchase of the Shares. Such Investor has determined based on its own independent review and such professional advice as it deems appropriate that its purchase of the Shares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or under any law, rule, regulation, agreement or other obligation by which such Investor is bound and (v) are a fit, proper and suitable investment for such Investor, notwithstanding the substantial risks inherent in investing in or holding the Shares.</w:t>
      </w:r>
    </w:p>
    <w:p>
      <w:pPr>
        <w:spacing w:after="0" w:line="168"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Placement Agent</w:t>
      </w:r>
      <w:r>
        <w:rPr>
          <w:rFonts w:ascii="Arial" w:cs="Arial" w:eastAsia="Arial" w:hAnsi="Arial"/>
          <w:sz w:val="18"/>
          <w:szCs w:val="18"/>
          <w:color w:val="auto"/>
        </w:rPr>
        <w:t>. Such Investor hereby acknowledges and agrees that (a) the Placement Agent is acting solely as placement agent in connection with the execution, delivery and performance of the Transaction Documents and is not acting as an underwriter or in any other capacity and is not and shall not be construed as a fiduciary for such Investor, the Company or any other person or entity in connection with the execution, delivery and performance of the Transaction Documents, (b) the Placement Agent has not made and will not make any representation or warranty, whether express or implied, of any kind or character,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0" w:name="page21"/>
    <w:bookmarkEnd w:id="2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not provided any advice or recommendation in connection with the execution, delivery and performance of the Transaction Documents, (c) the Placement Agent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(d) the Placement Agent will not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Documents.</w:t>
      </w:r>
    </w:p>
    <w:p>
      <w:pPr>
        <w:spacing w:after="0" w:line="17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Such Investor did not learn of the investment in the Shares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such Investor was invited by any of the foregoing means of communications.</w:t>
      </w:r>
    </w:p>
    <w:p>
      <w:pPr>
        <w:spacing w:after="0" w:line="187"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Short Sales and Confidentiality Prior to the Date Hereof</w:t>
      </w:r>
      <w:r>
        <w:rPr>
          <w:rFonts w:ascii="Arial" w:cs="Arial" w:eastAsia="Arial" w:hAnsi="Arial"/>
          <w:sz w:val="16"/>
          <w:szCs w:val="16"/>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the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Agreement. Other than to other Persons party to this Agreement and other than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1" w:name="page22"/>
    <w:bookmarkEnd w:id="21"/>
    <w:p>
      <w:pPr>
        <w:ind w:left="4" w:right="2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5.13.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Such Investor understands that no United States federal or state agency, or similar agency of any other country, has reviewed, approved, passed upon, or made any recommendation or endorsement of the Company or the purchase of the Shares.</w:t>
      </w:r>
    </w:p>
    <w:p>
      <w:pPr>
        <w:spacing w:after="0" w:line="184"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No Intent to Effect a Change of Control</w:t>
      </w:r>
      <w:r>
        <w:rPr>
          <w:rFonts w:ascii="Arial" w:cs="Arial" w:eastAsia="Arial" w:hAnsi="Arial"/>
          <w:sz w:val="18"/>
          <w:szCs w:val="18"/>
          <w:color w:val="auto"/>
        </w:rPr>
        <w:t>. Such Investor has no present intent to effect a “change of control” of the Company as such term is understood under the rules promulgated pursuant to Section 13(d) of the 1934 Act.</w:t>
      </w:r>
    </w:p>
    <w:p>
      <w:pPr>
        <w:spacing w:after="0" w:line="170"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Residency</w:t>
      </w:r>
      <w:r>
        <w:rPr>
          <w:rFonts w:ascii="Arial" w:cs="Arial" w:eastAsia="Arial" w:hAnsi="Arial"/>
          <w:sz w:val="18"/>
          <w:szCs w:val="18"/>
          <w:color w:val="auto"/>
        </w:rPr>
        <w:t>. Such Investor’s office in which its investment decision with respect to the Shares was made is located at the address immediately below such Investor’s name on its signature page hereto.</w:t>
      </w:r>
    </w:p>
    <w:p>
      <w:pPr>
        <w:spacing w:after="0" w:line="170" w:lineRule="exact"/>
        <w:rPr>
          <w:sz w:val="20"/>
          <w:szCs w:val="20"/>
          <w:color w:val="auto"/>
        </w:rPr>
      </w:pPr>
    </w:p>
    <w:p>
      <w:pPr>
        <w:ind w:left="4" w:right="200" w:firstLine="991"/>
        <w:spacing w:after="0" w:line="291"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w:t>
      </w:r>
    </w:p>
    <w:p>
      <w:pPr>
        <w:ind w:left="4" w:right="20" w:hanging="4"/>
        <w:spacing w:after="0" w:line="271" w:lineRule="auto"/>
        <w:tabs>
          <w:tab w:leader="none" w:pos="2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78" w:lineRule="exact"/>
        <w:rPr>
          <w:sz w:val="20"/>
          <w:szCs w:val="20"/>
          <w:color w:val="auto"/>
        </w:rPr>
      </w:pPr>
    </w:p>
    <w:p>
      <w:pPr>
        <w:ind w:left="624" w:hanging="184"/>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Conditions to Closing</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the Investors’ Obligations</w:t>
      </w:r>
      <w:r>
        <w:rPr>
          <w:rFonts w:ascii="Arial" w:cs="Arial" w:eastAsia="Arial" w:hAnsi="Arial"/>
          <w:sz w:val="18"/>
          <w:szCs w:val="18"/>
          <w:color w:val="auto"/>
        </w:rPr>
        <w:t>. The obligation of each Investor to purchase Shares at the Closing is subject to the fulfillment to such Investor’s satisfaction, on or prior to the Closing Date, of the following conditions, any of which may be waived by such Investor (as to itself only):</w:t>
      </w:r>
    </w:p>
    <w:p>
      <w:pPr>
        <w:spacing w:after="0" w:line="76" w:lineRule="exact"/>
        <w:rPr>
          <w:sz w:val="20"/>
          <w:szCs w:val="20"/>
          <w:color w:val="auto"/>
        </w:rPr>
      </w:pPr>
    </w:p>
    <w:p>
      <w:pPr>
        <w:jc w:val="both"/>
        <w:ind w:left="4" w:firstLine="987"/>
        <w:spacing w:after="0" w:line="30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representations and warranties made by the Company in Section 4 hereof shall be true and correct in all material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The Company shall have performed in all material respects all obligations and covenants herein required to be performed by it on or prior to the Closing Date.</w:t>
      </w:r>
    </w:p>
    <w:p>
      <w:pPr>
        <w:spacing w:after="0" w:line="49" w:lineRule="exact"/>
        <w:rPr>
          <w:rFonts w:ascii="Arial" w:cs="Arial" w:eastAsia="Arial" w:hAnsi="Arial"/>
          <w:sz w:val="16"/>
          <w:szCs w:val="16"/>
          <w:color w:val="auto"/>
        </w:rPr>
      </w:pPr>
    </w:p>
    <w:p>
      <w:pPr>
        <w:ind w:left="4" w:right="20" w:firstLine="987"/>
        <w:spacing w:after="0" w:line="263" w:lineRule="auto"/>
        <w:tabs>
          <w:tab w:leader="none" w:pos="1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shall have obtained any and all consents, permits, approvals, registrations and waivers necessary for the consummation of the purchase and sale of the Shares and the consummation of the other transactions contemplated by the Transaction Documents, all of which shall be in full force and effect.</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shall have executed and delivered the Registration Rights Agreement.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2" w:name="page23"/>
    <w:bookmarkEnd w:id="22"/>
    <w:p>
      <w:pPr>
        <w:ind w:left="1240" w:hanging="25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have filed with Nasdaq a Notification Form: Listing of Additional Shares for the listing of the Shares.</w:t>
      </w:r>
    </w:p>
    <w:p>
      <w:pPr>
        <w:spacing w:after="0" w:line="225" w:lineRule="exact"/>
        <w:rPr>
          <w:rFonts w:ascii="Arial" w:cs="Arial" w:eastAsia="Arial" w:hAnsi="Arial"/>
          <w:sz w:val="18"/>
          <w:szCs w:val="18"/>
          <w:color w:val="auto"/>
        </w:rPr>
      </w:pPr>
    </w:p>
    <w:p>
      <w:pPr>
        <w:ind w:right="20" w:firstLine="987"/>
        <w:spacing w:after="0" w:line="311" w:lineRule="auto"/>
        <w:tabs>
          <w:tab w:leader="none" w:pos="12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48" w:lineRule="exact"/>
        <w:rPr>
          <w:rFonts w:ascii="Arial" w:cs="Arial" w:eastAsia="Arial" w:hAnsi="Arial"/>
          <w:sz w:val="16"/>
          <w:szCs w:val="16"/>
          <w:color w:val="auto"/>
        </w:rPr>
      </w:pPr>
    </w:p>
    <w:p>
      <w:pPr>
        <w:ind w:right="440" w:firstLine="987"/>
        <w:spacing w:after="0" w:line="263" w:lineRule="auto"/>
        <w:tabs>
          <w:tab w:leader="none" w:pos="1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shall have delivered a Certificate, executed on behalf of the Company by its Chief Executive Officer or its Chief Financial Officer, dated as of the Closing Date, certifying to the fulfillment of the conditions specified in subsections (a), (b), (d), (e) and (j) of this Section 6.1.</w:t>
      </w:r>
    </w:p>
    <w:p>
      <w:pPr>
        <w:spacing w:after="0" w:line="183" w:lineRule="exact"/>
        <w:rPr>
          <w:rFonts w:ascii="Arial" w:cs="Arial" w:eastAsia="Arial" w:hAnsi="Arial"/>
          <w:sz w:val="18"/>
          <w:szCs w:val="18"/>
          <w:color w:val="auto"/>
        </w:rPr>
      </w:pPr>
    </w:p>
    <w:p>
      <w:pPr>
        <w:ind w:right="260" w:firstLine="987"/>
        <w:spacing w:after="0" w:line="301" w:lineRule="auto"/>
        <w:tabs>
          <w:tab w:leader="none" w:pos="12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have delivered a Certificate, executed on behalf of the Company by its Secretary, dated as of the Closing Date, certifying the resolutions adopted by the Board of Directors of the Company approving the transactions contemplated by this Agreement, the other Transaction Documents and the issuance of the Shares, certifying the current versions of the Certificate of Incorporation and Bylaws of the Company and certifying as to the signatures and authority of persons signing the Transaction Documents and related documents on behalf of the Company.</w:t>
      </w:r>
    </w:p>
    <w:p>
      <w:pPr>
        <w:spacing w:after="0" w:line="157" w:lineRule="exact"/>
        <w:rPr>
          <w:rFonts w:ascii="Arial" w:cs="Arial" w:eastAsia="Arial" w:hAnsi="Arial"/>
          <w:sz w:val="16"/>
          <w:szCs w:val="16"/>
          <w:color w:val="auto"/>
        </w:rPr>
      </w:pPr>
    </w:p>
    <w:p>
      <w:pPr>
        <w:ind w:firstLine="987"/>
        <w:spacing w:after="0" w:line="342" w:lineRule="auto"/>
        <w:tabs>
          <w:tab w:leader="none" w:pos="12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Investors shall have received an opinion from Wilmer Cutler Pickering Hale and Dorr LLP, the Company’s counsel, dated as of the Closing Date, in form and substance reasonably acceptable to the Investors and addressing such legal matters as the Investors may reasonably request.</w:t>
      </w:r>
    </w:p>
    <w:p>
      <w:pPr>
        <w:spacing w:after="0" w:line="123" w:lineRule="exact"/>
        <w:rPr>
          <w:rFonts w:ascii="Arial" w:cs="Arial" w:eastAsia="Arial" w:hAnsi="Arial"/>
          <w:sz w:val="16"/>
          <w:szCs w:val="16"/>
          <w:color w:val="auto"/>
        </w:rPr>
      </w:pPr>
    </w:p>
    <w:p>
      <w:pPr>
        <w:ind w:left="1200" w:hanging="21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w:t>
      </w:r>
    </w:p>
    <w:p>
      <w:pPr>
        <w:spacing w:after="0" w:line="225" w:lineRule="exact"/>
        <w:rPr>
          <w:rFonts w:ascii="Arial" w:cs="Arial" w:eastAsia="Arial" w:hAnsi="Arial"/>
          <w:sz w:val="18"/>
          <w:szCs w:val="18"/>
          <w:color w:val="auto"/>
        </w:rPr>
      </w:pPr>
    </w:p>
    <w:p>
      <w:pPr>
        <w:ind w:right="20" w:firstLine="987"/>
        <w:spacing w:after="0" w:line="277" w:lineRule="auto"/>
        <w:tabs>
          <w:tab w:leader="none" w:pos="1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stop order or suspension of trading shall have been imposed by Nasdaq, the SEC or any other governmental or regulatory body with respect to public trading in the Common Stock.</w:t>
      </w:r>
    </w:p>
    <w:p>
      <w:pPr>
        <w:spacing w:after="0" w:line="170" w:lineRule="exact"/>
        <w:rPr>
          <w:rFonts w:ascii="Arial" w:cs="Arial" w:eastAsia="Arial" w:hAnsi="Arial"/>
          <w:sz w:val="18"/>
          <w:szCs w:val="18"/>
          <w:color w:val="auto"/>
        </w:rPr>
      </w:pPr>
    </w:p>
    <w:p>
      <w:pPr>
        <w:ind w:firstLine="987"/>
        <w:spacing w:after="0" w:line="263" w:lineRule="auto"/>
        <w:tabs>
          <w:tab w:leader="none" w:pos="1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Lock-Up Agreement, in a form satisfactory to all parties (the “Lock-Up Agreement”) executed by each executive officer and director of the Company, and each such Lock-Up Agreement shall be in full force and effect on the Closing Date. The Lock-Up Agreement shall provide for a lock up period extending until the date 60 days after the Closing Date.</w:t>
      </w:r>
    </w:p>
    <w:p>
      <w:pPr>
        <w:spacing w:after="0" w:line="184"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Conditions to Obligations of the Company</w:t>
      </w:r>
      <w:r>
        <w:rPr>
          <w:rFonts w:ascii="Arial" w:cs="Arial" w:eastAsia="Arial" w:hAnsi="Arial"/>
          <w:sz w:val="16"/>
          <w:szCs w:val="16"/>
          <w:color w:val="auto"/>
        </w:rPr>
        <w:t>. The Company’s obligation to sell and issue the Shares at the Closing is subject to the fulfillment to the satisfaction of the Company on or prior to the Closing Date of the following conditions, any of which may be waived by the Company:</w:t>
      </w:r>
    </w:p>
    <w:p>
      <w:pPr>
        <w:spacing w:after="0" w:line="16" w:lineRule="exact"/>
        <w:rPr>
          <w:sz w:val="20"/>
          <w:szCs w:val="20"/>
          <w:color w:val="auto"/>
        </w:rPr>
      </w:pPr>
    </w:p>
    <w:p>
      <w:pPr>
        <w:ind w:firstLine="987"/>
        <w:spacing w:after="0" w:line="311" w:lineRule="auto"/>
        <w:tabs>
          <w:tab w:leader="none" w:pos="12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representations and warranties made by the Investors in Section 5 hereof shall be true and correct as of the date hereof, and shall be true and correct as of the Closing Date with the same force and effect as if they had been made on and as of such date. The Investors shall have performed in all material respects all obligations and covenants herein required to be performed by them on or prior to the Closing Date.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Investors shall have executed and delivered the Registration Rights Agreement and each Investor Questionnaire.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Investor purchasing Shares at the Closing shall have paid in full its purchase price to the Company.</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of Obligations to Effect Closing; Effects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obligations of the Company, on the one hand, and the Investors, on the other hand, to effect the Closing shall terminate as follows:</w:t>
      </w:r>
    </w:p>
    <w:p>
      <w:pPr>
        <w:spacing w:after="0" w:line="140" w:lineRule="exact"/>
        <w:rPr>
          <w:rFonts w:ascii="Arial" w:cs="Arial" w:eastAsia="Arial" w:hAnsi="Arial"/>
          <w:sz w:val="16"/>
          <w:szCs w:val="16"/>
          <w:color w:val="auto"/>
        </w:rPr>
      </w:pPr>
    </w:p>
    <w:p>
      <w:pPr>
        <w:ind w:right="100" w:firstLine="1428"/>
        <w:spacing w:after="0" w:line="277" w:lineRule="auto"/>
        <w:tabs>
          <w:tab w:leader="none" w:pos="16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the mutual written consent of the Company and Investors that agreed to purchase a majority of the Shares to be issued and sold pursuant to this Agreement;</w:t>
      </w:r>
    </w:p>
    <w:p>
      <w:pPr>
        <w:spacing w:after="0" w:line="170" w:lineRule="exact"/>
        <w:rPr>
          <w:rFonts w:ascii="Arial" w:cs="Arial" w:eastAsia="Arial" w:hAnsi="Arial"/>
          <w:sz w:val="18"/>
          <w:szCs w:val="18"/>
          <w:color w:val="auto"/>
        </w:rPr>
      </w:pPr>
    </w:p>
    <w:p>
      <w:pPr>
        <w:ind w:right="160" w:firstLine="1428"/>
        <w:spacing w:after="0" w:line="277" w:lineRule="auto"/>
        <w:tabs>
          <w:tab w:leader="none" w:pos="16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the Company if any of the conditions set forth in Section 6.2 shall have become incapable of fulfillment, and shall not have been waived by the Company;</w:t>
      </w:r>
    </w:p>
    <w:p>
      <w:pPr>
        <w:spacing w:after="0" w:line="170" w:lineRule="exact"/>
        <w:rPr>
          <w:rFonts w:ascii="Arial" w:cs="Arial" w:eastAsia="Arial" w:hAnsi="Arial"/>
          <w:sz w:val="18"/>
          <w:szCs w:val="18"/>
          <w:color w:val="auto"/>
        </w:rPr>
      </w:pPr>
    </w:p>
    <w:p>
      <w:pPr>
        <w:ind w:right="480" w:firstLine="1428"/>
        <w:spacing w:after="0" w:line="277" w:lineRule="auto"/>
        <w:tabs>
          <w:tab w:leader="none" w:pos="17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an Investor (with respect to itself only) if any of the conditions set forth in Section 6.1 shall have become incapable of fulfillment, and shall not have been waived by the Investor; or</w:t>
      </w:r>
    </w:p>
    <w:p>
      <w:pPr>
        <w:spacing w:after="0" w:line="170" w:lineRule="exact"/>
        <w:rPr>
          <w:rFonts w:ascii="Arial" w:cs="Arial" w:eastAsia="Arial" w:hAnsi="Arial"/>
          <w:sz w:val="18"/>
          <w:szCs w:val="18"/>
          <w:color w:val="auto"/>
        </w:rPr>
      </w:pPr>
    </w:p>
    <w:p>
      <w:pPr>
        <w:ind w:right="560" w:firstLine="1428"/>
        <w:spacing w:after="0" w:line="277" w:lineRule="auto"/>
        <w:tabs>
          <w:tab w:leader="none" w:pos="17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either the Company or any Investor (with respect to itself only) if the Closing has not occurred on or prior to the fifth Trading Day following the date of this Agreement;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provided, however,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65" w:lineRule="exact"/>
        <w:rPr>
          <w:sz w:val="20"/>
          <w:szCs w:val="20"/>
          <w:color w:val="auto"/>
        </w:rPr>
      </w:pPr>
    </w:p>
    <w:p>
      <w:pPr>
        <w:ind w:firstLine="987"/>
        <w:spacing w:after="0" w:line="296" w:lineRule="auto"/>
        <w:tabs>
          <w:tab w:leader="none" w:pos="12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event of termination by the Company or any Investor of its obligations to effect the Closing pursuant to this Section 6.3, written notice thereof shall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4" w:name="page25"/>
    <w:bookmarkEnd w:id="24"/>
    <w:p>
      <w:pPr>
        <w:ind w:left="624" w:hanging="184"/>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 and Agreements of the Company</w:t>
      </w:r>
      <w:r>
        <w:rPr>
          <w:rFonts w:ascii="Arial" w:cs="Arial" w:eastAsia="Arial" w:hAnsi="Arial"/>
          <w:sz w:val="18"/>
          <w:szCs w:val="18"/>
          <w:color w:val="auto"/>
        </w:rPr>
        <w:t>.</w:t>
      </w:r>
    </w:p>
    <w:p>
      <w:pPr>
        <w:spacing w:after="0" w:line="117" w:lineRule="exact"/>
        <w:rPr>
          <w:sz w:val="20"/>
          <w:szCs w:val="20"/>
          <w:color w:val="auto"/>
        </w:rPr>
      </w:pPr>
    </w:p>
    <w:p>
      <w:pPr>
        <w:ind w:left="4" w:right="280" w:firstLine="991"/>
        <w:spacing w:after="0" w:line="30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Conflicting Agreements</w:t>
      </w:r>
      <w:r>
        <w:rPr>
          <w:rFonts w:ascii="Arial" w:cs="Arial" w:eastAsia="Arial" w:hAnsi="Arial"/>
          <w:sz w:val="17"/>
          <w:szCs w:val="17"/>
          <w:color w:val="auto"/>
        </w:rPr>
        <w:t>. The Company will not take any action, enter into any agreement or make any commitment that would conflict or interfere in any material respect with the Company’s obligations to the Investors under the Transaction Documents.</w:t>
      </w:r>
    </w:p>
    <w:p>
      <w:pPr>
        <w:spacing w:after="0" w:line="146" w:lineRule="exact"/>
        <w:rPr>
          <w:sz w:val="20"/>
          <w:szCs w:val="20"/>
          <w:color w:val="auto"/>
        </w:rPr>
      </w:pPr>
    </w:p>
    <w:p>
      <w:pPr>
        <w:jc w:val="both"/>
        <w:ind w:left="4" w:right="220" w:firstLine="991"/>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Nasdaq Listing</w:t>
      </w:r>
      <w:r>
        <w:rPr>
          <w:rFonts w:ascii="Arial" w:cs="Arial" w:eastAsia="Arial" w:hAnsi="Arial"/>
          <w:sz w:val="18"/>
          <w:szCs w:val="18"/>
          <w:color w:val="auto"/>
        </w:rPr>
        <w:t>. The Company will use commercially reasonable efforts to continue the listing and trading of its Common Stock on Nasdaq and, in accordance therewith, will use commercially reasonable efforts to comply in all material respects with the Company’s reporting, filing and other obligations under the bylaws or rules of such market or exchange, as applicable.</w:t>
      </w:r>
    </w:p>
    <w:p>
      <w:pPr>
        <w:spacing w:after="0" w:line="184"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The provisions of Sections 7.1 and 7.2 shall terminate and be of no further force and effect on the date on which the Company’s obligations under the Registration Rights Agreement to register or maintain the effectiveness of any registration covering the Registrable Securities (as such term is defined in the Registration Rights Agreement) shall terminate.</w:t>
      </w:r>
    </w:p>
    <w:p>
      <w:pPr>
        <w:spacing w:after="0" w:line="2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Removal of Legends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connection with any sale, assignment, transfer or other disposition of the Shares by an Investor pursuant to Rule 144 or pursuant to any other exemption under the 1933 Act such that the purchaser acquires freely tradable shares and upon compliance by the Investor with the requirements of this Agreement, if requested by the Investor, the Company shall request the transfer agent for the Common Stock (the “</w:t>
      </w:r>
      <w:r>
        <w:rPr>
          <w:rFonts w:ascii="Arial" w:cs="Arial" w:eastAsia="Arial" w:hAnsi="Arial"/>
          <w:sz w:val="18"/>
          <w:szCs w:val="18"/>
          <w:u w:val="single" w:color="auto"/>
          <w:color w:val="auto"/>
        </w:rPr>
        <w:t>Transfer Agent</w:t>
      </w:r>
      <w:r>
        <w:rPr>
          <w:rFonts w:ascii="Arial" w:cs="Arial" w:eastAsia="Arial" w:hAnsi="Arial"/>
          <w:sz w:val="18"/>
          <w:szCs w:val="18"/>
          <w:color w:val="auto"/>
        </w:rPr>
        <w:t>”) to remove any restrictive legends related to the book entry account holding such Shares and make a new, unlegended entry for such book entry shares sold or disposed of without restrictive legends within two (2) Trading Days of any such request therefor from such Investor, provided that the Company has timely received from the Investor customary representations and other documentation reasonably acceptable to the Company in connection therewith.</w:t>
      </w:r>
    </w:p>
    <w:p>
      <w:pPr>
        <w:spacing w:after="0" w:line="194" w:lineRule="exact"/>
        <w:rPr>
          <w:rFonts w:ascii="Arial" w:cs="Arial" w:eastAsia="Arial" w:hAnsi="Arial"/>
          <w:sz w:val="18"/>
          <w:szCs w:val="18"/>
          <w:color w:val="auto"/>
        </w:rPr>
      </w:pPr>
    </w:p>
    <w:p>
      <w:pPr>
        <w:ind w:left="4" w:firstLine="987"/>
        <w:spacing w:after="0" w:line="283" w:lineRule="auto"/>
        <w:tabs>
          <w:tab w:leader="none" w:pos="12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Subject to receipt from the Investor by the Company and the Transfer Agent of customary representations and other documentation reasonably acceptable to the Company and the Transfer Agent in connection therewith, upon the earliest of such time as the Shares (i) have been sold or transferred pursuant to an effective registration statement, (ii) have been sold pursuant to Rule 144, or (iii) are eligible for resale under Rule 144(b)(1) or any successor provision (such earliest date,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Company shall, in accordance with the provisions of this Section 7.4(b) and within two (2) Trading Days of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The Company agrees that following the Effective Date or at such time as such legend is no longer required under this Section 7.4, it will, within two</w:t>
      </w:r>
    </w:p>
    <w:p>
      <w:pPr>
        <w:spacing w:after="0" w:line="5" w:lineRule="exact"/>
        <w:rPr>
          <w:rFonts w:ascii="Arial" w:cs="Arial" w:eastAsia="Arial" w:hAnsi="Arial"/>
          <w:sz w:val="16"/>
          <w:szCs w:val="16"/>
          <w:color w:val="auto"/>
        </w:rPr>
      </w:pPr>
    </w:p>
    <w:p>
      <w:pPr>
        <w:ind w:left="244" w:hanging="244"/>
        <w:spacing w:after="0"/>
        <w:tabs>
          <w:tab w:leader="none" w:pos="2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Trading Days of the delivery by an Investor to the Company or the Transfer Agent of a certificate representing shares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5" w:name="page26"/>
    <w:bookmarkEnd w:id="25"/>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issued with a restrictive legend and receipt from the Investor by the Company and the Transfer Agent of customary representations and other documentation reasonably acceptable to the Company and the Transfer Agent in connection therewith, deliver or cause to be delivered to such Investor a certificate representing such Shares (or uncertificated interest therein) that is free from all restrictive and other legends. Shares subject to legend removal hereunder may be transmitted by the Transfer Agent to the Investor by crediting the account of the Investor’s prime broker with the DTC System as directed by such Investor. The Company shall be responsible for the fees of its Transfer Agent and all DTC fees associated with such issuance.</w:t>
      </w:r>
    </w:p>
    <w:p>
      <w:pPr>
        <w:spacing w:after="0" w:line="161" w:lineRule="exact"/>
        <w:rPr>
          <w:sz w:val="20"/>
          <w:szCs w:val="20"/>
          <w:color w:val="auto"/>
        </w:rPr>
      </w:pPr>
    </w:p>
    <w:p>
      <w:pPr>
        <w:ind w:right="220" w:firstLine="987"/>
        <w:spacing w:after="0" w:line="255"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Investor, severally and not jointly with the other Investors, agrees with the Company (i) that such Investor will sell any Shares only pursuant to either the registration requirements of the 1933 Act, including any applicable prospectus delivery requirements, or an exemption therefrom, (ii) that if Shares are sold pursuant to a registration statement, they will be sold in compliance with the plan of distribution set forth therein and (iii) that if, after the effective date of the registration statement covering the resale of the Shares, such registration statement ceases to be effective and the Company has provided notice to such Investor to that effect, such Investor will sell Shares only in compliance with an exemption from the registration requirements of the 1933 Act.</w:t>
      </w:r>
    </w:p>
    <w:p>
      <w:pPr>
        <w:spacing w:after="0" w:line="3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Subsequent Equity Sales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6" w:lineRule="auto"/>
        <w:tabs>
          <w:tab w:leader="none" w:pos="12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shall not, without the consent of the Required Investors, (i) from the date hereof until sixty-four (64) days after the date hereof, (A) issue shares of Common Stock or Common Stock Equivalents or (B) effect a reverse stock split, recapitalization, share consolidation, reclassification or similar transaction affecting the outstanding Common Stock or (ii) from the date hereof until fifty-days (55) after the date hereof, file with the SEC a registration statement under the 1933 Act relating to any shares of Common Stock or Common Stock Equivalents, except pursuant to the terms of the Registration Rights Agreement. Notwithstanding the foregoing, the provisions of this Section 7.5 shall not apply to (i) the issuance of the Shares hereunder, (ii) the issuance of Common Stock or Common Stock Equivalents upon the conversion or exercise of any securities of the Company outstanding on the date hereof or outstanding pursuant to clause (iii) or (v) below, (iii) the issuance of any Common Stock or Common Stock Equivalents pursuant to any Company stock-based compensation plans or in accordance with Nasdaq Stock Market Rule 5635(c)(4), (iv) the filing of a registration statement on Form S-8 under the 1933 Act to register the offer and sale of securities on an equity incentive plan or employee stock purchase plan or (v) the issuance of any Common Stock or Common Stock Equivalents in connection with a transaction with an unaffiliated third party that includes a debt financing or a bona fide commercial relationship (including any joint venture, marketing or distribution arrangement, strategic alliance, collaboration agreement or corporate partnering, intellectual property license agreement or acquisition agreement or other strategic transaction with the Company); provided, however, that the aggregate number of shares of Common Stock issued pursuant to clause (v) during the restricted period shall not exceed 10% of the total number of shares of Common Stock issued and outstanding immediately following the Closing.</w:t>
      </w:r>
    </w:p>
    <w:p>
      <w:pPr>
        <w:spacing w:after="0" w:line="170" w:lineRule="exact"/>
        <w:rPr>
          <w:rFonts w:ascii="Arial" w:cs="Arial" w:eastAsia="Arial" w:hAnsi="Arial"/>
          <w:sz w:val="16"/>
          <w:szCs w:val="16"/>
          <w:color w:val="auto"/>
        </w:rPr>
      </w:pPr>
    </w:p>
    <w:p>
      <w:pPr>
        <w:ind w:right="220" w:firstLine="987"/>
        <w:spacing w:after="0" w:line="277" w:lineRule="auto"/>
        <w:tabs>
          <w:tab w:leader="none" w:pos="1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not, and shall use its commercially reasonable efforts to ensure that no Affiliate of the Company shall, sell, offer for sale or solicit offers to buy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6" w:name="page27"/>
    <w:bookmarkEnd w:id="26"/>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otherwise negotiate in respect of any security (as defined in Section 2 of the 1933 Act) that will be integrated with the offer or sale of the Shares in a manner that would require the registration under the 1933 Act of the sale of the Shares to the Investors, or that will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71"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Fees</w:t>
      </w:r>
      <w:r>
        <w:rPr>
          <w:rFonts w:ascii="Arial" w:cs="Arial" w:eastAsia="Arial" w:hAnsi="Arial"/>
          <w:sz w:val="18"/>
          <w:szCs w:val="18"/>
          <w:color w:val="auto"/>
        </w:rPr>
        <w:t>. The Company shall be responsible for the payment of any placement agent’s fees, financial advisory fees, or broker’s commissions (other than for Persons engaged by any Investor) relating to or arising out of the transactions contemplated hereby, including, without limitation, any fees or commissions payable to the Placement Agent.</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Short Sales and Confidentiality After the Date Hereof</w:t>
      </w:r>
      <w:r>
        <w:rPr>
          <w:rFonts w:ascii="Arial" w:cs="Arial" w:eastAsia="Arial" w:hAnsi="Arial"/>
          <w:sz w:val="16"/>
          <w:szCs w:val="16"/>
          <w:color w:val="auto"/>
        </w:rPr>
        <w:t>. Each Investor covenants that neither it nor any Affiliates acting on its behalf or pursuant to any understanding with it will trade in the securities of the Company and will not execute any Short Sales during the period from the date hereof until the earlier of such time as (i) both (a) the transactions contemplated by this Agreement are first publicly announced and (b) all material information set forth in the Disclosure Schedule have been publicly disclosed by the Company or (ii) this Agreement is terminated in full. Each Investor covenants that until such time (i) as all material terms of the sale of the Shares to the Investors pursuant to this Agreement are publicly disclosed by the Company, such Investor and its Affiliates will maintain the confidentiality of the existence and terms of this Agreement and (ii) as all material information set forth in the Disclosure Schedule are publicly disclosed by the Company, such Investor and its Affiliates will maintain the confidentiality of all information included on the Disclosure Schedule , other than, in each case,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Each Investor understands and acknowledges that the SEC currently takes the position that coverage of Short Sales of shares of the Common Stock “against the box” prior to effectiveness of a resale registration statement with securities included in such registration statement would be a violation of Section 5 of the 1933 Act, as set forth in Item 239.10 of the Securities Act Rules Compliance and Disclosure Interpretations compiled by the Office of Chief Counsel, Division of Corporation Finance.</w:t>
      </w:r>
    </w:p>
    <w:p>
      <w:pPr>
        <w:spacing w:after="0" w:line="282" w:lineRule="exact"/>
        <w:rPr>
          <w:sz w:val="20"/>
          <w:szCs w:val="20"/>
          <w:color w:val="auto"/>
        </w:rPr>
      </w:pPr>
    </w:p>
    <w:p>
      <w:pPr>
        <w:ind w:left="620" w:hanging="18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Survival and Indemnification</w:t>
      </w:r>
      <w:r>
        <w:rPr>
          <w:rFonts w:ascii="Arial" w:cs="Arial" w:eastAsia="Arial" w:hAnsi="Arial"/>
          <w:sz w:val="18"/>
          <w:szCs w:val="18"/>
          <w:color w:val="auto"/>
        </w:rPr>
        <w:t>.</w:t>
      </w:r>
    </w:p>
    <w:p>
      <w:pPr>
        <w:spacing w:after="0" w:line="117"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covenants and agreements contained in this Agreement shall survive the Closing of the transactions contemplated by this Agreement for the applicable statute of limitations.</w:t>
      </w:r>
    </w:p>
    <w:p>
      <w:pPr>
        <w:spacing w:after="0" w:line="170"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to indemnify and hold harmless each Investor and its Affiliates, and their respective directors, officers, trustees, members, managers, employees, investment advisers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(collectively, “</w:t>
      </w:r>
      <w:r>
        <w:rPr>
          <w:rFonts w:ascii="Arial" w:cs="Arial" w:eastAsia="Arial" w:hAnsi="Arial"/>
          <w:sz w:val="18"/>
          <w:szCs w:val="18"/>
          <w:u w:val="single" w:color="auto"/>
          <w:color w:val="auto"/>
        </w:rPr>
        <w:t>Losses</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7" w:name="page28"/>
    <w:bookmarkEnd w:id="27"/>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which such Person may become subject as a result of any breach of representation, warranty, covenant or agreement made by or to be performed on the part of the Company under the Transaction Documents, and will reimburse any such Person for all such amounts as they are incurred by such Person solely to the extent such amounts have been finally judicially determined not to have resulted from such Person’s fraud or willful misconduct.</w:t>
      </w:r>
    </w:p>
    <w:p>
      <w:pPr>
        <w:spacing w:after="0" w:line="14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Conduct of Indemnification Proceedings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that does not include as an unconditional term thereof the giving by the claimant or plaintiff to such indemnified party of a release from all liability in respect of such claim or litigation. No indemnified party will, except with the consent of the indemnifying party, which consent shall not be unreasonably withheld, conditioned or delayed, consent to entry of any judgment or enter into any settlement.</w:t>
      </w:r>
    </w:p>
    <w:p>
      <w:pPr>
        <w:spacing w:after="0" w:line="282" w:lineRule="exact"/>
        <w:rPr>
          <w:sz w:val="20"/>
          <w:szCs w:val="20"/>
          <w:color w:val="auto"/>
        </w:rPr>
      </w:pPr>
    </w:p>
    <w:p>
      <w:pPr>
        <w:ind w:left="620" w:hanging="184"/>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may not be assigned by a party hereto without the prior written consent of the Company or each of the Investors, as applicable, provided, however, that an Investor may assign its rights and delegate its duties hereunder in whole or in part to an Affiliate or to a third party acquiring some or all of its Shares in a transaction complying with applicable securities laws without the prior written consent of the 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time of such transaction, such Person shall, by virtue of such transaction, be deemed to have assumed the obligations of the Company hereunder, the term “Company” shall be deemed to refer to such Person and the term “Shares”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88"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Notices</w:t>
      </w:r>
      <w:r>
        <w:rPr>
          <w:rFonts w:ascii="Arial" w:cs="Arial" w:eastAsia="Arial" w:hAnsi="Arial"/>
          <w:sz w:val="16"/>
          <w:szCs w:val="16"/>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facsimile or e-mail, then such notice shall be deemed given upon receipt of confirmation of complete facsimile transmittal or confirmation of receipt of an e-mail transmission, (iii) if given by mail, then such notice shall be deemed given upon the earlier of (A) receipt of such notice by the recipient or (B) three days after such notice is deposited in first class mail, postage prepaid, and (iv)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days’ advance written notice to the other party: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Bryan Stuart, Chief Operating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Wilmer Cutler Pickering Hale and Dorr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Lia Der Marderosian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(617) 526-5000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Lia.DerMarderosian@wilmerhale.com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29" w:name="page30"/>
    <w:bookmarkEnd w:id="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Investors: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Only to the addresses set forth on the signature pages hereto.</w:t>
      </w:r>
    </w:p>
    <w:p>
      <w:pPr>
        <w:spacing w:after="0" w:line="22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Expenses</w:t>
      </w:r>
      <w:r>
        <w:rPr>
          <w:rFonts w:ascii="Arial" w:cs="Arial" w:eastAsia="Arial" w:hAnsi="Arial"/>
          <w:sz w:val="18"/>
          <w:szCs w:val="18"/>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w:t>
      </w:r>
    </w:p>
    <w:p>
      <w:pPr>
        <w:spacing w:after="0" w:line="184" w:lineRule="exact"/>
        <w:rPr>
          <w:sz w:val="20"/>
          <w:szCs w:val="20"/>
          <w:color w:val="auto"/>
        </w:rPr>
      </w:pPr>
    </w:p>
    <w:p>
      <w:pPr>
        <w:ind w:right="120" w:firstLine="991"/>
        <w:spacing w:after="0" w:line="270"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Prior to Closing, no amendment or waiver of any provision of this Agreement will be effective with 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Closing, each Investor that signed such amendment or waiver and (ii) following the Closing, each holder of any Shares purchased under this Agreement at the time outstanding, and in each case, each future holder of all such Shares and the Company.</w:t>
      </w:r>
    </w:p>
    <w:p>
      <w:pPr>
        <w:spacing w:after="0" w:line="18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Publicity</w:t>
      </w:r>
      <w:r>
        <w:rPr>
          <w:rFonts w:ascii="Arial" w:cs="Arial" w:eastAsia="Arial" w:hAnsi="Arial"/>
          <w:sz w:val="16"/>
          <w:szCs w:val="16"/>
          <w:color w:val="auto"/>
        </w:rPr>
        <w:t>. Except as set forth below, no public release or announcement concerning the transactions contemplated hereby shall be issued by the Investors without the prior consent of the Company, except as such release or announcement may be required by law or the applicable rules or regulations of any securities exchange or securities market, in which case the Investors shall allow the Company reasonable time to comment on such release or announcement in advance of such issuance. Notwithstanding the foregoing, each Investor may identify the Company and the value of such Investor’s security holdings in the Company in accordance with applicable investment reporting and disclosure regulations or internal policies without prior notice to or consent from the Company (including, for the avoidance of doubt, filings pursuant to Sections 13 and 16 of the 1934 Act). The Company shall not include the name of any Investor or any Affiliate or investment adviser of such Investor in any press release or public announcement (which, for the avoidance of doubt, shall not include any SEC Filing to the extent such disclosure is required by SEC rules and regulations) without the prior written consent of such Investor. By 8:30 a.m. (New York City time) on the second Business Day following the date this Agreement is executed, the Company shall issue one or more press releases disclosing all material terms of the transactions contemplated by this Agreement and any other material nonpublic information that the Company may have provided any Investor at any time prior to the filing of such press releases (the “</w:t>
      </w:r>
      <w:r>
        <w:rPr>
          <w:rFonts w:ascii="Arial" w:cs="Arial" w:eastAsia="Arial" w:hAnsi="Arial"/>
          <w:sz w:val="16"/>
          <w:szCs w:val="16"/>
          <w:u w:val="single" w:color="auto"/>
          <w:color w:val="auto"/>
        </w:rPr>
        <w:t>Press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Releases</w:t>
      </w:r>
      <w:r>
        <w:rPr>
          <w:rFonts w:ascii="Arial" w:cs="Arial" w:eastAsia="Arial" w:hAnsi="Arial"/>
          <w:sz w:val="16"/>
          <w:szCs w:val="16"/>
          <w:color w:val="auto"/>
        </w:rPr>
        <w:t>”). From and after the issuance of the Press Releases, no Investor shall be in possession of any material nonpublic information received from the Company, its subsidiary or any of their respective officers, directors, employees or agents (including the Placement Agent). No later than 5:30 p.m. (New York City time) on the second Business Day following the date this Agreement is executed, the Company will file a Current Report on Form 8-K (the “</w:t>
      </w:r>
      <w:r>
        <w:rPr>
          <w:rFonts w:ascii="Arial" w:cs="Arial" w:eastAsia="Arial" w:hAnsi="Arial"/>
          <w:sz w:val="16"/>
          <w:szCs w:val="16"/>
          <w:u w:val="single" w:color="auto"/>
          <w:color w:val="auto"/>
        </w:rPr>
        <w:t>8-K Filing</w:t>
      </w:r>
      <w:r>
        <w:rPr>
          <w:rFonts w:ascii="Arial" w:cs="Arial" w:eastAsia="Arial" w:hAnsi="Arial"/>
          <w:sz w:val="16"/>
          <w:szCs w:val="16"/>
          <w:color w:val="auto"/>
        </w:rPr>
        <w:t>”) attaching or disclosing the details of the press release(s) described in the foregoing sentence as well as copies of the Transaction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0" w:name="page31"/>
    <w:bookmarkEnd w:id="30"/>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In addition, the Company will make such other filings and notices in the manner and time required by the SEC or Nasdaq. The Company shall not, and shall cause each of its officers, directors, employees and agents not to, provide any Investor with any such material nonpublic information regarding the Company from and after the filing of the Press Releases without the express prior written consent of such Investor.</w:t>
      </w:r>
    </w:p>
    <w:p>
      <w:pPr>
        <w:spacing w:after="0" w:line="149"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76"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Benefit of Agreement</w:t>
      </w:r>
      <w:r>
        <w:rPr>
          <w:rFonts w:ascii="Arial" w:cs="Arial" w:eastAsia="Arial" w:hAnsi="Arial"/>
          <w:sz w:val="18"/>
          <w:szCs w:val="18"/>
          <w:color w:val="auto"/>
        </w:rPr>
        <w:t>. The Placement Agent is an intended third-party beneficiary of the representations and warranties of the Company and of each Investor set forth in Section 4 and Section 5, respectively, of this Agreement.</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signature pages, Exhibits, the other Transaction Documents and the confidentiality agreement between the Company and each Investor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87"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4"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Independent Nature of Investors’ Obligations and Rights</w:t>
      </w:r>
      <w:r>
        <w:rPr>
          <w:rFonts w:ascii="Arial" w:cs="Arial" w:eastAsia="Arial" w:hAnsi="Arial"/>
          <w:sz w:val="16"/>
          <w:szCs w:val="16"/>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Shares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1" w:name="page32"/>
    <w:bookmarkEnd w:id="3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making its investment hereunder and that no Investor will be acting as agent of such Investor in connection with monitoring its investment in the Shares or enforcing its rights under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177"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Exculpation of the Placement Agent</w:t>
      </w:r>
      <w:r>
        <w:rPr>
          <w:rFonts w:ascii="Arial" w:cs="Arial" w:eastAsia="Arial" w:hAnsi="Arial"/>
          <w:sz w:val="18"/>
          <w:szCs w:val="18"/>
          <w:color w:val="auto"/>
        </w:rPr>
        <w:t>. Each party hereto agrees for the express benefit of the Placements Agent and its affiliates and representatives that:</w:t>
      </w:r>
    </w:p>
    <w:p>
      <w:pPr>
        <w:spacing w:after="0" w:line="62" w:lineRule="exact"/>
        <w:rPr>
          <w:sz w:val="20"/>
          <w:szCs w:val="20"/>
          <w:color w:val="auto"/>
        </w:rPr>
      </w:pPr>
    </w:p>
    <w:p>
      <w:pPr>
        <w:ind w:left="440" w:right="180" w:hanging="4"/>
        <w:spacing w:after="0" w:line="29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none of the Placement Agent, its affiliates or any of its representatives (1) has any duties or obligations other than those specifically set forth herein or in the engagement letter, dated as of February 20, 2020 (the “</w:t>
      </w:r>
      <w:r>
        <w:rPr>
          <w:rFonts w:ascii="Arial" w:cs="Arial" w:eastAsia="Arial" w:hAnsi="Arial"/>
          <w:sz w:val="16"/>
          <w:szCs w:val="16"/>
          <w:u w:val="single" w:color="auto"/>
          <w:color w:val="auto"/>
        </w:rPr>
        <w:t>Engagement Letter</w:t>
      </w:r>
      <w:r>
        <w:rPr>
          <w:rFonts w:ascii="Arial" w:cs="Arial" w:eastAsia="Arial" w:hAnsi="Arial"/>
          <w:sz w:val="16"/>
          <w:szCs w:val="16"/>
          <w:color w:val="auto"/>
        </w:rPr>
        <w:t>”), between the Company and the Placement Agent;</w:t>
      </w:r>
    </w:p>
    <w:p>
      <w:pPr>
        <w:ind w:left="440" w:right="20"/>
        <w:spacing w:after="0" w:line="269" w:lineRule="auto"/>
        <w:rPr>
          <w:rFonts w:ascii="Arial" w:cs="Arial" w:eastAsia="Arial" w:hAnsi="Arial"/>
          <w:sz w:val="16"/>
          <w:szCs w:val="16"/>
          <w:color w:val="auto"/>
        </w:rPr>
      </w:pPr>
      <w:r>
        <w:rPr>
          <w:rFonts w:ascii="Arial" w:cs="Arial" w:eastAsia="Arial" w:hAnsi="Arial"/>
          <w:sz w:val="17"/>
          <w:szCs w:val="17"/>
          <w:color w:val="auto"/>
        </w:rPr>
        <w:t>(2)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Agreement or the Transaction Documents or in connection with any of the transactions contemplated hereby and thereby; or (4) shall be liable (x) for any action taken, suffered or omitted by any of them in good faith and reasonably believed to be authorized or within the discretion or rights or powers conferred upon it by this Agreement or any Transaction Document or (y) for anything which any of them may do or refrain from doing in connection with this Agreement or any Transaction Document, except in each case for such party’s own gross negligence, willful misconduct or bad faith.</w:t>
      </w:r>
    </w:p>
    <w:p>
      <w:pPr>
        <w:spacing w:after="0" w:line="72" w:lineRule="exact"/>
        <w:rPr>
          <w:rFonts w:ascii="Arial" w:cs="Arial" w:eastAsia="Arial" w:hAnsi="Arial"/>
          <w:sz w:val="16"/>
          <w:szCs w:val="16"/>
          <w:color w:val="auto"/>
        </w:rPr>
      </w:pPr>
    </w:p>
    <w:p>
      <w:pPr>
        <w:ind w:left="440" w:right="40" w:hanging="4"/>
        <w:spacing w:after="0" w:line="311"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Placement Agent, its affiliates and its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 hereunder pursuant to the indemnification provisions set forth in the Engagement Letter.</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32" w:name="page33"/>
    <w:bookmarkEnd w:id="32"/>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COMPANY:</w:t>
            </w: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FULCRUM THERAPEUTICS, INC.</w:t>
            </w:r>
          </w:p>
        </w:tc>
      </w:tr>
      <w:tr>
        <w:trPr>
          <w:trHeight w:val="540"/>
        </w:trPr>
        <w:tc>
          <w:tcPr>
            <w:tcW w:w="3100" w:type="dxa"/>
            <w:vAlign w:val="bottom"/>
          </w:tcPr>
          <w:p>
            <w:pPr>
              <w:spacing w:after="0"/>
              <w:rPr>
                <w:sz w:val="24"/>
                <w:szCs w:val="24"/>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 Robert J. Gould</w:t>
            </w:r>
          </w:p>
        </w:tc>
      </w:tr>
      <w:tr>
        <w:trPr>
          <w:trHeight w:val="195"/>
        </w:trPr>
        <w:tc>
          <w:tcPr>
            <w:tcW w:w="3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3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020"/>
          </w:cols>
          <w:pgMar w:left="440" w:top="274" w:right="43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ECORl CAPITAL FUND QUALIFIED, L.P.</w:t>
            </w:r>
          </w:p>
        </w:tc>
      </w:tr>
      <w:tr>
        <w:trPr>
          <w:trHeight w:val="230"/>
        </w:trPr>
        <w:tc>
          <w:tcPr>
            <w:tcW w:w="3100" w:type="dxa"/>
            <w:vAlign w:val="bottom"/>
          </w:tcPr>
          <w:p>
            <w:pPr>
              <w:spacing w:after="0"/>
              <w:rPr>
                <w:sz w:val="20"/>
                <w:szCs w:val="20"/>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EcoRl Capital LLC, its General Partner</w:t>
            </w:r>
          </w:p>
        </w:tc>
      </w:tr>
      <w:tr>
        <w:trPr>
          <w:trHeight w:val="432"/>
        </w:trPr>
        <w:tc>
          <w:tcPr>
            <w:tcW w:w="3100" w:type="dxa"/>
            <w:vAlign w:val="bottom"/>
          </w:tcPr>
          <w:p>
            <w:pPr>
              <w:spacing w:after="0"/>
              <w:rPr>
                <w:sz w:val="24"/>
                <w:szCs w:val="24"/>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 Oleg Nodelman</w:t>
            </w:r>
          </w:p>
        </w:tc>
      </w:tr>
      <w:tr>
        <w:trPr>
          <w:trHeight w:val="195"/>
        </w:trPr>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 Oleg Nodelman</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Title: Manager</w:t>
            </w:r>
          </w:p>
        </w:tc>
      </w:tr>
    </w:tbl>
    <w:p>
      <w:pPr>
        <w:sectPr>
          <w:pgSz w:w="11900" w:h="16838" w:orient="portrait"/>
          <w:cols w:equalWidth="0" w:num="1">
            <w:col w:w="11020"/>
          </w:cols>
          <w:pgMar w:left="440" w:top="274" w:right="43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ECORl CAPITAL FUND, L.P.</w:t>
            </w:r>
          </w:p>
        </w:tc>
      </w:tr>
      <w:tr>
        <w:trPr>
          <w:trHeight w:val="230"/>
        </w:trPr>
        <w:tc>
          <w:tcPr>
            <w:tcW w:w="3100" w:type="dxa"/>
            <w:vAlign w:val="bottom"/>
          </w:tcPr>
          <w:p>
            <w:pPr>
              <w:spacing w:after="0"/>
              <w:rPr>
                <w:sz w:val="20"/>
                <w:szCs w:val="20"/>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EcoRl Capital LLC, its General Partner</w:t>
            </w:r>
          </w:p>
        </w:tc>
      </w:tr>
      <w:tr>
        <w:trPr>
          <w:trHeight w:val="432"/>
        </w:trPr>
        <w:tc>
          <w:tcPr>
            <w:tcW w:w="3100" w:type="dxa"/>
            <w:vAlign w:val="bottom"/>
          </w:tcPr>
          <w:p>
            <w:pPr>
              <w:spacing w:after="0"/>
              <w:rPr>
                <w:sz w:val="24"/>
                <w:szCs w:val="24"/>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 Oleg Nodelman</w:t>
            </w:r>
          </w:p>
        </w:tc>
      </w:tr>
      <w:tr>
        <w:trPr>
          <w:trHeight w:val="195"/>
        </w:trPr>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 Oleg Nodelman</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Title: Manager</w:t>
            </w:r>
          </w:p>
        </w:tc>
      </w:tr>
      <w:tr>
        <w:trPr>
          <w:trHeight w:val="364"/>
        </w:trPr>
        <w:tc>
          <w:tcPr>
            <w:tcW w:w="31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c>
          <w:tcPr>
            <w:tcW w:w="54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5" w:name="page36"/>
    <w:bookmarkEnd w:id="35"/>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ALYESKA MASTER FUND,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Jason A.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Jason A. Bragg</w:t>
      </w:r>
    </w:p>
    <w:p>
      <w:pPr>
        <w:spacing w:after="0" w:line="23"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Title: CFO of Alyeska Investment Group, LP</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19"/>
          </w:cols>
          <w:pgMar w:left="440" w:top="274" w:right="1440" w:bottom="1440" w:gutter="0" w:footer="0" w:header="0"/>
        </w:sectPr>
      </w:pPr>
    </w:p>
    <w:bookmarkStart w:id="36" w:name="page37"/>
    <w:bookmarkEnd w:id="36"/>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ALYESKA MASTER FUND 3,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Jason A.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Jason A. Bragg</w:t>
      </w:r>
    </w:p>
    <w:p>
      <w:pPr>
        <w:spacing w:after="0" w:line="23"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Title: CFO of Alyeska Investment Group, LP</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9"/>
          </w:cols>
          <w:pgMar w:left="440" w:top="274"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CASDIN PARTNERS MASTER FUND, L.P.</w:t>
            </w:r>
          </w:p>
        </w:tc>
      </w:tr>
      <w:tr>
        <w:trPr>
          <w:trHeight w:val="230"/>
        </w:trPr>
        <w:tc>
          <w:tcPr>
            <w:tcW w:w="3100" w:type="dxa"/>
            <w:vAlign w:val="bottom"/>
          </w:tcPr>
          <w:p>
            <w:pPr>
              <w:spacing w:after="0"/>
              <w:rPr>
                <w:sz w:val="20"/>
                <w:szCs w:val="20"/>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Casdin Partners GP, LLC, its General Partner</w:t>
            </w:r>
          </w:p>
        </w:tc>
      </w:tr>
      <w:tr>
        <w:trPr>
          <w:trHeight w:val="432"/>
        </w:trPr>
        <w:tc>
          <w:tcPr>
            <w:tcW w:w="3100" w:type="dxa"/>
            <w:vAlign w:val="bottom"/>
          </w:tcPr>
          <w:p>
            <w:pPr>
              <w:spacing w:after="0"/>
              <w:rPr>
                <w:sz w:val="24"/>
                <w:szCs w:val="24"/>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 Eli Casdin</w:t>
            </w:r>
          </w:p>
        </w:tc>
      </w:tr>
      <w:tr>
        <w:trPr>
          <w:trHeight w:val="195"/>
        </w:trPr>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 Eli Casdin</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Title: Managing Member</w:t>
            </w:r>
          </w:p>
        </w:tc>
      </w:tr>
      <w:tr>
        <w:trPr>
          <w:trHeight w:val="364"/>
        </w:trPr>
        <w:tc>
          <w:tcPr>
            <w:tcW w:w="31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c>
          <w:tcPr>
            <w:tcW w:w="5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8" w:name="page39"/>
    <w:bookmarkEnd w:id="38"/>
    <w:p>
      <w:pPr>
        <w:spacing w:after="0"/>
        <w:tabs>
          <w:tab w:leader="none" w:pos="52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6"/>
          <w:szCs w:val="16"/>
          <w:color w:val="auto"/>
        </w:rPr>
        <w:t>Perceptive Life Sciences Master Fund, Ltd.</w:t>
      </w:r>
    </w:p>
    <w:p>
      <w:pPr>
        <w:spacing w:after="0" w:line="356"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James H. Manix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James H. Manix</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C.O.O.</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19"/>
          </w:cols>
          <w:pgMar w:left="440" w:top="274" w:right="1440" w:bottom="1440" w:gutter="0" w:footer="0" w:header="0"/>
        </w:sectPr>
      </w:pPr>
    </w:p>
    <w:bookmarkStart w:id="39" w:name="page40"/>
    <w:bookmarkEnd w:id="39"/>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BEMAP Master Fund Ltd</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Title: CCO, Monashee Investment Mgmt LLC</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19"/>
          </w:cols>
          <w:pgMar w:left="440" w:top="274" w:right="1440" w:bottom="1440" w:gutter="0" w:footer="0" w:header="0"/>
        </w:sectPr>
      </w:pPr>
    </w:p>
    <w:bookmarkStart w:id="40" w:name="page41"/>
    <w:bookmarkEnd w:id="40"/>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Monashee Solitario Fund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Title: CCO, Monashee Investment Mgmt LLC</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19"/>
          </w:cols>
          <w:pgMar w:left="440" w:top="274" w:right="1440" w:bottom="1440" w:gutter="0" w:footer="0" w:header="0"/>
        </w:sectPr>
      </w:pPr>
    </w:p>
    <w:bookmarkStart w:id="41" w:name="page42"/>
    <w:bookmarkEnd w:id="41"/>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Monashee Pure Alpha SPV I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Title: CCO, Monashee Investment Mgmt LLC</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19"/>
          </w:cols>
          <w:pgMar w:left="440" w:top="274" w:right="1440" w:bottom="1440" w:gutter="0" w:footer="0" w:header="0"/>
        </w:sectPr>
      </w:pPr>
    </w:p>
    <w:bookmarkStart w:id="42" w:name="page43"/>
    <w:bookmarkEnd w:id="42"/>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SFL SPV I LLC</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Title: CCO, Monashee Investment Mgmt LLC</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019"/>
          </w:cols>
          <w:pgMar w:left="440" w:top="274"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SAMSARA BIOCAPITAL, L.P.</w:t>
            </w:r>
          </w:p>
        </w:tc>
      </w:tr>
      <w:tr>
        <w:trPr>
          <w:trHeight w:val="230"/>
        </w:trPr>
        <w:tc>
          <w:tcPr>
            <w:tcW w:w="3100" w:type="dxa"/>
            <w:vAlign w:val="bottom"/>
          </w:tcPr>
          <w:p>
            <w:pPr>
              <w:spacing w:after="0"/>
              <w:rPr>
                <w:sz w:val="20"/>
                <w:szCs w:val="20"/>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Samsara BioCapital GP, LLC, General Partner</w:t>
            </w:r>
          </w:p>
        </w:tc>
      </w:tr>
      <w:tr>
        <w:trPr>
          <w:trHeight w:val="432"/>
        </w:trPr>
        <w:tc>
          <w:tcPr>
            <w:tcW w:w="3100" w:type="dxa"/>
            <w:vAlign w:val="bottom"/>
          </w:tcPr>
          <w:p>
            <w:pPr>
              <w:spacing w:after="0"/>
              <w:rPr>
                <w:sz w:val="24"/>
                <w:szCs w:val="24"/>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 Srinivas Akkaraju</w:t>
            </w:r>
          </w:p>
        </w:tc>
      </w:tr>
      <w:tr>
        <w:trPr>
          <w:trHeight w:val="195"/>
        </w:trPr>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Name:Srinivas Akkaraju</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Title: Managing Member</w:t>
            </w:r>
          </w:p>
        </w:tc>
      </w:tr>
      <w:tr>
        <w:trPr>
          <w:trHeight w:val="365"/>
        </w:trPr>
        <w:tc>
          <w:tcPr>
            <w:tcW w:w="31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c>
          <w:tcPr>
            <w:tcW w:w="5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4" w:name="page45"/>
    <w:bookmarkEnd w:id="44"/>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Foresite Capital Fund IV, L.P.</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 Foresite Capital Management IV, LLC</w:t>
      </w:r>
    </w:p>
    <w:p>
      <w:pPr>
        <w:spacing w:after="0" w:line="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 General Partner</w:t>
      </w:r>
    </w:p>
    <w:p>
      <w:pPr>
        <w:spacing w:after="0" w:line="332"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Dennis D. Ryan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19"/>
          </w:cols>
          <w:pgMar w:left="440" w:top="274" w:right="1440" w:bottom="1440" w:gutter="0" w:footer="0" w:header="0"/>
        </w:sectPr>
      </w:pPr>
    </w:p>
    <w:bookmarkStart w:id="45" w:name="page46"/>
    <w:bookmarkEnd w:id="45"/>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BOXER CAPITAL, LLC</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Aaron Davis</w:t>
      </w:r>
    </w:p>
    <w:p>
      <w:pPr>
        <w:spacing w:after="0" w:line="23"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19"/>
          </w:cols>
          <w:pgMar w:left="440" w:top="274" w:right="1440"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of Investors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340" w:type="dxa"/>
            <w:vAlign w:val="bottom"/>
            <w:tcBorders>
              <w:top w:val="single" w:sz="8" w:color="auto"/>
              <w:left w:val="single" w:sz="8" w:color="auto"/>
            </w:tcBorders>
            <w:gridSpan w:val="3"/>
            <w:vMerge w:val="restart"/>
          </w:tcPr>
          <w:p>
            <w:pPr>
              <w:ind w:left="2360"/>
              <w:spacing w:after="0"/>
              <w:rPr>
                <w:sz w:val="20"/>
                <w:szCs w:val="20"/>
                <w:color w:val="auto"/>
              </w:rPr>
            </w:pPr>
            <w:r>
              <w:rPr>
                <w:rFonts w:ascii="Arial" w:cs="Arial" w:eastAsia="Arial" w:hAnsi="Arial"/>
                <w:sz w:val="14"/>
                <w:szCs w:val="14"/>
                <w:b w:val="1"/>
                <w:bCs w:val="1"/>
                <w:color w:val="auto"/>
              </w:rPr>
              <w:t>Investor Name</w:t>
            </w:r>
          </w:p>
        </w:tc>
        <w:tc>
          <w:tcPr>
            <w:tcW w:w="11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520" w:type="dxa"/>
            <w:vAlign w:val="bottom"/>
            <w:tcBorders>
              <w:top w:val="single" w:sz="8" w:color="auto"/>
              <w:right w:val="single" w:sz="8" w:color="auto"/>
            </w:tcBorders>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 Shares to be</w:t>
            </w:r>
          </w:p>
        </w:tc>
        <w:tc>
          <w:tcPr>
            <w:tcW w:w="860" w:type="dxa"/>
            <w:vAlign w:val="bottom"/>
            <w:tcBorders>
              <w:top w:val="single" w:sz="8" w:color="auto"/>
            </w:tcBorders>
          </w:tcPr>
          <w:p>
            <w:pPr>
              <w:spacing w:after="0"/>
              <w:rPr>
                <w:sz w:val="12"/>
                <w:szCs w:val="12"/>
                <w:color w:val="auto"/>
              </w:rPr>
            </w:pPr>
          </w:p>
        </w:tc>
        <w:tc>
          <w:tcPr>
            <w:tcW w:w="2300" w:type="dxa"/>
            <w:vAlign w:val="bottom"/>
            <w:tcBorders>
              <w:top w:val="single" w:sz="8" w:color="auto"/>
              <w:right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3"/>
              </w:rPr>
              <w:t>Aggregate Purchase Price of Shares</w:t>
            </w:r>
          </w:p>
        </w:tc>
        <w:tc>
          <w:tcPr>
            <w:tcW w:w="0" w:type="dxa"/>
            <w:vAlign w:val="bottom"/>
          </w:tcPr>
          <w:p>
            <w:pPr>
              <w:spacing w:after="0"/>
              <w:rPr>
                <w:sz w:val="1"/>
                <w:szCs w:val="1"/>
                <w:color w:val="auto"/>
              </w:rPr>
            </w:pPr>
          </w:p>
        </w:tc>
      </w:tr>
      <w:tr>
        <w:trPr>
          <w:trHeight w:val="128"/>
        </w:trPr>
        <w:tc>
          <w:tcPr>
            <w:tcW w:w="4340" w:type="dxa"/>
            <w:vAlign w:val="bottom"/>
            <w:tcBorders>
              <w:top w:val="single" w:sz="8" w:color="auto"/>
              <w:left w:val="single" w:sz="8" w:color="auto"/>
            </w:tcBorders>
            <w:gridSpan w:val="3"/>
            <w:vMerge w:val="continue"/>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Purchased</w:t>
            </w:r>
          </w:p>
        </w:tc>
        <w:tc>
          <w:tcPr>
            <w:tcW w:w="8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300" w:type="dxa"/>
            <w:vAlign w:val="bottom"/>
            <w:tcBorders>
              <w:top w:val="single" w:sz="8" w:color="auto"/>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360" w:type="dxa"/>
            <w:vAlign w:val="bottom"/>
            <w:tcBorders>
              <w:left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156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EcoR1 Capital Fund Qualified, L.P.</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747,472</w:t>
            </w: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12,707,024.00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tcPr>
          <w:p>
            <w:pPr>
              <w:ind w:left="160"/>
              <w:spacing w:after="0"/>
              <w:rPr>
                <w:sz w:val="20"/>
                <w:szCs w:val="20"/>
                <w:color w:val="auto"/>
              </w:rPr>
            </w:pPr>
            <w:r>
              <w:rPr>
                <w:rFonts w:ascii="Arial" w:cs="Arial" w:eastAsia="Arial" w:hAnsi="Arial"/>
                <w:sz w:val="18"/>
                <w:szCs w:val="18"/>
                <w:color w:val="auto"/>
              </w:rPr>
              <w:t>EcoR1 Capital Fund, L.P.</w:t>
            </w:r>
          </w:p>
        </w:tc>
        <w:tc>
          <w:tcPr>
            <w:tcW w:w="11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134,881</w:t>
            </w:r>
          </w:p>
        </w:tc>
        <w:tc>
          <w:tcPr>
            <w:tcW w:w="14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2,292,977.00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Alyeska Master Fund, L.P.</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874,136</w:t>
            </w: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14,860,312.00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tcPr>
          <w:p>
            <w:pPr>
              <w:ind w:left="160"/>
              <w:spacing w:after="0"/>
              <w:rPr>
                <w:sz w:val="20"/>
                <w:szCs w:val="20"/>
                <w:color w:val="auto"/>
              </w:rPr>
            </w:pPr>
            <w:r>
              <w:rPr>
                <w:rFonts w:ascii="Arial" w:cs="Arial" w:eastAsia="Arial" w:hAnsi="Arial"/>
                <w:sz w:val="18"/>
                <w:szCs w:val="18"/>
                <w:color w:val="auto"/>
              </w:rPr>
              <w:t>Alyeska Master Fund 3, L.P.</w:t>
            </w:r>
          </w:p>
        </w:tc>
        <w:tc>
          <w:tcPr>
            <w:tcW w:w="11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8,217</w:t>
            </w:r>
          </w:p>
        </w:tc>
        <w:tc>
          <w:tcPr>
            <w:tcW w:w="14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139,689.00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Boxer Capital, LLC</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705,882</w:t>
            </w: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11,999,994.00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tcPr>
          <w:p>
            <w:pPr>
              <w:ind w:left="160"/>
              <w:spacing w:after="0"/>
              <w:rPr>
                <w:sz w:val="20"/>
                <w:szCs w:val="20"/>
                <w:color w:val="auto"/>
              </w:rPr>
            </w:pPr>
            <w:r>
              <w:rPr>
                <w:rFonts w:ascii="Arial" w:cs="Arial" w:eastAsia="Arial" w:hAnsi="Arial"/>
                <w:sz w:val="18"/>
                <w:szCs w:val="18"/>
                <w:color w:val="auto"/>
              </w:rPr>
              <w:t>Casdin Partners Master Fund, L.P.</w:t>
            </w:r>
          </w:p>
        </w:tc>
        <w:tc>
          <w:tcPr>
            <w:tcW w:w="11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441,176</w:t>
            </w:r>
          </w:p>
        </w:tc>
        <w:tc>
          <w:tcPr>
            <w:tcW w:w="14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7,499,992.00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Perceptive Life Sciences Master Fund, Ltd.</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294,118</w:t>
            </w: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5,000,006.00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tcBorders>
            <w:gridSpan w:val="3"/>
          </w:tcPr>
          <w:p>
            <w:pPr>
              <w:ind w:left="160"/>
              <w:spacing w:after="0"/>
              <w:rPr>
                <w:sz w:val="20"/>
                <w:szCs w:val="20"/>
                <w:color w:val="auto"/>
              </w:rPr>
            </w:pPr>
            <w:r>
              <w:rPr>
                <w:rFonts w:ascii="Arial" w:cs="Arial" w:eastAsia="Arial" w:hAnsi="Arial"/>
                <w:sz w:val="18"/>
                <w:szCs w:val="18"/>
                <w:color w:val="auto"/>
              </w:rPr>
              <w:t>Samsara BioCapital, L.P.</w:t>
            </w:r>
          </w:p>
        </w:tc>
        <w:tc>
          <w:tcPr>
            <w:tcW w:w="11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294,118</w:t>
            </w:r>
          </w:p>
        </w:tc>
        <w:tc>
          <w:tcPr>
            <w:tcW w:w="14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5,000,006.00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BEMAP Master Fund Ltd</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133,690</w:t>
            </w: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2,272,730.00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tcPr>
          <w:p>
            <w:pPr>
              <w:ind w:left="160"/>
              <w:spacing w:after="0"/>
              <w:rPr>
                <w:sz w:val="20"/>
                <w:szCs w:val="20"/>
                <w:color w:val="auto"/>
              </w:rPr>
            </w:pPr>
            <w:r>
              <w:rPr>
                <w:rFonts w:ascii="Arial" w:cs="Arial" w:eastAsia="Arial" w:hAnsi="Arial"/>
                <w:sz w:val="18"/>
                <w:szCs w:val="18"/>
                <w:color w:val="auto"/>
              </w:rPr>
              <w:t>Monashee Solitario Fund LP</w:t>
            </w:r>
          </w:p>
        </w:tc>
        <w:tc>
          <w:tcPr>
            <w:tcW w:w="11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80,214</w:t>
            </w:r>
          </w:p>
        </w:tc>
        <w:tc>
          <w:tcPr>
            <w:tcW w:w="14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1,363,638.00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Monashee Pure Alpha SPV I LP</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60,160</w:t>
            </w: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1,022,720.00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tcPr>
          <w:p>
            <w:pPr>
              <w:ind w:left="160"/>
              <w:spacing w:after="0"/>
              <w:rPr>
                <w:sz w:val="20"/>
                <w:szCs w:val="20"/>
                <w:color w:val="auto"/>
              </w:rPr>
            </w:pPr>
            <w:r>
              <w:rPr>
                <w:rFonts w:ascii="Arial" w:cs="Arial" w:eastAsia="Arial" w:hAnsi="Arial"/>
                <w:sz w:val="18"/>
                <w:szCs w:val="18"/>
                <w:color w:val="auto"/>
              </w:rPr>
              <w:t>SFL SPV I LLC</w:t>
            </w:r>
          </w:p>
        </w:tc>
        <w:tc>
          <w:tcPr>
            <w:tcW w:w="11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20,054</w:t>
            </w:r>
          </w:p>
        </w:tc>
        <w:tc>
          <w:tcPr>
            <w:tcW w:w="14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340,918.00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Foresite Capital Fund IV, L.P.</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2360" w:type="dxa"/>
            <w:vAlign w:val="bottom"/>
            <w:tcBorders>
              <w:bottom w:val="single" w:sz="8" w:color="auto"/>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235,293</w:t>
            </w: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3,999,981.00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4,029,411</w:t>
            </w:r>
          </w:p>
        </w:tc>
        <w:tc>
          <w:tcPr>
            <w:tcW w:w="14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68,499,987.00</w:t>
            </w:r>
          </w:p>
        </w:tc>
        <w:tc>
          <w:tcPr>
            <w:tcW w:w="0" w:type="dxa"/>
            <w:vAlign w:val="bottom"/>
          </w:tcPr>
          <w:p>
            <w:pPr>
              <w:spacing w:after="0"/>
              <w:rPr>
                <w:sz w:val="1"/>
                <w:szCs w:val="1"/>
                <w:color w:val="auto"/>
              </w:rPr>
            </w:pPr>
          </w:p>
        </w:tc>
      </w:tr>
      <w:tr>
        <w:trPr>
          <w:trHeight w:val="358"/>
        </w:trPr>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gridSpan w:val="2"/>
          </w:tcPr>
          <w:p>
            <w:pPr>
              <w:jc w:val="right"/>
              <w:ind w:right="67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0"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Investor Questionnaire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019"/>
          </w:cols>
          <w:pgMar w:left="1440" w:top="270"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Lock-Up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019"/>
          </w:cols>
          <w:pgMar w:left="1440" w:top="270" w:right="1440" w:bottom="1440" w:gutter="0" w:footer="0" w:header="0"/>
        </w:sectPr>
      </w:pPr>
    </w:p>
    <w:bookmarkStart w:id="50" w:name="page51"/>
    <w:bookmarkEnd w:id="5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Fulcrum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Lock-Up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-10160</wp:posOffset>
            </wp:positionV>
            <wp:extent cx="571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SVB Leerink LLC</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Boston, Massachusetts 02110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This letter is being delivered to SVB Leerink LLC (the “</w:t>
      </w:r>
      <w:r>
        <w:rPr>
          <w:rFonts w:ascii="Arial" w:cs="Arial" w:eastAsia="Arial" w:hAnsi="Arial"/>
          <w:sz w:val="18"/>
          <w:szCs w:val="18"/>
          <w:u w:val="single" w:color="auto"/>
          <w:color w:val="auto"/>
        </w:rPr>
        <w:t>Placement Agent</w:t>
      </w:r>
      <w:r>
        <w:rPr>
          <w:rFonts w:ascii="Arial" w:cs="Arial" w:eastAsia="Arial" w:hAnsi="Arial"/>
          <w:sz w:val="18"/>
          <w:szCs w:val="18"/>
          <w:color w:val="auto"/>
        </w:rPr>
        <w:t>”) in connection with the proposed private placement (the “</w:t>
      </w:r>
      <w:r>
        <w:rPr>
          <w:rFonts w:ascii="Arial" w:cs="Arial" w:eastAsia="Arial" w:hAnsi="Arial"/>
          <w:sz w:val="18"/>
          <w:szCs w:val="18"/>
          <w:u w:val="single" w:color="auto"/>
          <w:color w:val="auto"/>
        </w:rPr>
        <w:t>Private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Placement</w:t>
      </w:r>
      <w:r>
        <w:rPr>
          <w:rFonts w:ascii="Arial" w:cs="Arial" w:eastAsia="Arial" w:hAnsi="Arial"/>
          <w:sz w:val="18"/>
          <w:szCs w:val="18"/>
          <w:color w:val="auto"/>
        </w:rPr>
        <w:t>”) by Fulcrum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of shares of its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84"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In order to induce the Placement Agent to conduct the Private Placement, the undersigned will not, without the prior written consent of the Placement Agent,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such capital stock, or publicly announce an intention to effect any such transaction, for a period from the date hereof until 60 days after the date of the purchase agreement to be entered into in connection with the Private Placement (such period,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The foregoing shall not apply to:</w:t>
      </w:r>
    </w:p>
    <w:p>
      <w:pPr>
        <w:spacing w:after="0" w:line="192" w:lineRule="exact"/>
        <w:rPr>
          <w:sz w:val="20"/>
          <w:szCs w:val="20"/>
          <w:color w:val="auto"/>
        </w:rPr>
      </w:pPr>
    </w:p>
    <w:p>
      <w:pPr>
        <w:ind w:left="4" w:right="100" w:hanging="4"/>
        <w:spacing w:after="0" w:line="259"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Common Stock or other securities acquired in open market transactions after the completion of the Private Placement,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reporting a reduction in the beneficial ownership of Common Stock held by the undersigned shall be required or shall be voluntarily made in connection with subsequent sales of Common Stock or other securities acquired in such open market transactions;</w:t>
      </w:r>
    </w:p>
    <w:p>
      <w:pPr>
        <w:spacing w:after="0" w:line="186" w:lineRule="exact"/>
        <w:rPr>
          <w:rFonts w:ascii="Arial" w:cs="Arial" w:eastAsia="Arial" w:hAnsi="Arial"/>
          <w:sz w:val="18"/>
          <w:szCs w:val="18"/>
          <w:color w:val="auto"/>
        </w:rPr>
      </w:pPr>
    </w:p>
    <w:p>
      <w:pPr>
        <w:ind w:left="4" w:right="280" w:hanging="4"/>
        <w:spacing w:after="0" w:line="277"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transfers of shares of Common Stock or any security convertible into or exercisable or exchangeable for Common Stock as a bona fide gift or gifts, or (B) to a charitable organization or educational institution in a transaction not involving a disposition for value;</w:t>
      </w:r>
    </w:p>
    <w:p>
      <w:pPr>
        <w:spacing w:after="0" w:line="170" w:lineRule="exact"/>
        <w:rPr>
          <w:rFonts w:ascii="Arial" w:cs="Arial" w:eastAsia="Arial" w:hAnsi="Arial"/>
          <w:sz w:val="18"/>
          <w:szCs w:val="18"/>
          <w:color w:val="auto"/>
        </w:rPr>
      </w:pPr>
    </w:p>
    <w:p>
      <w:pPr>
        <w:ind w:left="4" w:right="340" w:hanging="4"/>
        <w:spacing w:after="0" w:line="263"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183" w:lineRule="exact"/>
        <w:rPr>
          <w:rFonts w:ascii="Arial" w:cs="Arial" w:eastAsia="Arial" w:hAnsi="Arial"/>
          <w:sz w:val="18"/>
          <w:szCs w:val="18"/>
          <w:color w:val="auto"/>
        </w:rPr>
      </w:pPr>
    </w:p>
    <w:p>
      <w:pPr>
        <w:ind w:left="4" w:right="20" w:hanging="4"/>
        <w:spacing w:after="0" w:line="311" w:lineRule="auto"/>
        <w:tabs>
          <w:tab w:leader="none" w:pos="2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solely by operation of law pursuant to a qualified domestic order or in connection with a divorce settlement;</w:t>
      </w:r>
    </w:p>
    <w:p>
      <w:pPr>
        <w:spacing w:after="0" w:line="149"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disposition or distribution pursuant to clause (b), (c) and (d), (i) each transferee, donee or distributee shall sign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a lock-up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270" w:right="439" w:bottom="1440" w:gutter="0" w:footer="0" w:header="0"/>
        </w:sectPr>
      </w:pPr>
    </w:p>
    <w:bookmarkStart w:id="51" w:name="page52"/>
    <w:bookmarkEnd w:id="51"/>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substantially in the form of this agreement and (ii) no filing under Section 16(a) of the Exchange Act, reporting a reduction in beneficial ownership of shares of Common Stock held by the undersigned, shall be required or shall be voluntarily made during the Restricted Period (other than, in the case of a transfer or other disposition pursuant to clause (c) above,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188" w:lineRule="exact"/>
        <w:rPr>
          <w:sz w:val="20"/>
          <w:szCs w:val="20"/>
          <w:color w:val="auto"/>
        </w:rPr>
      </w:pPr>
    </w:p>
    <w:p>
      <w:pPr>
        <w:ind w:left="4" w:right="560" w:hanging="4"/>
        <w:spacing w:after="0" w:line="308" w:lineRule="auto"/>
        <w:tabs>
          <w:tab w:leader="none" w:pos="24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to the Company in connection with the termination of the undersigned’s employment with or service to the Company;</w:t>
      </w:r>
    </w:p>
    <w:p>
      <w:pPr>
        <w:spacing w:after="0" w:line="146" w:lineRule="exact"/>
        <w:rPr>
          <w:rFonts w:ascii="Arial" w:cs="Arial" w:eastAsia="Arial" w:hAnsi="Arial"/>
          <w:sz w:val="17"/>
          <w:szCs w:val="17"/>
          <w:color w:val="auto"/>
        </w:rPr>
      </w:pPr>
    </w:p>
    <w:p>
      <w:pPr>
        <w:ind w:left="4" w:right="140" w:hanging="4"/>
        <w:spacing w:after="0" w:line="279" w:lineRule="auto"/>
        <w:tabs>
          <w:tab w:leader="none" w:pos="2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exercise of stock options to purchase shares of Common Stock granted under plans described in the Prospectus and any related transfer to the Company of shares of Common Stock (including by way of “net” or “cashless” exercise solely to cover withholding tax obligations in connection with such exercise and any transfer to the Company for the payment of taxes as a result of such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shares of Common Stock received upon exercise shall be subject to the restrictions on transfer set forth in this agreement;</w:t>
      </w:r>
    </w:p>
    <w:p>
      <w:pPr>
        <w:spacing w:after="0" w:line="171" w:lineRule="exact"/>
        <w:rPr>
          <w:rFonts w:ascii="Arial" w:cs="Arial" w:eastAsia="Arial" w:hAnsi="Arial"/>
          <w:sz w:val="17"/>
          <w:szCs w:val="17"/>
          <w:color w:val="auto"/>
        </w:rPr>
      </w:pPr>
    </w:p>
    <w:p>
      <w:pPr>
        <w:ind w:left="4" w:right="120" w:hanging="4"/>
        <w:spacing w:after="0" w:line="277"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the transfer of Common Stock during the Restricted Period;</w:t>
      </w:r>
    </w:p>
    <w:p>
      <w:pPr>
        <w:spacing w:after="0" w:line="170" w:lineRule="exact"/>
        <w:rPr>
          <w:rFonts w:ascii="Arial" w:cs="Arial" w:eastAsia="Arial" w:hAnsi="Arial"/>
          <w:sz w:val="18"/>
          <w:szCs w:val="18"/>
          <w:color w:val="auto"/>
        </w:rPr>
      </w:pPr>
    </w:p>
    <w:p>
      <w:pPr>
        <w:ind w:left="4" w:right="160" w:hanging="4"/>
        <w:spacing w:after="0" w:line="259"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sales of shares of Common Stock pursuant to the terms a trading plan pursuant to Rule 10b5-1 under the Exchange Act in existence on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 public announcement or filing under the Exchange Act is required or voluntarily made by or on behalf of the undersigned regarding such sale, such announcement or filing shall include a statement to the effect that such sale was made pursuant to a trading plan pursuant to Rule 10b5-1 under the Exchange Act; or</w:t>
      </w:r>
    </w:p>
    <w:p>
      <w:pPr>
        <w:spacing w:after="0" w:line="186" w:lineRule="exact"/>
        <w:rPr>
          <w:rFonts w:ascii="Arial" w:cs="Arial" w:eastAsia="Arial" w:hAnsi="Arial"/>
          <w:sz w:val="18"/>
          <w:szCs w:val="18"/>
          <w:color w:val="auto"/>
        </w:rPr>
      </w:pPr>
    </w:p>
    <w:p>
      <w:pPr>
        <w:ind w:left="4" w:hanging="4"/>
        <w:spacing w:after="0" w:line="253" w:lineRule="auto"/>
        <w:tabs>
          <w:tab w:leader="none" w:pos="2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 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and (B) entry into any lock-up, voting or similar agreement pursuant to which the undersigned may agree to transfer, sell, tender or otherwise dispose of shares of Common Stock or such other securities in connection with a transaction described in (A)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change of control transaction is not completed, the Common Stock (or any security convertible into or exercisable or exchangeable for Common Stock) owned by the undersigned shall remain subject to the restrictions contained in this agreement.</w:t>
      </w:r>
    </w:p>
    <w:p>
      <w:pPr>
        <w:spacing w:after="0" w:line="196"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For purposes of this agreement, “immediate family” shall mean any relationship by blood, marriage, domestic partnership or adoption, not more remote than first cousin.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letter shall automatically terminate and the undersigned shall be released from all obligations under this letter upon the earliest to occur, if any, of</w:t>
      </w:r>
    </w:p>
    <w:p>
      <w:pPr>
        <w:spacing w:after="0" w:line="46" w:lineRule="exact"/>
        <w:rPr>
          <w:sz w:val="20"/>
          <w:szCs w:val="20"/>
          <w:color w:val="auto"/>
        </w:rPr>
      </w:pPr>
    </w:p>
    <w:p>
      <w:pPr>
        <w:ind w:left="5424" w:right="1800" w:hanging="5424"/>
        <w:spacing w:after="0" w:line="433" w:lineRule="auto"/>
        <w:tabs>
          <w:tab w:leader="none" w:pos="2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either the Company, on the one hand, or the Placement Agent, on the other hand, advising the other in writing, that they have 47</w:t>
      </w:r>
    </w:p>
    <w:p>
      <w:pPr>
        <w:sectPr>
          <w:pgSz w:w="11900" w:h="16838" w:orient="portrait"/>
          <w:cols w:equalWidth="0" w:num="1">
            <w:col w:w="11004"/>
          </w:cols>
          <w:pgMar w:left="436" w:top="274" w:right="459" w:bottom="1440" w:gutter="0" w:footer="0" w:header="0"/>
        </w:sectPr>
      </w:pPr>
    </w:p>
    <w:bookmarkStart w:id="52" w:name="page53"/>
    <w:bookmarkEnd w:id="52"/>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determined not to proceed with the Private Placement, (ii) the purchase agreement related to the Private Placement being terminated prior to the payment for and delivery of the shares to be sold thereunder and (iii) June 30, 2020, in the event that the purchase agreement related to the Private Placement has not been executed by such date.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332105</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332105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60"/>
          </w:cols>
          <w:pgMar w:left="440" w:top="274" w:right="5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9"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June 9, 2020 by and among Fulcrum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“Investors” named in that certain Securities Purchase Agreement by and among the Company and the Investors, dated as of June 9, 2020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Capitalized terms used herein have the respective meanings ascribed thereto in the Purchase Agreement unless otherwise defined 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hereby agree as follows:</w:t>
      </w:r>
    </w:p>
    <w:p>
      <w:pPr>
        <w:spacing w:after="0" w:line="117" w:lineRule="exact"/>
        <w:rPr>
          <w:sz w:val="20"/>
          <w:szCs w:val="20"/>
          <w:color w:val="auto"/>
        </w:rPr>
      </w:pPr>
    </w:p>
    <w:p>
      <w:pPr>
        <w:ind w:left="620" w:hanging="184"/>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Allowed Delay</w:t>
      </w:r>
      <w:r>
        <w:rPr>
          <w:rFonts w:ascii="Arial" w:cs="Arial" w:eastAsia="Arial" w:hAnsi="Arial"/>
          <w:sz w:val="18"/>
          <w:szCs w:val="18"/>
          <w:color w:val="auto"/>
        </w:rPr>
        <w:t>” has the meaning set forth in Section 2(c)(ii).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Date</w:t>
      </w:r>
      <w:r>
        <w:rPr>
          <w:rFonts w:ascii="Arial" w:cs="Arial" w:eastAsia="Arial" w:hAnsi="Arial"/>
          <w:sz w:val="18"/>
          <w:szCs w:val="18"/>
          <w:color w:val="auto"/>
        </w:rPr>
        <w:t>” has the meaning set forth in Section 3(i).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Blackout Period</w:t>
      </w:r>
      <w:r>
        <w:rPr>
          <w:rFonts w:ascii="Arial" w:cs="Arial" w:eastAsia="Arial" w:hAnsi="Arial"/>
          <w:sz w:val="18"/>
          <w:szCs w:val="18"/>
          <w:color w:val="auto"/>
        </w:rPr>
        <w:t>” has the meaning set forth in Section 2(d)(ii).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 Back Shares</w:t>
      </w:r>
      <w:r>
        <w:rPr>
          <w:rFonts w:ascii="Arial" w:cs="Arial" w:eastAsia="Arial" w:hAnsi="Arial"/>
          <w:sz w:val="18"/>
          <w:szCs w:val="18"/>
          <w:color w:val="auto"/>
        </w:rPr>
        <w:t>” has the meaning set forth in Section 2(e).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Liquidated Damages</w:t>
      </w:r>
      <w:r>
        <w:rPr>
          <w:rFonts w:ascii="Arial" w:cs="Arial" w:eastAsia="Arial" w:hAnsi="Arial"/>
          <w:sz w:val="18"/>
          <w:szCs w:val="18"/>
          <w:color w:val="auto"/>
        </w:rPr>
        <w:t>” has the meaning set forth in Section 2(d)(ii).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has the meaning set forth in Section 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Deadline</w:t>
      </w:r>
      <w:r>
        <w:rPr>
          <w:rFonts w:ascii="Arial" w:cs="Arial" w:eastAsia="Arial" w:hAnsi="Arial"/>
          <w:sz w:val="18"/>
          <w:szCs w:val="18"/>
          <w:color w:val="auto"/>
        </w:rPr>
        <w:t>” has the meaning set forth in Section 2(a)(i).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Inspectors</w:t>
      </w:r>
      <w:r>
        <w:rPr>
          <w:rFonts w:ascii="Arial" w:cs="Arial" w:eastAsia="Arial" w:hAnsi="Arial"/>
          <w:sz w:val="18"/>
          <w:szCs w:val="18"/>
          <w:color w:val="auto"/>
        </w:rPr>
        <w:t>” has the meaning set forth in Section 4.</w:t>
      </w:r>
    </w:p>
    <w:p>
      <w:pPr>
        <w:spacing w:after="0" w:line="225"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the Investors identified in the Purchase Agreement and any Affiliate or permitted transferee of any Investor who is a subsequent holder of Registrable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Liquidated Damages</w:t>
      </w:r>
      <w:r>
        <w:rPr>
          <w:rFonts w:ascii="Arial" w:cs="Arial" w:eastAsia="Arial" w:hAnsi="Arial"/>
          <w:sz w:val="18"/>
          <w:szCs w:val="18"/>
          <w:color w:val="auto"/>
        </w:rPr>
        <w:t>” has the meaning set forth in Section 2(d)(ii).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Failure</w:t>
      </w:r>
      <w:r>
        <w:rPr>
          <w:rFonts w:ascii="Arial" w:cs="Arial" w:eastAsia="Arial" w:hAnsi="Arial"/>
          <w:sz w:val="18"/>
          <w:szCs w:val="18"/>
          <w:color w:val="auto"/>
        </w:rPr>
        <w:t>” has the meaning set forth in Section 2(d)(ii).</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ectPr>
          <w:pgSz w:w="11900" w:h="16838" w:orient="portrait"/>
          <w:cols w:equalWidth="0" w:num="1">
            <w:col w:w="11020"/>
          </w:cols>
          <w:pgMar w:left="440" w:top="121" w:right="43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Qualification Date</w:t>
      </w:r>
      <w:r>
        <w:rPr>
          <w:rFonts w:ascii="Arial" w:cs="Arial" w:eastAsia="Arial" w:hAnsi="Arial"/>
          <w:sz w:val="18"/>
          <w:szCs w:val="18"/>
          <w:color w:val="auto"/>
        </w:rPr>
        <w:t>” has the meaning set forth in Section 2(a)(ii).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Qualification Deadline</w:t>
      </w:r>
      <w:r>
        <w:rPr>
          <w:rFonts w:ascii="Arial" w:cs="Arial" w:eastAsia="Arial" w:hAnsi="Arial"/>
          <w:sz w:val="18"/>
          <w:szCs w:val="18"/>
          <w:color w:val="auto"/>
        </w:rPr>
        <w:t>” has the meaning set forth in Section 2(a)(ii).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has the meaning set forth in Section 4.</w:t>
      </w:r>
    </w:p>
    <w:p>
      <w:pPr>
        <w:spacing w:after="0" w:line="225"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w:t>
      </w:r>
      <w:r>
        <w:rPr>
          <w:rFonts w:ascii="Arial" w:cs="Arial" w:eastAsia="Arial" w:hAnsi="Arial"/>
          <w:sz w:val="17"/>
          <w:szCs w:val="17"/>
          <w:u w:val="single" w:color="auto"/>
          <w:color w:val="auto"/>
        </w:rPr>
        <w:t>registered</w:t>
      </w:r>
      <w:r>
        <w:rPr>
          <w:rFonts w:ascii="Arial" w:cs="Arial" w:eastAsia="Arial" w:hAnsi="Arial"/>
          <w:sz w:val="17"/>
          <w:szCs w:val="17"/>
          <w:color w:val="auto"/>
        </w:rPr>
        <w:t>” and “</w:t>
      </w:r>
      <w:r>
        <w:rPr>
          <w:rFonts w:ascii="Arial" w:cs="Arial" w:eastAsia="Arial" w:hAnsi="Arial"/>
          <w:sz w:val="17"/>
          <w:szCs w:val="17"/>
          <w:u w:val="single" w:color="auto"/>
          <w:color w:val="auto"/>
        </w:rPr>
        <w:t>registration</w:t>
      </w:r>
      <w:r>
        <w:rPr>
          <w:rFonts w:ascii="Arial" w:cs="Arial" w:eastAsia="Arial" w:hAnsi="Arial"/>
          <w:sz w:val="17"/>
          <w:szCs w:val="17"/>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4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Shares and (ii) any other securities issued or issuable with respect to or in exchange for Shares, whether by merger, charter amendment or otherwise; provided, that a security shall cease to be a Registrable Security upon (A) sale pursuant to a Registration Statement or Rule 144 under the 1933 Act, or (B) such security becoming eligible for sale without restriction by the Investor holding such security pursuant to Rule 144, including without any manner of sale or volume limitations, and without the requirement to be in compliance with Rule 144(c)(1) (or any successor thereto) promulgated under the 1933 Act.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Liquidated Damages</w:t>
      </w:r>
      <w:r>
        <w:rPr>
          <w:rFonts w:ascii="Arial" w:cs="Arial" w:eastAsia="Arial" w:hAnsi="Arial"/>
          <w:sz w:val="18"/>
          <w:szCs w:val="18"/>
          <w:color w:val="auto"/>
        </w:rPr>
        <w:t>” has the meaning set forth in Section 2(d)(i).</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Termination Date</w:t>
      </w:r>
      <w:r>
        <w:rPr>
          <w:rFonts w:ascii="Arial" w:cs="Arial" w:eastAsia="Arial" w:hAnsi="Arial"/>
          <w:sz w:val="18"/>
          <w:szCs w:val="18"/>
          <w:color w:val="auto"/>
        </w:rPr>
        <w:t>” has the meaning set forth in Section 2(e).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Restrictions</w:t>
      </w:r>
      <w:r>
        <w:rPr>
          <w:rFonts w:ascii="Arial" w:cs="Arial" w:eastAsia="Arial" w:hAnsi="Arial"/>
          <w:sz w:val="18"/>
          <w:szCs w:val="18"/>
          <w:color w:val="auto"/>
        </w:rPr>
        <w:t>” has the meaning set forth in Section 2(e).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set forth in Section 2(a)(ii).</w:t>
      </w:r>
    </w:p>
    <w:p>
      <w:pPr>
        <w:spacing w:after="0" w:line="225" w:lineRule="exact"/>
        <w:rPr>
          <w:sz w:val="20"/>
          <w:szCs w:val="20"/>
          <w:color w:val="auto"/>
        </w:rPr>
      </w:pPr>
    </w:p>
    <w:p>
      <w:pPr>
        <w:ind w:left="620" w:hanging="18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1428"/>
        <w:spacing w:after="0" w:line="277" w:lineRule="auto"/>
        <w:tabs>
          <w:tab w:leader="none" w:pos="1647" w:val="left"/>
        </w:tabs>
        <w:numPr>
          <w:ilvl w:val="2"/>
          <w:numId w:val="31"/>
        </w:numPr>
        <w:rPr>
          <w:rFonts w:ascii="Arial" w:cs="Arial" w:eastAsia="Arial" w:hAnsi="Arial"/>
          <w:sz w:val="18"/>
          <w:szCs w:val="18"/>
          <w:color w:val="auto"/>
        </w:rPr>
      </w:pPr>
      <w:r>
        <w:rPr>
          <w:rFonts w:ascii="Arial" w:cs="Arial" w:eastAsia="Arial" w:hAnsi="Arial"/>
          <w:sz w:val="18"/>
          <w:szCs w:val="18"/>
          <w:color w:val="auto"/>
        </w:rPr>
        <w:t>Promptly following the Closing Date but no later than fifteen (15) days after the date of this Agreement (the “</w:t>
      </w:r>
      <w:r>
        <w:rPr>
          <w:rFonts w:ascii="Arial" w:cs="Arial" w:eastAsia="Arial" w:hAnsi="Arial"/>
          <w:sz w:val="18"/>
          <w:szCs w:val="18"/>
          <w:u w:val="single" w:color="auto"/>
          <w:color w:val="auto"/>
        </w:rPr>
        <w:t>Filing Deadline</w:t>
      </w:r>
      <w:r>
        <w:rPr>
          <w:rFonts w:ascii="Arial" w:cs="Arial" w:eastAsia="Arial" w:hAnsi="Arial"/>
          <w:sz w:val="18"/>
          <w:szCs w:val="18"/>
          <w:color w:val="auto"/>
        </w:rPr>
        <w:t>”), the Company shall prepare and file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55" w:name="page56"/>
    <w:bookmarkEnd w:id="55"/>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the SEC one Registration Statement covering the resale of all of the Registrable Securities. Subject to any SEC comments, such Registration Statement shall include the plan of distribution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provided, however, that no Investor shall be named as an “underwriter” in such Registration Statement without the Investor’s prior written consent.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prior written consent of the Required Investors. Such Registration Statement (and each amendment or supplement thereto, and each request for acceleration of effectiveness thereof) shall be provided in accordance with Section 3(c) to the Investors prior to its filing or other submission.</w:t>
      </w:r>
    </w:p>
    <w:p>
      <w:pPr>
        <w:spacing w:after="0" w:line="178" w:lineRule="exact"/>
        <w:rPr>
          <w:sz w:val="20"/>
          <w:szCs w:val="20"/>
          <w:color w:val="auto"/>
        </w:rPr>
      </w:pPr>
    </w:p>
    <w:p>
      <w:pPr>
        <w:ind w:left="4" w:right="160" w:firstLine="1428"/>
        <w:spacing w:after="0" w:line="291" w:lineRule="auto"/>
        <w:tabs>
          <w:tab w:leader="none" w:pos="1701" w:val="left"/>
        </w:tabs>
        <w:numPr>
          <w:ilvl w:val="2"/>
          <w:numId w:val="32"/>
        </w:numPr>
        <w:rPr>
          <w:rFonts w:ascii="Arial" w:cs="Arial" w:eastAsia="Arial" w:hAnsi="Arial"/>
          <w:sz w:val="16"/>
          <w:szCs w:val="16"/>
          <w:color w:val="auto"/>
        </w:rPr>
      </w:pPr>
      <w:r>
        <w:rPr>
          <w:rFonts w:ascii="Arial" w:cs="Arial" w:eastAsia="Arial" w:hAnsi="Arial"/>
          <w:sz w:val="16"/>
          <w:szCs w:val="16"/>
          <w:color w:val="auto"/>
        </w:rPr>
        <w:t>So long as Registrable Securities remain outstanding, promptly following the date (the “</w:t>
      </w:r>
      <w:r>
        <w:rPr>
          <w:rFonts w:ascii="Arial" w:cs="Arial" w:eastAsia="Arial" w:hAnsi="Arial"/>
          <w:sz w:val="16"/>
          <w:szCs w:val="16"/>
          <w:u w:val="single" w:color="auto"/>
          <w:color w:val="auto"/>
        </w:rPr>
        <w:t>Qualification Date</w:t>
      </w:r>
      <w:r>
        <w:rPr>
          <w:rFonts w:ascii="Arial" w:cs="Arial" w:eastAsia="Arial" w:hAnsi="Arial"/>
          <w:sz w:val="16"/>
          <w:szCs w:val="16"/>
          <w:color w:val="auto"/>
        </w:rPr>
        <w:t>”) upon which the Company becomes eligible to use a registration statement on Form S-3 to register the Registrable Securities for resale, but in no event more than thirty</w:t>
      </w:r>
    </w:p>
    <w:p>
      <w:pPr>
        <w:ind w:left="4" w:right="60" w:hanging="4"/>
        <w:spacing w:after="0" w:line="253" w:lineRule="auto"/>
        <w:tabs>
          <w:tab w:leader="none" w:pos="3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days after the Qualification Date (the “</w:t>
      </w:r>
      <w:r>
        <w:rPr>
          <w:rFonts w:ascii="Arial" w:cs="Arial" w:eastAsia="Arial" w:hAnsi="Arial"/>
          <w:sz w:val="18"/>
          <w:szCs w:val="18"/>
          <w:u w:val="single" w:color="auto"/>
          <w:color w:val="auto"/>
        </w:rPr>
        <w:t>Qualification Deadline</w:t>
      </w:r>
      <w:r>
        <w:rPr>
          <w:rFonts w:ascii="Arial" w:cs="Arial" w:eastAsia="Arial" w:hAnsi="Arial"/>
          <w:sz w:val="18"/>
          <w:szCs w:val="18"/>
          <w:color w:val="auto"/>
        </w:rPr>
        <w:t>”), the Company shall file a registration statement on Form S-3 covering the Registrable Securities (or a post-effective amendment on Form S-3 to a registration statement on Form S-1) (a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and shall use commercially reasonable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w:t>
      </w:r>
    </w:p>
    <w:p>
      <w:pPr>
        <w:spacing w:after="0" w:line="190" w:lineRule="exact"/>
        <w:rPr>
          <w:rFonts w:ascii="Arial" w:cs="Arial" w:eastAsia="Arial" w:hAnsi="Arial"/>
          <w:sz w:val="18"/>
          <w:szCs w:val="18"/>
          <w:color w:val="auto"/>
        </w:rPr>
      </w:pPr>
    </w:p>
    <w:p>
      <w:pPr>
        <w:ind w:left="4" w:right="100" w:firstLine="987"/>
        <w:spacing w:after="0" w:line="259" w:lineRule="auto"/>
        <w:tabs>
          <w:tab w:leader="none" w:pos="125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294" w:lineRule="exact"/>
        <w:rPr>
          <w:rFonts w:ascii="Arial" w:cs="Arial" w:eastAsia="Arial" w:hAnsi="Arial"/>
          <w:sz w:val="18"/>
          <w:szCs w:val="18"/>
          <w:color w:val="auto"/>
        </w:rPr>
      </w:pPr>
    </w:p>
    <w:p>
      <w:pPr>
        <w:ind w:left="1244" w:hanging="253"/>
        <w:spacing w:after="0"/>
        <w:tabs>
          <w:tab w:leader="none" w:pos="124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54" w:lineRule="auto"/>
        <w:tabs>
          <w:tab w:leader="none" w:pos="1648"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have each Registration Statement declared effective as soon as practicable after such Registration Statement has been filed with the SEC. By 5:30 p.m. (Eastern time) on the second Business Day following the date on which the Registration Statement is declared effective by the SEC, the Company shall file with the SEC, in accordance with Rule 424 under the 1933 Act, the final prospectus to be used in connection with sales pursuant to such Registration Statement. The Company shall notify the Investors by facsimile or e-mail as promptly as practicable, and in any event, within twenty-four (24) hours, after any Registration Statement is declared effective and shall simultaneously provide the Investors with copies of any related Prospectus to be used in connection with the sale or other disposition of the securities covered thereby.</w:t>
      </w:r>
    </w:p>
    <w:p>
      <w:pPr>
        <w:spacing w:after="0" w:line="195" w:lineRule="exact"/>
        <w:rPr>
          <w:sz w:val="20"/>
          <w:szCs w:val="20"/>
          <w:color w:val="auto"/>
        </w:rPr>
      </w:pPr>
    </w:p>
    <w:p>
      <w:pPr>
        <w:ind w:left="4" w:firstLine="1428"/>
        <w:spacing w:after="0" w:line="277" w:lineRule="auto"/>
        <w:tabs>
          <w:tab w:leader="none" w:pos="17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not more than thirty (30) consecutive days or for a total of not more than sixty (60) days in any twelve (12) month period, the Company may suspend the use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56" w:name="page57"/>
    <w:bookmarkEnd w:id="56"/>
    <w:p>
      <w:pPr>
        <w:ind w:left="4"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Arial" w:cs="Arial" w:eastAsia="Arial" w:hAnsi="Arial"/>
          <w:sz w:val="16"/>
          <w:szCs w:val="16"/>
          <w:u w:val="single" w:color="auto"/>
          <w:color w:val="auto"/>
        </w:rPr>
        <w:t>Allowed Delay</w:t>
      </w:r>
      <w:r>
        <w:rPr>
          <w:rFonts w:ascii="Arial" w:cs="Arial" w:eastAsia="Arial" w:hAnsi="Arial"/>
          <w:sz w:val="16"/>
          <w:szCs w:val="16"/>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such Registration Statement until the end of the Allowed Delay and (c) use commercially reasonable efforts to terminate an Allowed Delay as promptly as practicable.</w:t>
      </w:r>
    </w:p>
    <w:p>
      <w:pPr>
        <w:spacing w:after="0" w:line="274" w:lineRule="exact"/>
        <w:rPr>
          <w:sz w:val="20"/>
          <w:szCs w:val="20"/>
          <w:color w:val="auto"/>
        </w:rPr>
      </w:pPr>
    </w:p>
    <w:p>
      <w:pPr>
        <w:ind w:left="1244" w:hanging="253"/>
        <w:spacing w:after="0"/>
        <w:tabs>
          <w:tab w:leader="none" w:pos="1244"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Effect of Failure to File and Obtain and Maintain Effectiveness of Registration Statement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90" w:lineRule="auto"/>
        <w:tabs>
          <w:tab w:leader="none" w:pos="1651" w:val="left"/>
        </w:tabs>
        <w:numPr>
          <w:ilvl w:val="2"/>
          <w:numId w:val="35"/>
        </w:numPr>
        <w:rPr>
          <w:rFonts w:ascii="Arial" w:cs="Arial" w:eastAsia="Arial" w:hAnsi="Arial"/>
          <w:sz w:val="16"/>
          <w:szCs w:val="16"/>
          <w:color w:val="auto"/>
        </w:rPr>
      </w:pPr>
      <w:r>
        <w:rPr>
          <w:rFonts w:ascii="Arial" w:cs="Arial" w:eastAsia="Arial" w:hAnsi="Arial"/>
          <w:sz w:val="16"/>
          <w:szCs w:val="16"/>
          <w:color w:val="auto"/>
        </w:rPr>
        <w:t>If a Registration Statement covering the Registrable Securities is not filed with the SEC on or prior to the Filing Deadline, the Company will make pro rata payments to each Investor then holding Registrable Securities, as liquidated damages and not as a penalty (the “</w:t>
      </w:r>
      <w:r>
        <w:rPr>
          <w:rFonts w:ascii="Arial" w:cs="Arial" w:eastAsia="Arial" w:hAnsi="Arial"/>
          <w:sz w:val="16"/>
          <w:szCs w:val="16"/>
          <w:u w:val="single" w:color="auto"/>
          <w:color w:val="auto"/>
        </w:rPr>
        <w:t>Registration Liquidated Damages</w:t>
      </w:r>
      <w:r>
        <w:rPr>
          <w:rFonts w:ascii="Arial" w:cs="Arial" w:eastAsia="Arial" w:hAnsi="Arial"/>
          <w:sz w:val="16"/>
          <w:szCs w:val="16"/>
          <w:color w:val="auto"/>
        </w:rPr>
        <w:t>”), in an amount equal to one percent (1.0%) of the aggregate amount invested by such Investor for the initial day of failure to file such Registration Statement by the Filing Deadline and for each subsequent 30-day period (pro rata for any portion thereof) thereafter for which no such Registration Statement is filed with respect to the Registrable Securities. Such payments shall be made to each Investor then holding Registrable Securities in cash no later than ten (10) Business Days after the end of the date of the initial failure to file such Registration Statement by the Filing Deadline and each subsequent 30-day period, as applicable. Interest shall accrue at the rate of one percent (1.0%) per month on any such liquidated damages payments that shall not be paid by the applicable payment date until such amount is paid in full.</w:t>
      </w:r>
    </w:p>
    <w:p>
      <w:pPr>
        <w:spacing w:after="0" w:line="57" w:lineRule="exact"/>
        <w:rPr>
          <w:rFonts w:ascii="Arial" w:cs="Arial" w:eastAsia="Arial" w:hAnsi="Arial"/>
          <w:sz w:val="16"/>
          <w:szCs w:val="16"/>
          <w:color w:val="auto"/>
        </w:rPr>
      </w:pPr>
    </w:p>
    <w:p>
      <w:pPr>
        <w:ind w:left="1704" w:hanging="272"/>
        <w:spacing w:after="0"/>
        <w:tabs>
          <w:tab w:leader="none" w:pos="1704" w:val="left"/>
        </w:tabs>
        <w:numPr>
          <w:ilvl w:val="2"/>
          <w:numId w:val="35"/>
        </w:numPr>
        <w:rPr>
          <w:rFonts w:ascii="Arial" w:cs="Arial" w:eastAsia="Arial" w:hAnsi="Arial"/>
          <w:sz w:val="17"/>
          <w:szCs w:val="17"/>
          <w:color w:val="auto"/>
        </w:rPr>
      </w:pPr>
      <w:r>
        <w:rPr>
          <w:rFonts w:ascii="Arial" w:cs="Arial" w:eastAsia="Arial" w:hAnsi="Arial"/>
          <w:sz w:val="17"/>
          <w:szCs w:val="17"/>
          <w:color w:val="auto"/>
        </w:rPr>
        <w:t>If (A) a Registration Statement covering the Registrable Securities is not declared effective by the SEC prior to the earlier of</w:t>
      </w:r>
    </w:p>
    <w:p>
      <w:pPr>
        <w:spacing w:after="0" w:line="34" w:lineRule="exact"/>
        <w:rPr>
          <w:rFonts w:ascii="Arial" w:cs="Arial" w:eastAsia="Arial" w:hAnsi="Arial"/>
          <w:sz w:val="17"/>
          <w:szCs w:val="17"/>
          <w:color w:val="auto"/>
        </w:rPr>
      </w:pPr>
    </w:p>
    <w:p>
      <w:pPr>
        <w:ind w:left="4" w:hanging="4"/>
        <w:spacing w:after="0" w:line="268" w:lineRule="auto"/>
        <w:tabs>
          <w:tab w:leader="none" w:pos="219"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five (5) Business Days after the SEC informs the Company that no review of such Registration Statement will be made or that the SEC has no further comments on such Registration Statement or (ii) the 45</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Agreement (or the 54</w:t>
      </w:r>
      <w:r>
        <w:rPr>
          <w:rFonts w:ascii="Arial" w:cs="Arial" w:eastAsia="Arial" w:hAnsi="Arial"/>
          <w:sz w:val="14"/>
          <w:szCs w:val="14"/>
          <w:color w:val="auto"/>
        </w:rPr>
        <w:t>th</w:t>
      </w:r>
      <w:r>
        <w:rPr>
          <w:rFonts w:ascii="Arial" w:cs="Arial" w:eastAsia="Arial" w:hAnsi="Arial"/>
          <w:sz w:val="17"/>
          <w:szCs w:val="17"/>
          <w:color w:val="auto"/>
        </w:rPr>
        <w:t xml:space="preserve"> day if the SEC reviews such Registration Statement),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or the inability of any Investor to sell the Registrable Securities covered thereby due to market conditions (each of (A) and (B), a “</w:t>
      </w:r>
      <w:r>
        <w:rPr>
          <w:rFonts w:ascii="Arial" w:cs="Arial" w:eastAsia="Arial" w:hAnsi="Arial"/>
          <w:sz w:val="17"/>
          <w:szCs w:val="17"/>
          <w:u w:val="single" w:color="auto"/>
          <w:color w:val="auto"/>
        </w:rPr>
        <w:t>Maintenance Failure</w:t>
      </w:r>
      <w:r>
        <w:rPr>
          <w:rFonts w:ascii="Arial" w:cs="Arial" w:eastAsia="Arial" w:hAnsi="Arial"/>
          <w:sz w:val="17"/>
          <w:szCs w:val="17"/>
          <w:color w:val="auto"/>
        </w:rPr>
        <w:t>”), then the Company will make pro rata payments to each Investor then holding Registrable Securities, as liquidated damages and not as a penalty (the “</w:t>
      </w:r>
      <w:r>
        <w:rPr>
          <w:rFonts w:ascii="Arial" w:cs="Arial" w:eastAsia="Arial" w:hAnsi="Arial"/>
          <w:sz w:val="17"/>
          <w:szCs w:val="17"/>
          <w:u w:val="single" w:color="auto"/>
          <w:color w:val="auto"/>
        </w:rPr>
        <w:t>Effectiveness Liquidated Damages</w:t>
      </w:r>
      <w:r>
        <w:rPr>
          <w:rFonts w:ascii="Arial" w:cs="Arial" w:eastAsia="Arial" w:hAnsi="Arial"/>
          <w:sz w:val="17"/>
          <w:szCs w:val="17"/>
          <w:color w:val="auto"/>
        </w:rPr>
        <w:t>” and together with the Registration Liquidated Damages, the “</w:t>
      </w:r>
      <w:r>
        <w:rPr>
          <w:rFonts w:ascii="Arial" w:cs="Arial" w:eastAsia="Arial" w:hAnsi="Arial"/>
          <w:sz w:val="17"/>
          <w:szCs w:val="17"/>
          <w:u w:val="single" w:color="auto"/>
          <w:color w:val="auto"/>
        </w:rPr>
        <w:t>Liquidated Damages”</w:t>
      </w:r>
      <w:r>
        <w:rPr>
          <w:rFonts w:ascii="Arial" w:cs="Arial" w:eastAsia="Arial" w:hAnsi="Arial"/>
          <w:sz w:val="17"/>
          <w:szCs w:val="17"/>
          <w:color w:val="auto"/>
        </w:rPr>
        <w:t>), in an amount equal to one percent (1.0%) of the aggregate amount invested by such Investor for the Registrable Securities then held by such Investor for the initial day of a Maintenance Failure and for each 30-</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57" w:name="page58"/>
    <w:bookmarkEnd w:id="57"/>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day period (pro rata for any portion thereof) thereafter until the Maintenance Failure is cured (each, a “</w:t>
      </w:r>
      <w:r>
        <w:rPr>
          <w:rFonts w:ascii="Arial" w:cs="Arial" w:eastAsia="Arial" w:hAnsi="Arial"/>
          <w:sz w:val="16"/>
          <w:szCs w:val="16"/>
          <w:u w:val="single" w:color="auto"/>
          <w:color w:val="auto"/>
        </w:rPr>
        <w:t>Blackout Period</w:t>
      </w:r>
      <w:r>
        <w:rPr>
          <w:rFonts w:ascii="Arial" w:cs="Arial" w:eastAsia="Arial" w:hAnsi="Arial"/>
          <w:sz w:val="16"/>
          <w:szCs w:val="16"/>
          <w:color w:val="auto"/>
        </w:rPr>
        <w:t>”). The Effectiveness Liquidated Damages shall be paid monthly within ten (10) Business Days of the end of the date of such Maintenance Failure and each subsequent 30-day period, as applicable. Such payments shall be made to each Investor then holding Registrable Securities in cash. Interest shall accrue at the rate of one percent (1.0%) per month on any such liquidated damages payments that shall not be paid by the applicable payment date until such amount is paid in full.</w:t>
      </w:r>
    </w:p>
    <w:p>
      <w:pPr>
        <w:spacing w:after="0" w:line="157" w:lineRule="exact"/>
        <w:rPr>
          <w:sz w:val="20"/>
          <w:szCs w:val="20"/>
          <w:color w:val="auto"/>
        </w:rPr>
      </w:pPr>
    </w:p>
    <w:p>
      <w:pPr>
        <w:ind w:firstLine="1428"/>
        <w:spacing w:after="0" w:line="254" w:lineRule="auto"/>
        <w:tabs>
          <w:tab w:leader="none" w:pos="174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parties agree that (1) notwithstanding anything to the contrary herein or in the Purchase Agreement, no Liquidated Damages shall be payable with respect to any period after the expiration of the Effectiveness Period (as defined below) (it being understood that this sentence shall not relieve the Company of any Liquidated Damages accruing prior to the expiration of the Effectiveness Period), and in no event shall the aggregate amount of Liquidated Damages payable to an Investor exceed, in the aggregate, six percent (6.0%) of the aggregate purchase price paid by such Investor pursuant to the Purchase Agreement and (2) except with respect to (A) the initial day of failure to file a Registration Statement by the Filing Deadline and (B) the initial day of any Maintenance Failure, in no event shall the Company be liable in any thirty (30) day period for Liquidated Damages under this Agreement in excess of one percent (1.0%) of the aggregate purchase price paid by the Investors pursuant to the Purchase Agreement.</w:t>
      </w:r>
    </w:p>
    <w:p>
      <w:pPr>
        <w:spacing w:after="0" w:line="191" w:lineRule="exact"/>
        <w:rPr>
          <w:rFonts w:ascii="Arial" w:cs="Arial" w:eastAsia="Arial" w:hAnsi="Arial"/>
          <w:sz w:val="18"/>
          <w:szCs w:val="18"/>
          <w:color w:val="auto"/>
        </w:rPr>
      </w:pPr>
    </w:p>
    <w:p>
      <w:pPr>
        <w:ind w:right="40" w:firstLine="1428"/>
        <w:spacing w:after="0" w:line="308" w:lineRule="auto"/>
        <w:tabs>
          <w:tab w:leader="none" w:pos="1737"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Liquidated Damages described in this Section 2(d) shall constitute the Investors’ exclusive monetary remedy for any failure to meet the Filing Deadline and for any Maintenance Failure, but shall not affect the right of the Investors to seek injunctive relief.</w:t>
      </w:r>
    </w:p>
    <w:p>
      <w:pPr>
        <w:spacing w:after="0" w:line="146" w:lineRule="exact"/>
        <w:rPr>
          <w:rFonts w:ascii="Arial" w:cs="Arial" w:eastAsia="Arial" w:hAnsi="Arial"/>
          <w:sz w:val="17"/>
          <w:szCs w:val="17"/>
          <w:color w:val="auto"/>
        </w:rPr>
      </w:pPr>
    </w:p>
    <w:p>
      <w:pPr>
        <w:ind w:right="60" w:firstLine="987"/>
        <w:spacing w:after="0" w:line="268"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Rule 415; Cutback</w:t>
      </w:r>
      <w:r>
        <w:rPr>
          <w:rFonts w:ascii="Arial" w:cs="Arial" w:eastAsia="Arial" w:hAnsi="Arial"/>
          <w:sz w:val="17"/>
          <w:szCs w:val="17"/>
          <w:color w:val="auto"/>
        </w:rPr>
        <w:t>.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advocate before the SEC its reasonable position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Section 2(e), including participation in any meetings or discussions with the SEC regarding the SEC’s position and to comment on any written submission made to the SEC with respect thereto, which counsel shall be designated by the holders of a majority of the Registrable Securities. In the event that, despite the Company’s commercially reasonable efforts and compliance with the terms of this Section 2(e), the SEC does not alter its position, the Company shall (i) remove from such Registration Statement such portion of the Registrable Securities (the “</w:t>
      </w:r>
      <w:r>
        <w:rPr>
          <w:rFonts w:ascii="Arial" w:cs="Arial" w:eastAsia="Arial" w:hAnsi="Arial"/>
          <w:sz w:val="17"/>
          <w:szCs w:val="17"/>
          <w:u w:val="single" w:color="auto"/>
          <w:color w:val="auto"/>
        </w:rPr>
        <w:t>Cut</w:t>
      </w:r>
      <w:r>
        <w:rPr>
          <w:rFonts w:ascii="Arial" w:cs="Arial" w:eastAsia="Arial" w:hAnsi="Arial"/>
          <w:sz w:val="17"/>
          <w:szCs w:val="17"/>
          <w:color w:val="auto"/>
        </w:rPr>
        <w:t xml:space="preserve"> </w:t>
      </w:r>
      <w:r>
        <w:rPr>
          <w:rFonts w:ascii="Arial" w:cs="Arial" w:eastAsia="Arial" w:hAnsi="Arial"/>
          <w:sz w:val="17"/>
          <w:szCs w:val="17"/>
          <w:u w:val="single" w:color="auto"/>
          <w:color w:val="auto"/>
        </w:rPr>
        <w:t>Back Shares</w:t>
      </w:r>
      <w:r>
        <w:rPr>
          <w:rFonts w:ascii="Arial" w:cs="Arial" w:eastAsia="Arial" w:hAnsi="Arial"/>
          <w:sz w:val="17"/>
          <w:szCs w:val="17"/>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7"/>
          <w:szCs w:val="17"/>
          <w:u w:val="single" w:color="auto"/>
          <w:color w:val="auto"/>
        </w:rPr>
        <w:t>SEC Restrictions</w:t>
      </w:r>
      <w:r>
        <w:rPr>
          <w:rFonts w:ascii="Arial" w:cs="Arial" w:eastAsia="Arial" w:hAnsi="Arial"/>
          <w:sz w:val="17"/>
          <w:szCs w:val="17"/>
          <w:color w:val="auto"/>
        </w:rPr>
        <w:t>”); provided, however, that the Company shall not agree to name any Investor as an “underwriter” in such Registration Statement without the prior written consent of such Investor. Any cut-back imposed on the Investors pursuant to this Section 2(e) shall be allocated among the Investors on a pro rata basis and shall be applied first to any of the Registrable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8" w:name="page59"/>
    <w:bookmarkEnd w:id="58"/>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Arial" w:cs="Arial" w:eastAsia="Arial" w:hAnsi="Arial"/>
          <w:sz w:val="17"/>
          <w:szCs w:val="17"/>
          <w:u w:val="single" w:color="auto"/>
          <w:color w:val="auto"/>
        </w:rPr>
        <w:t>Restriction Termination Date</w:t>
      </w:r>
      <w:r>
        <w:rPr>
          <w:rFonts w:ascii="Arial" w:cs="Arial" w:eastAsia="Arial" w:hAnsi="Arial"/>
          <w:sz w:val="17"/>
          <w:szCs w:val="17"/>
          <w:color w:val="auto"/>
        </w:rPr>
        <w:t>”). From and after the Restriction Termination Date applicable to any Cut Back Shares, all of the provisions of this Section 2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provided, however, that (i) the Filing Deadline and/or the Qualification Deadline, as applicable, for such Registration Statement including such Cut Back Shares shall be ten (10) Business Days after such Restriction Termination Date, and (ii) the date by which the Company is required to obtain effectiveness with respect to such Cut Back Shares under Section 2(c) shall be the 90</w:t>
      </w:r>
      <w:r>
        <w:rPr>
          <w:rFonts w:ascii="Arial" w:cs="Arial" w:eastAsia="Arial" w:hAnsi="Arial"/>
          <w:sz w:val="14"/>
          <w:szCs w:val="14"/>
          <w:color w:val="auto"/>
        </w:rPr>
        <w:t>th</w:t>
      </w:r>
      <w:r>
        <w:rPr>
          <w:rFonts w:ascii="Arial" w:cs="Arial" w:eastAsia="Arial" w:hAnsi="Arial"/>
          <w:sz w:val="17"/>
          <w:szCs w:val="17"/>
          <w:color w:val="auto"/>
        </w:rPr>
        <w:t xml:space="preserve"> day immediately after the Restriction Termination Date (or the 120</w:t>
      </w:r>
      <w:r>
        <w:rPr>
          <w:rFonts w:ascii="Arial" w:cs="Arial" w:eastAsia="Arial" w:hAnsi="Arial"/>
          <w:sz w:val="14"/>
          <w:szCs w:val="14"/>
          <w:color w:val="auto"/>
        </w:rPr>
        <w:t>th</w:t>
      </w:r>
      <w:r>
        <w:rPr>
          <w:rFonts w:ascii="Arial" w:cs="Arial" w:eastAsia="Arial" w:hAnsi="Arial"/>
          <w:sz w:val="17"/>
          <w:szCs w:val="17"/>
          <w:color w:val="auto"/>
        </w:rPr>
        <w:t xml:space="preserve"> day if the SEC reviews such Registration Statement).</w:t>
      </w:r>
    </w:p>
    <w:p>
      <w:pPr>
        <w:spacing w:after="0" w:line="185" w:lineRule="exact"/>
        <w:rPr>
          <w:sz w:val="20"/>
          <w:szCs w:val="20"/>
          <w:color w:val="auto"/>
        </w:rPr>
      </w:pPr>
    </w:p>
    <w:p>
      <w:pPr>
        <w:ind w:right="680" w:firstLine="436"/>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62" w:lineRule="exact"/>
        <w:rPr>
          <w:rFonts w:ascii="Arial" w:cs="Arial" w:eastAsia="Arial" w:hAnsi="Arial"/>
          <w:sz w:val="18"/>
          <w:szCs w:val="18"/>
          <w:color w:val="auto"/>
        </w:rPr>
      </w:pPr>
    </w:p>
    <w:p>
      <w:pPr>
        <w:jc w:val="both"/>
        <w:ind w:firstLine="987"/>
        <w:spacing w:after="0" w:line="259" w:lineRule="auto"/>
        <w:tabs>
          <w:tab w:leader="none" w:pos="12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use commercially reasonable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all Shares cease to be Registrable Securities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and advise the Investors promptly in writing when the Effectiveness Period has expired;</w:t>
      </w:r>
    </w:p>
    <w:p>
      <w:pPr>
        <w:spacing w:after="0" w:line="186" w:lineRule="exact"/>
        <w:rPr>
          <w:rFonts w:ascii="Arial" w:cs="Arial" w:eastAsia="Arial" w:hAnsi="Arial"/>
          <w:sz w:val="18"/>
          <w:szCs w:val="18"/>
          <w:color w:val="auto"/>
        </w:rPr>
      </w:pPr>
    </w:p>
    <w:p>
      <w:pPr>
        <w:ind w:firstLine="987"/>
        <w:spacing w:after="0" w:line="263" w:lineRule="auto"/>
        <w:tabs>
          <w:tab w:leader="none" w:pos="12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83" w:lineRule="exact"/>
        <w:rPr>
          <w:rFonts w:ascii="Arial" w:cs="Arial" w:eastAsia="Arial" w:hAnsi="Arial"/>
          <w:sz w:val="18"/>
          <w:szCs w:val="18"/>
          <w:color w:val="auto"/>
        </w:rPr>
      </w:pPr>
    </w:p>
    <w:p>
      <w:pPr>
        <w:ind w:right="420" w:firstLine="987"/>
        <w:spacing w:after="0" w:line="277" w:lineRule="auto"/>
        <w:tabs>
          <w:tab w:leader="none" w:pos="12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provide copies to and permit each Investor to review each Registration Statement and all amendments and supplements thereto no fewer than two (2) days prior to their filing with the SEC and to furnish reasonable comments thereon;</w:t>
      </w:r>
    </w:p>
    <w:p>
      <w:pPr>
        <w:spacing w:after="0" w:line="170" w:lineRule="exact"/>
        <w:rPr>
          <w:rFonts w:ascii="Arial" w:cs="Arial" w:eastAsia="Arial" w:hAnsi="Arial"/>
          <w:sz w:val="18"/>
          <w:szCs w:val="18"/>
          <w:color w:val="auto"/>
        </w:rPr>
      </w:pPr>
    </w:p>
    <w:p>
      <w:pPr>
        <w:ind w:firstLine="987"/>
        <w:spacing w:after="0" w:line="273" w:lineRule="auto"/>
        <w:tabs>
          <w:tab w:leader="none" w:pos="1246" w:val="left"/>
        </w:tabs>
        <w:numPr>
          <w:ilvl w:val="1"/>
          <w:numId w:val="39"/>
        </w:numPr>
        <w:rPr>
          <w:rFonts w:ascii="Arial" w:cs="Arial" w:eastAsia="Arial" w:hAnsi="Arial"/>
          <w:sz w:val="17"/>
          <w:szCs w:val="17"/>
          <w:color w:val="auto"/>
        </w:rPr>
      </w:pPr>
      <w:r>
        <w:rPr>
          <w:rFonts w:ascii="Arial" w:cs="Arial" w:eastAsia="Arial" w:hAnsi="Arial"/>
          <w:sz w:val="17"/>
          <w:szCs w:val="17"/>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9" w:name="page60"/>
    <w:bookmarkEnd w:id="5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as each Investor may reasonably request in order to facilitate the disposition of the Registrable Securities owned by such Investor that are covered by such Registration Statement;</w:t>
      </w:r>
    </w:p>
    <w:p>
      <w:pPr>
        <w:spacing w:after="0" w:line="170" w:lineRule="exact"/>
        <w:rPr>
          <w:sz w:val="20"/>
          <w:szCs w:val="20"/>
          <w:color w:val="auto"/>
        </w:rPr>
      </w:pPr>
    </w:p>
    <w:p>
      <w:pPr>
        <w:ind w:right="200" w:firstLine="987"/>
        <w:spacing w:after="0" w:line="277" w:lineRule="auto"/>
        <w:tabs>
          <w:tab w:leader="none" w:pos="12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practical moment;</w:t>
      </w:r>
    </w:p>
    <w:p>
      <w:pPr>
        <w:spacing w:after="0" w:line="170" w:lineRule="exact"/>
        <w:rPr>
          <w:rFonts w:ascii="Arial" w:cs="Arial" w:eastAsia="Arial" w:hAnsi="Arial"/>
          <w:sz w:val="18"/>
          <w:szCs w:val="18"/>
          <w:color w:val="auto"/>
        </w:rPr>
      </w:pPr>
    </w:p>
    <w:p>
      <w:pPr>
        <w:ind w:firstLine="987"/>
        <w:spacing w:after="0" w:line="272" w:lineRule="auto"/>
        <w:tabs>
          <w:tab w:leader="none" w:pos="12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177" w:lineRule="exact"/>
        <w:rPr>
          <w:rFonts w:ascii="Arial" w:cs="Arial" w:eastAsia="Arial" w:hAnsi="Arial"/>
          <w:sz w:val="17"/>
          <w:szCs w:val="17"/>
          <w:color w:val="auto"/>
        </w:rPr>
      </w:pPr>
    </w:p>
    <w:p>
      <w:pPr>
        <w:ind w:right="560" w:firstLine="987"/>
        <w:spacing w:after="0" w:line="342" w:lineRule="auto"/>
        <w:tabs>
          <w:tab w:leader="none" w:pos="12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use commercially reasonable efforts to cause all Registrable Securities covered by a Registration Statement to be listed on each securities exchange, interdealer quotation system or other market on which similar securities issued by the Company are then listed;</w:t>
      </w:r>
    </w:p>
    <w:p>
      <w:pPr>
        <w:spacing w:after="0" w:line="123" w:lineRule="exact"/>
        <w:rPr>
          <w:rFonts w:ascii="Arial" w:cs="Arial" w:eastAsia="Arial" w:hAnsi="Arial"/>
          <w:sz w:val="16"/>
          <w:szCs w:val="16"/>
          <w:color w:val="auto"/>
        </w:rPr>
      </w:pPr>
    </w:p>
    <w:p>
      <w:pPr>
        <w:ind w:right="60" w:firstLine="987"/>
        <w:spacing w:after="0" w:line="272" w:lineRule="auto"/>
        <w:tabs>
          <w:tab w:leader="none" w:pos="12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an Investor, disclose to such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77" w:lineRule="exact"/>
        <w:rPr>
          <w:rFonts w:ascii="Arial" w:cs="Arial" w:eastAsia="Arial" w:hAnsi="Arial"/>
          <w:sz w:val="17"/>
          <w:szCs w:val="17"/>
          <w:color w:val="auto"/>
        </w:rPr>
      </w:pPr>
    </w:p>
    <w:p>
      <w:pPr>
        <w:ind w:right="60" w:firstLine="987"/>
        <w:spacing w:after="0" w:line="291" w:lineRule="auto"/>
        <w:tabs>
          <w:tab w:leader="none" w:pos="1206"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60" w:name="page61"/>
    <w:bookmarkEnd w:id="60"/>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of each Registration Statement, which earnings statement shall satisfy the provisions of Section 11(a) of the 1933 Act, including Rule 158 promulgated thereunder (for the purpose of this subsection 3(i), “</w:t>
      </w:r>
      <w:r>
        <w:rPr>
          <w:rFonts w:ascii="Arial" w:cs="Arial" w:eastAsia="Arial" w:hAnsi="Arial"/>
          <w:sz w:val="18"/>
          <w:szCs w:val="18"/>
          <w:u w:val="single" w:color="auto"/>
          <w:color w:val="auto"/>
        </w:rPr>
        <w:t>Availability Date</w:t>
      </w:r>
      <w:r>
        <w:rPr>
          <w:rFonts w:ascii="Arial" w:cs="Arial" w:eastAsia="Arial" w:hAnsi="Arial"/>
          <w:sz w:val="18"/>
          <w:szCs w:val="18"/>
          <w:color w:val="auto"/>
        </w:rPr>
        <w:t>” means the 45th day following the end of the fourth fiscal quarter that includes the effective date of such Registration Statement, except that, if such fourth fiscal quarter is the last quarter of the Company’s fiscal year, “</w:t>
      </w:r>
      <w:r>
        <w:rPr>
          <w:rFonts w:ascii="Arial" w:cs="Arial" w:eastAsia="Arial" w:hAnsi="Arial"/>
          <w:sz w:val="18"/>
          <w:szCs w:val="18"/>
          <w:u w:val="single" w:color="auto"/>
          <w:color w:val="auto"/>
        </w:rPr>
        <w:t>Availability Date</w:t>
      </w:r>
      <w:r>
        <w:rPr>
          <w:rFonts w:ascii="Arial" w:cs="Arial" w:eastAsia="Arial" w:hAnsi="Arial"/>
          <w:sz w:val="18"/>
          <w:szCs w:val="18"/>
          <w:color w:val="auto"/>
        </w:rPr>
        <w:t>” means the 90th day after the end of such fourth fiscal quarter);</w:t>
      </w:r>
    </w:p>
    <w:p>
      <w:pPr>
        <w:spacing w:after="0" w:line="187" w:lineRule="exact"/>
        <w:rPr>
          <w:sz w:val="20"/>
          <w:szCs w:val="20"/>
          <w:color w:val="auto"/>
        </w:rPr>
      </w:pPr>
    </w:p>
    <w:p>
      <w:pPr>
        <w:ind w:left="4" w:right="20" w:firstLine="987"/>
        <w:spacing w:after="0" w:line="254" w:lineRule="auto"/>
        <w:tabs>
          <w:tab w:leader="none" w:pos="121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if requested by an Investor, the Company shall (i) as soon as practicable,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an Investor holding any Registrable Securities;</w:t>
      </w:r>
    </w:p>
    <w:p>
      <w:pPr>
        <w:spacing w:after="0" w:line="194" w:lineRule="exact"/>
        <w:rPr>
          <w:rFonts w:ascii="Arial" w:cs="Arial" w:eastAsia="Arial" w:hAnsi="Arial"/>
          <w:sz w:val="18"/>
          <w:szCs w:val="18"/>
          <w:color w:val="auto"/>
        </w:rPr>
      </w:pPr>
    </w:p>
    <w:p>
      <w:pPr>
        <w:ind w:left="4" w:right="220" w:firstLine="987"/>
        <w:spacing w:after="0" w:line="286" w:lineRule="auto"/>
        <w:tabs>
          <w:tab w:leader="none" w:pos="1250" w:val="left"/>
        </w:tabs>
        <w:numPr>
          <w:ilvl w:val="2"/>
          <w:numId w:val="41"/>
        </w:numPr>
        <w:rPr>
          <w:rFonts w:ascii="Arial" w:cs="Arial" w:eastAsia="Arial" w:hAnsi="Arial"/>
          <w:sz w:val="17"/>
          <w:szCs w:val="17"/>
          <w:color w:val="auto"/>
        </w:rPr>
      </w:pPr>
      <w:r>
        <w:rPr>
          <w:rFonts w:ascii="Arial" w:cs="Arial" w:eastAsia="Arial" w:hAnsi="Arial"/>
          <w:sz w:val="17"/>
          <w:szCs w:val="17"/>
          <w:color w:val="auto"/>
        </w:rPr>
        <w:t>within two (2) Business Days after a Registration Statement which covers Registrable Securities is ordered effective by the SEC, the Company shall deliver to the transfer agent for such Registrable Securities (with copies to the Investors whose Registrable Securities are included in such Registration Statement) confirmation that such Registration Statement has been declared effective by the SEC; and</w:t>
      </w:r>
    </w:p>
    <w:p>
      <w:pPr>
        <w:spacing w:after="0" w:line="165" w:lineRule="exact"/>
        <w:rPr>
          <w:rFonts w:ascii="Arial" w:cs="Arial" w:eastAsia="Arial" w:hAnsi="Arial"/>
          <w:sz w:val="17"/>
          <w:szCs w:val="17"/>
          <w:color w:val="auto"/>
        </w:rPr>
      </w:pPr>
    </w:p>
    <w:p>
      <w:pPr>
        <w:ind w:left="4" w:right="80" w:firstLine="987"/>
        <w:spacing w:after="0" w:line="291" w:lineRule="auto"/>
        <w:tabs>
          <w:tab w:leader="none" w:pos="1210" w:val="left"/>
        </w:tabs>
        <w:numPr>
          <w:ilvl w:val="2"/>
          <w:numId w:val="41"/>
        </w:numPr>
        <w:rPr>
          <w:rFonts w:ascii="Arial" w:cs="Arial" w:eastAsia="Arial" w:hAnsi="Arial"/>
          <w:sz w:val="16"/>
          <w:szCs w:val="16"/>
          <w:color w:val="auto"/>
        </w:rPr>
      </w:pPr>
      <w:r>
        <w:rPr>
          <w:rFonts w:ascii="Arial" w:cs="Arial" w:eastAsia="Arial" w:hAnsi="Arial"/>
          <w:sz w:val="16"/>
          <w:szCs w:val="16"/>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w:t>
      </w:r>
    </w:p>
    <w:p>
      <w:pPr>
        <w:ind w:left="4" w:hanging="4"/>
        <w:spacing w:after="0" w:line="288" w:lineRule="auto"/>
        <w:tabs>
          <w:tab w:leader="none" w:pos="219"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1934 Act; and (iii)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68" w:lineRule="exact"/>
        <w:rPr>
          <w:rFonts w:ascii="Arial" w:cs="Arial" w:eastAsia="Arial" w:hAnsi="Arial"/>
          <w:sz w:val="16"/>
          <w:szCs w:val="16"/>
          <w:color w:val="auto"/>
        </w:rPr>
      </w:pPr>
    </w:p>
    <w:p>
      <w:pPr>
        <w:ind w:left="4" w:right="200" w:firstLine="436"/>
        <w:spacing w:after="0" w:line="257" w:lineRule="auto"/>
        <w:tabs>
          <w:tab w:leader="none" w:pos="62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Due Diligence Review; Information</w:t>
      </w:r>
      <w:r>
        <w:rPr>
          <w:rFonts w:ascii="Arial" w:cs="Arial" w:eastAsia="Arial" w:hAnsi="Arial"/>
          <w:sz w:val="18"/>
          <w:szCs w:val="18"/>
          <w:color w:val="auto"/>
        </w:rPr>
        <w:t>. The Company shall, upon reasonable prior notice, make available, during normal business hours, for inspection and review by the Investors, and advisors to and representatives of the Investors (who may or may not be affiliated with the Investors and who are reasonably acceptable to the Company) (collectively, the “</w:t>
      </w:r>
      <w:r>
        <w:rPr>
          <w:rFonts w:ascii="Arial" w:cs="Arial" w:eastAsia="Arial" w:hAnsi="Arial"/>
          <w:sz w:val="18"/>
          <w:szCs w:val="18"/>
          <w:u w:val="single" w:color="auto"/>
          <w:color w:val="auto"/>
        </w:rPr>
        <w:t>Inspectors</w:t>
      </w:r>
      <w:r>
        <w:rPr>
          <w:rFonts w:ascii="Arial" w:cs="Arial" w:eastAsia="Arial" w:hAnsi="Arial"/>
          <w:sz w:val="18"/>
          <w:szCs w:val="18"/>
          <w:color w:val="auto"/>
        </w:rPr>
        <w:t>”), all pertinent financial and other records, and all other corporate documents and properties of the Company (collectively, the “</w:t>
      </w:r>
      <w:r>
        <w:rPr>
          <w:rFonts w:ascii="Arial" w:cs="Arial" w:eastAsia="Arial" w:hAnsi="Arial"/>
          <w:sz w:val="18"/>
          <w:szCs w:val="18"/>
          <w:u w:val="single" w:color="auto"/>
          <w:color w:val="auto"/>
        </w:rPr>
        <w:t>Records</w:t>
      </w:r>
      <w:r>
        <w:rPr>
          <w:rFonts w:ascii="Arial" w:cs="Arial" w:eastAsia="Arial" w:hAnsi="Arial"/>
          <w:sz w:val="18"/>
          <w:szCs w:val="18"/>
          <w:color w:val="auto"/>
        </w:rPr>
        <w:t>”), as may be reasonably necessary for the purpose of such review, and cause the Company’s officers, directors and employees, within a reasonable time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1" w:name="page62"/>
    <w:bookmarkEnd w:id="6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the Investors and their accountants and attorneys to conduct initial and ongoing due diligence with respect to the Company and the accuracy of such Registration Statement; provided, however, that each Inspector shall have agreed in writing to hold in strict confidence and to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Section 4 or any other Transaction Document.</w:t>
      </w:r>
    </w:p>
    <w:p>
      <w:pPr>
        <w:spacing w:after="0" w:line="16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such representatives with the opportunity to accept or refuse to accept such material nonpublic information for review and any Investor wishing to obtain such information enters into an appropriate confidentiality and non-use agreement with the Company with respect thereto.</w:t>
      </w:r>
    </w:p>
    <w:p>
      <w:pPr>
        <w:spacing w:after="0" w:line="296" w:lineRule="exact"/>
        <w:rPr>
          <w:sz w:val="20"/>
          <w:szCs w:val="20"/>
          <w:color w:val="auto"/>
        </w:rPr>
      </w:pPr>
    </w:p>
    <w:p>
      <w:pPr>
        <w:ind w:left="620" w:hanging="184"/>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87"/>
        <w:spacing w:after="0" w:line="291" w:lineRule="auto"/>
        <w:tabs>
          <w:tab w:leader="none" w:pos="1236"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to the Company at least three (3) Business Days prior to the first anticipated filing date of such Registration Statement if such Investor elects to have any of the Registrable Securities included in such Registration Statement.</w:t>
      </w:r>
    </w:p>
    <w:p>
      <w:pPr>
        <w:spacing w:after="0" w:line="166" w:lineRule="exact"/>
        <w:rPr>
          <w:rFonts w:ascii="Arial" w:cs="Arial" w:eastAsia="Arial" w:hAnsi="Arial"/>
          <w:sz w:val="16"/>
          <w:szCs w:val="16"/>
          <w:color w:val="auto"/>
        </w:rPr>
      </w:pPr>
    </w:p>
    <w:p>
      <w:pPr>
        <w:ind w:right="80" w:firstLine="987"/>
        <w:spacing w:after="0" w:line="263" w:lineRule="auto"/>
        <w:tabs>
          <w:tab w:leader="none" w:pos="12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83" w:lineRule="exact"/>
        <w:rPr>
          <w:rFonts w:ascii="Arial" w:cs="Arial" w:eastAsia="Arial" w:hAnsi="Arial"/>
          <w:sz w:val="18"/>
          <w:szCs w:val="18"/>
          <w:color w:val="auto"/>
        </w:rPr>
      </w:pPr>
    </w:p>
    <w:p>
      <w:pPr>
        <w:ind w:right="60" w:firstLine="987"/>
        <w:spacing w:after="0" w:line="259" w:lineRule="auto"/>
        <w:tabs>
          <w:tab w:leader="none" w:pos="1236"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2" w:name="page63"/>
    <w:bookmarkEnd w:id="62"/>
    <w:p>
      <w:pPr>
        <w:ind w:left="-40" w:right="40" w:firstLine="987"/>
        <w:spacing w:after="0" w:line="277" w:lineRule="auto"/>
        <w:tabs>
          <w:tab w:leader="none" w:pos="1206"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278" w:lineRule="exact"/>
        <w:rPr>
          <w:rFonts w:ascii="Arial" w:cs="Arial" w:eastAsia="Arial" w:hAnsi="Arial"/>
          <w:sz w:val="18"/>
          <w:szCs w:val="18"/>
          <w:color w:val="auto"/>
        </w:rPr>
      </w:pPr>
    </w:p>
    <w:p>
      <w:pPr>
        <w:ind w:left="580" w:hanging="184"/>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987"/>
        <w:spacing w:after="0" w:line="285" w:lineRule="auto"/>
        <w:tabs>
          <w:tab w:leader="none" w:pos="119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will indemnify and hold harmless each Investor and its officers, directors, members, employees and agents,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by the Company or its agents of any rule or regulation promulgated under the 1933 Act applicable to the Company or its agents and relating to action or inaction required of the Company in connection with such registration, and will reimburse such Investor, and each such officer, director, member, employee, agent and each such controlling person for any legal or other documented, out-of-pocket 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 or (iv) an Investor’s bad faith, gross negligence, recklessness, fraud or willful misconduct.</w:t>
      </w:r>
    </w:p>
    <w:p>
      <w:pPr>
        <w:spacing w:after="0" w:line="176" w:lineRule="exact"/>
        <w:rPr>
          <w:rFonts w:ascii="Arial" w:cs="Arial" w:eastAsia="Arial" w:hAnsi="Arial"/>
          <w:sz w:val="16"/>
          <w:szCs w:val="16"/>
          <w:color w:val="auto"/>
        </w:rPr>
      </w:pPr>
    </w:p>
    <w:p>
      <w:pPr>
        <w:ind w:left="-40" w:right="140" w:firstLine="987"/>
        <w:spacing w:after="0" w:line="271" w:lineRule="auto"/>
        <w:tabs>
          <w:tab w:leader="none" w:pos="1206"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Indemnification by the Investors</w:t>
      </w:r>
      <w:r>
        <w:rPr>
          <w:rFonts w:ascii="Arial" w:cs="Arial" w:eastAsia="Arial" w:hAnsi="Arial"/>
          <w:sz w:val="17"/>
          <w:szCs w:val="17"/>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Except to the extent that any such losses, claims, damages, liabilities or expenses are finally judicially determined to have resulted from an Investor’s bad faith, gross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4" w:right="499" w:bottom="1440" w:gutter="0" w:footer="0" w:header="0"/>
        </w:sectPr>
      </w:pPr>
    </w:p>
    <w:bookmarkStart w:id="63" w:name="page64"/>
    <w:bookmarkEnd w:id="6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negligence, recklessness, fraud or willful misconduct,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87" w:lineRule="exact"/>
        <w:rPr>
          <w:sz w:val="20"/>
          <w:szCs w:val="20"/>
          <w:color w:val="auto"/>
        </w:rPr>
      </w:pPr>
    </w:p>
    <w:p>
      <w:pPr>
        <w:ind w:firstLine="987"/>
        <w:spacing w:after="0" w:line="286"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67" w:lineRule="exact"/>
        <w:rPr>
          <w:rFonts w:ascii="Arial" w:cs="Arial" w:eastAsia="Arial" w:hAnsi="Arial"/>
          <w:sz w:val="16"/>
          <w:szCs w:val="16"/>
          <w:color w:val="auto"/>
        </w:rPr>
      </w:pPr>
    </w:p>
    <w:p>
      <w:pPr>
        <w:ind w:firstLine="987"/>
        <w:spacing w:after="0" w:line="288" w:lineRule="auto"/>
        <w:tabs>
          <w:tab w:leader="none" w:pos="124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Except to the extent that any such losses, claims, damages or liabilities are finally judicially determined to have resulted from a holder of Registrable Securities’ bad faith, gross negligence, recklessness, fraud or willful misconduct,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4" w:name="page65"/>
    <w:bookmarkEnd w:id="64"/>
    <w:p>
      <w:pPr>
        <w:ind w:left="600" w:hanging="184"/>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987"/>
        <w:spacing w:after="0" w:line="277" w:lineRule="auto"/>
        <w:tabs>
          <w:tab w:leader="none" w:pos="121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Closing, and if the Closing has not occurred on or prior to fifth Trading Day following the date of the Purchase Agreement, unless otherwise mutually agreed, then this Agreement shall be null and void.</w:t>
      </w:r>
    </w:p>
    <w:p>
      <w:pPr>
        <w:spacing w:after="0" w:line="170" w:lineRule="exact"/>
        <w:rPr>
          <w:rFonts w:ascii="Arial" w:cs="Arial" w:eastAsia="Arial" w:hAnsi="Arial"/>
          <w:sz w:val="18"/>
          <w:szCs w:val="18"/>
          <w:color w:val="auto"/>
        </w:rPr>
      </w:pPr>
    </w:p>
    <w:p>
      <w:pPr>
        <w:ind w:left="-20" w:right="180" w:firstLine="987"/>
        <w:spacing w:after="0" w:line="263" w:lineRule="auto"/>
        <w:tabs>
          <w:tab w:leader="none" w:pos="122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83" w:lineRule="exact"/>
        <w:rPr>
          <w:rFonts w:ascii="Arial" w:cs="Arial" w:eastAsia="Arial" w:hAnsi="Arial"/>
          <w:sz w:val="18"/>
          <w:szCs w:val="18"/>
          <w:color w:val="auto"/>
        </w:rPr>
      </w:pPr>
    </w:p>
    <w:p>
      <w:pPr>
        <w:ind w:left="-20" w:right="380" w:firstLine="987"/>
        <w:spacing w:after="0" w:line="277" w:lineRule="auto"/>
        <w:tabs>
          <w:tab w:leader="none" w:pos="121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as set forth in Section 9.4 of the Purchase Agreement.</w:t>
      </w:r>
    </w:p>
    <w:p>
      <w:pPr>
        <w:spacing w:after="0" w:line="170" w:lineRule="exact"/>
        <w:rPr>
          <w:rFonts w:ascii="Arial" w:cs="Arial" w:eastAsia="Arial" w:hAnsi="Arial"/>
          <w:sz w:val="18"/>
          <w:szCs w:val="18"/>
          <w:color w:val="auto"/>
        </w:rPr>
      </w:pPr>
    </w:p>
    <w:p>
      <w:pPr>
        <w:ind w:left="-20" w:right="120" w:firstLine="987"/>
        <w:spacing w:after="0" w:line="296" w:lineRule="auto"/>
        <w:tabs>
          <w:tab w:leader="none" w:pos="122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Assignments and Transfers by Investors</w:t>
      </w:r>
      <w:r>
        <w:rPr>
          <w:rFonts w:ascii="Arial" w:cs="Arial" w:eastAsia="Arial" w:hAnsi="Arial"/>
          <w:sz w:val="16"/>
          <w:szCs w:val="16"/>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61" w:lineRule="exact"/>
        <w:rPr>
          <w:rFonts w:ascii="Arial" w:cs="Arial" w:eastAsia="Arial" w:hAnsi="Arial"/>
          <w:sz w:val="16"/>
          <w:szCs w:val="16"/>
          <w:color w:val="auto"/>
        </w:rPr>
      </w:pPr>
    </w:p>
    <w:p>
      <w:pPr>
        <w:ind w:left="-20" w:firstLine="987"/>
        <w:spacing w:after="0" w:line="272" w:lineRule="auto"/>
        <w:tabs>
          <w:tab w:leader="none" w:pos="121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Assignments and Transfers by the Company</w:t>
      </w:r>
      <w:r>
        <w:rPr>
          <w:rFonts w:ascii="Arial" w:cs="Arial" w:eastAsia="Arial" w:hAnsi="Arial"/>
          <w:sz w:val="17"/>
          <w:szCs w:val="17"/>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77" w:lineRule="exact"/>
        <w:rPr>
          <w:rFonts w:ascii="Arial" w:cs="Arial" w:eastAsia="Arial" w:hAnsi="Arial"/>
          <w:sz w:val="17"/>
          <w:szCs w:val="17"/>
          <w:color w:val="auto"/>
        </w:rPr>
      </w:pPr>
    </w:p>
    <w:p>
      <w:pPr>
        <w:ind w:left="-20" w:right="80" w:firstLine="987"/>
        <w:spacing w:after="0" w:line="259" w:lineRule="auto"/>
        <w:tabs>
          <w:tab w:leader="none" w:pos="119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6" w:lineRule="exact"/>
        <w:rPr>
          <w:rFonts w:ascii="Arial" w:cs="Arial" w:eastAsia="Arial" w:hAnsi="Arial"/>
          <w:sz w:val="18"/>
          <w:szCs w:val="18"/>
          <w:color w:val="auto"/>
        </w:rPr>
      </w:pPr>
    </w:p>
    <w:p>
      <w:pPr>
        <w:ind w:left="-20" w:right="420" w:firstLine="987"/>
        <w:spacing w:after="0" w:line="308" w:lineRule="auto"/>
        <w:tabs>
          <w:tab w:leader="none" w:pos="122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65" w:name="page66"/>
    <w:bookmarkEnd w:id="65"/>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46" w:lineRule="exact"/>
        <w:rPr>
          <w:sz w:val="20"/>
          <w:szCs w:val="20"/>
          <w:color w:val="auto"/>
        </w:rPr>
      </w:pPr>
    </w:p>
    <w:p>
      <w:pPr>
        <w:ind w:right="500" w:firstLine="987"/>
        <w:spacing w:after="0" w:line="277"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rFonts w:ascii="Arial" w:cs="Arial" w:eastAsia="Arial" w:hAnsi="Arial"/>
          <w:sz w:val="18"/>
          <w:szCs w:val="18"/>
          <w:color w:val="auto"/>
        </w:rPr>
      </w:pPr>
    </w:p>
    <w:p>
      <w:pPr>
        <w:ind w:right="40" w:firstLine="987"/>
        <w:spacing w:after="0" w:line="275" w:lineRule="auto"/>
        <w:tabs>
          <w:tab w:leader="none" w:pos="120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76" w:lineRule="exact"/>
        <w:rPr>
          <w:rFonts w:ascii="Arial" w:cs="Arial" w:eastAsia="Arial" w:hAnsi="Arial"/>
          <w:sz w:val="17"/>
          <w:szCs w:val="17"/>
          <w:color w:val="auto"/>
        </w:rPr>
      </w:pPr>
    </w:p>
    <w:p>
      <w:pPr>
        <w:ind w:right="120" w:firstLine="987"/>
        <w:spacing w:after="0" w:line="342" w:lineRule="auto"/>
        <w:tabs>
          <w:tab w:leader="none" w:pos="120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ind w:firstLine="987"/>
        <w:spacing w:after="0" w:line="263"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3" w:lineRule="exact"/>
        <w:rPr>
          <w:rFonts w:ascii="Arial" w:cs="Arial" w:eastAsia="Arial" w:hAnsi="Arial"/>
          <w:sz w:val="18"/>
          <w:szCs w:val="18"/>
          <w:color w:val="auto"/>
        </w:rPr>
      </w:pPr>
    </w:p>
    <w:p>
      <w:pPr>
        <w:ind w:right="40" w:firstLine="987"/>
        <w:spacing w:after="0" w:line="263" w:lineRule="auto"/>
        <w:tabs>
          <w:tab w:leader="none" w:pos="120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83" w:lineRule="exact"/>
        <w:rPr>
          <w:rFonts w:ascii="Arial" w:cs="Arial" w:eastAsia="Arial" w:hAnsi="Arial"/>
          <w:sz w:val="18"/>
          <w:szCs w:val="18"/>
          <w:color w:val="auto"/>
        </w:rPr>
      </w:pPr>
    </w:p>
    <w:p>
      <w:pPr>
        <w:ind w:left="1300" w:hanging="313"/>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remedies provided by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66" w:name="page67"/>
    <w:bookmarkEnd w:id="6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197"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FULCRUM THERAPEUTICS, INC.</w:t>
      </w:r>
    </w:p>
    <w:p>
      <w:pPr>
        <w:spacing w:after="0" w:line="225"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Robert J. Gould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and Chief Executive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440" w:top="274" w:right="5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3"/>
          </w:tcPr>
          <w:p>
            <w:pPr>
              <w:ind w:left="2180"/>
              <w:spacing w:after="0"/>
              <w:rPr>
                <w:sz w:val="20"/>
                <w:szCs w:val="20"/>
                <w:color w:val="auto"/>
              </w:rPr>
            </w:pPr>
            <w:r>
              <w:rPr>
                <w:rFonts w:ascii="Arial" w:cs="Arial" w:eastAsia="Arial" w:hAnsi="Arial"/>
                <w:sz w:val="18"/>
                <w:szCs w:val="18"/>
                <w:color w:val="auto"/>
              </w:rPr>
              <w:t>ECORl CAPITAL FUND QUALIFIED, L.P.</w:t>
            </w:r>
          </w:p>
        </w:tc>
      </w:tr>
      <w:tr>
        <w:trPr>
          <w:trHeight w:val="230"/>
        </w:trPr>
        <w:tc>
          <w:tcPr>
            <w:tcW w:w="3100" w:type="dxa"/>
            <w:vAlign w:val="bottom"/>
          </w:tcPr>
          <w:p>
            <w:pPr>
              <w:spacing w:after="0"/>
              <w:rPr>
                <w:sz w:val="20"/>
                <w:szCs w:val="20"/>
                <w:color w:val="auto"/>
              </w:rPr>
            </w:pPr>
          </w:p>
        </w:tc>
        <w:tc>
          <w:tcPr>
            <w:tcW w:w="7920" w:type="dxa"/>
            <w:vAlign w:val="bottom"/>
            <w:gridSpan w:val="3"/>
          </w:tcPr>
          <w:p>
            <w:pPr>
              <w:ind w:left="2180"/>
              <w:spacing w:after="0"/>
              <w:rPr>
                <w:sz w:val="20"/>
                <w:szCs w:val="20"/>
                <w:color w:val="auto"/>
              </w:rPr>
            </w:pPr>
            <w:r>
              <w:rPr>
                <w:rFonts w:ascii="Arial" w:cs="Arial" w:eastAsia="Arial" w:hAnsi="Arial"/>
                <w:sz w:val="18"/>
                <w:szCs w:val="18"/>
                <w:color w:val="auto"/>
              </w:rPr>
              <w:t>By: EcoRl Capital LLC, its General Partner</w:t>
            </w:r>
          </w:p>
        </w:tc>
      </w:tr>
      <w:tr>
        <w:trPr>
          <w:trHeight w:val="432"/>
        </w:trPr>
        <w:tc>
          <w:tcPr>
            <w:tcW w:w="3100" w:type="dxa"/>
            <w:vAlign w:val="bottom"/>
          </w:tcPr>
          <w:p>
            <w:pPr>
              <w:spacing w:after="0"/>
              <w:rPr>
                <w:sz w:val="24"/>
                <w:szCs w:val="24"/>
                <w:color w:val="auto"/>
              </w:rPr>
            </w:pPr>
          </w:p>
        </w:tc>
        <w:tc>
          <w:tcPr>
            <w:tcW w:w="2640" w:type="dxa"/>
            <w:vAlign w:val="bottom"/>
            <w:gridSpan w:val="2"/>
          </w:tcPr>
          <w:p>
            <w:pPr>
              <w:ind w:left="21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Oleg Nodelman</w:t>
            </w:r>
          </w:p>
        </w:tc>
      </w:tr>
      <w:tr>
        <w:trPr>
          <w:trHeight w:val="209"/>
        </w:trPr>
        <w:tc>
          <w:tcPr>
            <w:tcW w:w="3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Name: Oleg Nodelman</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445"/>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3"/>
          </w:tcPr>
          <w:p>
            <w:pPr>
              <w:ind w:left="2180"/>
              <w:spacing w:after="0"/>
              <w:rPr>
                <w:sz w:val="20"/>
                <w:szCs w:val="20"/>
                <w:color w:val="auto"/>
              </w:rPr>
            </w:pPr>
            <w:r>
              <w:rPr>
                <w:rFonts w:ascii="Arial" w:cs="Arial" w:eastAsia="Arial" w:hAnsi="Arial"/>
                <w:sz w:val="18"/>
                <w:szCs w:val="18"/>
                <w:color w:val="auto"/>
              </w:rPr>
              <w:t>ECORl CAPITAL FUND, L.P.</w:t>
            </w:r>
          </w:p>
        </w:tc>
      </w:tr>
      <w:tr>
        <w:trPr>
          <w:trHeight w:val="230"/>
        </w:trPr>
        <w:tc>
          <w:tcPr>
            <w:tcW w:w="3100" w:type="dxa"/>
            <w:vAlign w:val="bottom"/>
          </w:tcPr>
          <w:p>
            <w:pPr>
              <w:spacing w:after="0"/>
              <w:rPr>
                <w:sz w:val="20"/>
                <w:szCs w:val="20"/>
                <w:color w:val="auto"/>
              </w:rPr>
            </w:pPr>
          </w:p>
        </w:tc>
        <w:tc>
          <w:tcPr>
            <w:tcW w:w="7920" w:type="dxa"/>
            <w:vAlign w:val="bottom"/>
            <w:gridSpan w:val="3"/>
          </w:tcPr>
          <w:p>
            <w:pPr>
              <w:ind w:left="2180"/>
              <w:spacing w:after="0"/>
              <w:rPr>
                <w:sz w:val="20"/>
                <w:szCs w:val="20"/>
                <w:color w:val="auto"/>
              </w:rPr>
            </w:pPr>
            <w:r>
              <w:rPr>
                <w:rFonts w:ascii="Arial" w:cs="Arial" w:eastAsia="Arial" w:hAnsi="Arial"/>
                <w:sz w:val="18"/>
                <w:szCs w:val="18"/>
                <w:color w:val="auto"/>
              </w:rPr>
              <w:t>By: EcoRl Capital LLC, its General Partner</w:t>
            </w:r>
          </w:p>
        </w:tc>
      </w:tr>
      <w:tr>
        <w:trPr>
          <w:trHeight w:val="540"/>
        </w:trPr>
        <w:tc>
          <w:tcPr>
            <w:tcW w:w="3100" w:type="dxa"/>
            <w:vAlign w:val="bottom"/>
          </w:tcPr>
          <w:p>
            <w:pPr>
              <w:spacing w:after="0"/>
              <w:rPr>
                <w:sz w:val="24"/>
                <w:szCs w:val="24"/>
                <w:color w:val="auto"/>
              </w:rPr>
            </w:pPr>
          </w:p>
        </w:tc>
        <w:tc>
          <w:tcPr>
            <w:tcW w:w="2640" w:type="dxa"/>
            <w:vAlign w:val="bottom"/>
            <w:gridSpan w:val="2"/>
          </w:tcPr>
          <w:p>
            <w:pPr>
              <w:ind w:left="2180"/>
              <w:spacing w:after="0"/>
              <w:rPr>
                <w:sz w:val="20"/>
                <w:szCs w:val="20"/>
                <w:color w:val="auto"/>
              </w:rPr>
            </w:pPr>
            <w:r>
              <w:rPr>
                <w:rFonts w:ascii="Arial" w:cs="Arial" w:eastAsia="Arial" w:hAnsi="Arial"/>
                <w:sz w:val="18"/>
                <w:szCs w:val="18"/>
                <w:color w:val="auto"/>
              </w:rPr>
              <w:t>By:</w:t>
            </w:r>
          </w:p>
        </w:tc>
        <w:tc>
          <w:tcPr>
            <w:tcW w:w="5280" w:type="dxa"/>
            <w:vAlign w:val="bottom"/>
          </w:tcPr>
          <w:p>
            <w:pPr>
              <w:spacing w:after="0"/>
              <w:rPr>
                <w:sz w:val="20"/>
                <w:szCs w:val="20"/>
                <w:color w:val="auto"/>
              </w:rPr>
            </w:pPr>
            <w:r>
              <w:rPr>
                <w:rFonts w:ascii="Arial" w:cs="Arial" w:eastAsia="Arial" w:hAnsi="Arial"/>
                <w:sz w:val="18"/>
                <w:szCs w:val="18"/>
                <w:color w:val="auto"/>
              </w:rPr>
              <w:t>/s/ Oleg Nodelman</w:t>
            </w:r>
          </w:p>
        </w:tc>
      </w:tr>
      <w:tr>
        <w:trPr>
          <w:trHeight w:val="195"/>
        </w:trPr>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Oleg Nodelman</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Manager</w:t>
            </w: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8" w:name="page69"/>
    <w:bookmarkEnd w:id="68"/>
    <w:p>
      <w:pPr>
        <w:spacing w:after="0"/>
        <w:tabs>
          <w:tab w:leader="none" w:pos="52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6"/>
          <w:szCs w:val="16"/>
          <w:color w:val="auto"/>
        </w:rPr>
        <w:t>Perceptive Life Sciences Master Fund, Ltd.</w:t>
      </w:r>
    </w:p>
    <w:p>
      <w:pPr>
        <w:spacing w:after="0" w:line="356"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James H. Mannix</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C.O.O.</w:t>
      </w:r>
    </w:p>
    <w:p>
      <w:pPr>
        <w:sectPr>
          <w:pgSz w:w="11900" w:h="16838" w:orient="portrait"/>
          <w:cols w:equalWidth="0" w:num="1">
            <w:col w:w="10019"/>
          </w:cols>
          <w:pgMar w:left="440" w:top="274"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CASDIN PARTNERS MASTER FUND, L.P.</w:t>
            </w:r>
          </w:p>
        </w:tc>
      </w:tr>
      <w:tr>
        <w:trPr>
          <w:trHeight w:val="230"/>
        </w:trPr>
        <w:tc>
          <w:tcPr>
            <w:tcW w:w="3100" w:type="dxa"/>
            <w:vAlign w:val="bottom"/>
          </w:tcPr>
          <w:p>
            <w:pPr>
              <w:spacing w:after="0"/>
              <w:rPr>
                <w:sz w:val="20"/>
                <w:szCs w:val="20"/>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Casdin Partners GP, LLC, its General Partner</w:t>
            </w:r>
          </w:p>
        </w:tc>
      </w:tr>
      <w:tr>
        <w:trPr>
          <w:trHeight w:val="540"/>
        </w:trPr>
        <w:tc>
          <w:tcPr>
            <w:tcW w:w="3100" w:type="dxa"/>
            <w:vAlign w:val="bottom"/>
          </w:tcPr>
          <w:p>
            <w:pPr>
              <w:spacing w:after="0"/>
              <w:rPr>
                <w:sz w:val="24"/>
                <w:szCs w:val="24"/>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 Eli Casdin</w:t>
            </w:r>
          </w:p>
        </w:tc>
      </w:tr>
      <w:tr>
        <w:trPr>
          <w:trHeight w:val="195"/>
        </w:trPr>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 Eli Casdin</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Title: Managing Member</w:t>
            </w:r>
          </w:p>
        </w:tc>
      </w:tr>
    </w:tbl>
    <w:p>
      <w:pPr>
        <w:ind w:left="140"/>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0" w:name="page71"/>
    <w:bookmarkEnd w:id="70"/>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BEMAP Master Fund Ltd</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CCO, Monashee Investment Mgmt LLC</w:t>
      </w:r>
    </w:p>
    <w:p>
      <w:pPr>
        <w:spacing w:after="0" w:line="261"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Monashee Solitario Fund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CCO, Monashee Investment Mgmt LLC</w:t>
      </w:r>
    </w:p>
    <w:p>
      <w:pPr>
        <w:spacing w:after="0" w:line="261"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Monashee Pure Alpha SPV I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CCO, Monashee Investment Mgmt LLC</w:t>
      </w:r>
    </w:p>
    <w:p>
      <w:pPr>
        <w:spacing w:after="0" w:line="261"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SFL SPV I LLC</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Jeff Muller</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Title: CCO, Monashee Investment Mgmt LLC</w:t>
      </w:r>
    </w:p>
    <w:p>
      <w:pPr>
        <w:sectPr>
          <w:pgSz w:w="11900" w:h="16838" w:orient="portrait"/>
          <w:cols w:equalWidth="0" w:num="1">
            <w:col w:w="10019"/>
          </w:cols>
          <w:pgMar w:left="440" w:top="274" w:right="1440" w:bottom="1440" w:gutter="0" w:footer="0" w:header="0"/>
        </w:sectPr>
      </w:pPr>
    </w:p>
    <w:bookmarkStart w:id="71" w:name="page72"/>
    <w:bookmarkEnd w:id="71"/>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Foresite Capital Fund IV, L.P.</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 Foresite Capital Management IV, LLC</w:t>
      </w:r>
    </w:p>
    <w:p>
      <w:pPr>
        <w:spacing w:after="0" w:line="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 General Partner</w:t>
      </w:r>
    </w:p>
    <w:p>
      <w:pPr>
        <w:spacing w:after="0" w:line="332"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Dennis D. Ryan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019"/>
          </w:cols>
          <w:pgMar w:left="440" w:top="274"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INVESTOR:</w:t>
            </w: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SAMSARA BIOCAPITAL, L.P.</w:t>
            </w:r>
          </w:p>
        </w:tc>
      </w:tr>
      <w:tr>
        <w:trPr>
          <w:trHeight w:val="230"/>
        </w:trPr>
        <w:tc>
          <w:tcPr>
            <w:tcW w:w="3100" w:type="dxa"/>
            <w:vAlign w:val="bottom"/>
          </w:tcPr>
          <w:p>
            <w:pPr>
              <w:spacing w:after="0"/>
              <w:rPr>
                <w:sz w:val="20"/>
                <w:szCs w:val="20"/>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Samsara BioCapital GP, LLC, General Partner</w:t>
            </w:r>
          </w:p>
        </w:tc>
      </w:tr>
      <w:tr>
        <w:trPr>
          <w:trHeight w:val="540"/>
        </w:trPr>
        <w:tc>
          <w:tcPr>
            <w:tcW w:w="3100" w:type="dxa"/>
            <w:vAlign w:val="bottom"/>
          </w:tcPr>
          <w:p>
            <w:pPr>
              <w:spacing w:after="0"/>
              <w:rPr>
                <w:sz w:val="24"/>
                <w:szCs w:val="24"/>
                <w:color w:val="auto"/>
              </w:rPr>
            </w:pPr>
          </w:p>
        </w:tc>
        <w:tc>
          <w:tcPr>
            <w:tcW w:w="7920" w:type="dxa"/>
            <w:vAlign w:val="bottom"/>
            <w:gridSpan w:val="2"/>
          </w:tcPr>
          <w:p>
            <w:pPr>
              <w:ind w:left="2180"/>
              <w:spacing w:after="0"/>
              <w:rPr>
                <w:sz w:val="20"/>
                <w:szCs w:val="20"/>
                <w:color w:val="auto"/>
              </w:rPr>
            </w:pPr>
            <w:r>
              <w:rPr>
                <w:rFonts w:ascii="Arial" w:cs="Arial" w:eastAsia="Arial" w:hAnsi="Arial"/>
                <w:sz w:val="18"/>
                <w:szCs w:val="18"/>
                <w:color w:val="auto"/>
              </w:rPr>
              <w:t>By:  /s/ Srinivas Akkaraju</w:t>
            </w:r>
          </w:p>
        </w:tc>
      </w:tr>
      <w:tr>
        <w:trPr>
          <w:trHeight w:val="195"/>
        </w:trPr>
        <w:tc>
          <w:tcPr>
            <w:tcW w:w="3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 Srinivas Akkaraju</w:t>
            </w:r>
          </w:p>
        </w:tc>
      </w:tr>
      <w:tr>
        <w:trPr>
          <w:trHeight w:val="230"/>
        </w:trPr>
        <w:tc>
          <w:tcPr>
            <w:tcW w:w="3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Title: Managing Member</w:t>
            </w:r>
          </w:p>
        </w:tc>
      </w:tr>
    </w:tbl>
    <w:p>
      <w:pPr>
        <w:ind w:left="140"/>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3" w:name="page74"/>
    <w:bookmarkEnd w:id="73"/>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BOXER CAPITAL, LLC</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Aaron Davis</w:t>
      </w:r>
    </w:p>
    <w:p>
      <w:pPr>
        <w:spacing w:after="0" w:line="23"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019"/>
          </w:cols>
          <w:pgMar w:left="440" w:top="274" w:right="1440" w:bottom="1440" w:gutter="0" w:footer="0" w:header="0"/>
        </w:sectPr>
      </w:pPr>
    </w:p>
    <w:bookmarkStart w:id="74" w:name="page75"/>
    <w:bookmarkEnd w:id="74"/>
    <w:p>
      <w:pPr>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r>
        <w:rPr>
          <w:sz w:val="20"/>
          <w:szCs w:val="20"/>
          <w:color w:val="auto"/>
        </w:rPr>
        <w:tab/>
      </w:r>
      <w:r>
        <w:rPr>
          <w:rFonts w:ascii="Arial" w:cs="Arial" w:eastAsia="Arial" w:hAnsi="Arial"/>
          <w:sz w:val="18"/>
          <w:szCs w:val="18"/>
          <w:color w:val="auto"/>
        </w:rPr>
        <w:t>ALYESKA MASTER FUND,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Jason A.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Jason A. Bragg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CFO of Alyeska Investment Group, LP</w:t>
      </w:r>
    </w:p>
    <w:p>
      <w:pPr>
        <w:spacing w:after="0" w:line="261"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INVESTOR:</w:t>
      </w:r>
      <w:r>
        <w:rPr>
          <w:sz w:val="20"/>
          <w:szCs w:val="20"/>
          <w:color w:val="auto"/>
        </w:rPr>
        <w:tab/>
      </w:r>
      <w:r>
        <w:rPr>
          <w:rFonts w:ascii="Arial" w:cs="Arial" w:eastAsia="Arial" w:hAnsi="Arial"/>
          <w:sz w:val="18"/>
          <w:szCs w:val="18"/>
          <w:color w:val="auto"/>
        </w:rPr>
        <w:t>ALYESKA MASTER FUND 3, L.P.</w:t>
      </w:r>
    </w:p>
    <w:p>
      <w:pPr>
        <w:spacing w:after="0" w:line="333"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/s/ Jason A.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37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Jason A. Bragg</w:t>
      </w:r>
    </w:p>
    <w:p>
      <w:pPr>
        <w:spacing w:after="0" w:line="23"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Title: CFO of Alyeska Investment Group, LP</w:t>
      </w:r>
    </w:p>
    <w:p>
      <w:pPr>
        <w:sectPr>
          <w:pgSz w:w="11900" w:h="16838" w:orient="portrait"/>
          <w:cols w:equalWidth="0" w:num="1">
            <w:col w:w="10019"/>
          </w:cols>
          <w:pgMar w:left="440" w:top="274"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of Distribution</w:t>
      </w:r>
    </w:p>
    <w:p>
      <w:pPr>
        <w:spacing w:after="0" w:line="22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ordinary brokerage transactions and transactions in which the broker-dealer solicits purchasers;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block trades in which the broker-dealer will attempt to sell the shares as agent, but may position and resell a portion of the block as principal to facilitate the transaction;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purchases by a broker-dealer as principal and resale by the broker-dealer for its account;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an exchange distribution in accordance with the rules of the applicable exchange;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privately negotiated transactions;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short sales effected after the date the registration statement of which this prospectus is a part is declared effective by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through the writing or settlement of options or other hedging transactions, whether through an options exchange or otherwise;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broker-dealers may agree with the selling stockholders to sell a specified number of such shares at a stipulated price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 combination of any such methods of sale;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any other method permitted by applicable law.</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ectPr>
          <w:pgSz w:w="11900" w:h="16838" w:orient="portrait"/>
          <w:cols w:equalWidth="0" w:num="1">
            <w:col w:w="10980"/>
          </w:cols>
          <w:pgMar w:left="440" w:top="270" w:right="479" w:bottom="1440" w:gutter="0" w:footer="0" w:header="0"/>
        </w:sectPr>
      </w:pPr>
    </w:p>
    <w:bookmarkStart w:id="76" w:name="page77"/>
    <w:bookmarkEnd w:id="76"/>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ectPr>
          <w:pgSz w:w="11900" w:h="16838" w:orient="portrait"/>
          <w:cols w:equalWidth="0" w:num="1">
            <w:col w:w="11000"/>
          </w:cols>
          <w:pgMar w:left="440" w:top="274" w:right="459" w:bottom="1440" w:gutter="0" w:footer="0" w:header="0"/>
        </w:sectPr>
      </w:pPr>
    </w:p>
    <w:bookmarkStart w:id="77" w:name="page78"/>
    <w:bookmarkEnd w:id="77"/>
    <w:p>
      <w:pPr>
        <w:ind w:right="2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6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have agreed with the selling stockholders to use commercially reasonable efforts to cause the registration statement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ectPr>
          <w:pgSz w:w="11900" w:h="16838" w:orient="portrait"/>
          <w:cols w:equalWidth="0" w:num="1">
            <w:col w:w="11000"/>
          </w:cols>
          <w:pgMar w:left="440" w:top="274" w:right="4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08760" cy="436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087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to Evaluate Losmapimod as Potential Treatment for COVID-19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Investigational New Drug (IND) application submitted; Company preparing to initiate Phase 3 trial</w:t>
      </w:r>
    </w:p>
    <w:p>
      <w:pPr>
        <w:spacing w:after="0" w:line="225"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ReDUX4 interim analysis in facioscapulohumeral dystrophy (FSHD) on track for Q3 2020 readout; FTX-6058 Phase 1 trial on track for Q4 2020 initiation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Conference call scheduled for 8:30 a.m. ET today</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CAMBRIDGE, Mass., June 10,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Fulcrum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announced plans to evaluate losmapimod as a potential treatment for patients with COVID-19. Fulcrum has submitted an investigational new drug (IND) application to support initiation of a randomized, placebo-controlled, Phase 3 clinical trial in hospitalized patients in the United States following Pre-IND consultation via the Coronavirus Treatment Acceleration Program (CTAP).</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decision to advance this development program is a reflection of the compelling science that supports losmapimod’s potential in COVID-19,” said Robert J. Gould, Ph.D., Fulcrum’s president and chief executive officer. “Prior clinical trials have shown its ability in other disease states to reduce acutely the inflammatory cytokines, such as C-reactive protein and IL-6, that are associated with poor prognosis. This new planned Phase 3 program adds to our robust development portfolio including potential treatments for facioscapulohumeral dystrophy (FSHD) and sickle cell disease. We are excited to apply our insights and understanding of losmapimod in COVID-19 as a potential differentiated treatment option in the global fight against this virus. I am proud of the work by our team and collaborators to rapidly advance this planned clinical program and look forward to collaborating with regulators and our outstanding team of clinical investigators to move this important effort forward as quickly as possible.”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 extensive body of data in the literature suggests that inhibiting p38 MAP kinase may be beneficial for patients with COVID-19,” said Owen B. Wallace, Ph.D., Fulcrum’s chief scientific officer. “Poor prognosis for COVID-19 patients has been attributed to an exaggerated inflammatory response following SARS-CoV-2 infection. Losmapimod has been shown in preclinical and clinical studies to reduce proteins associated with acute inflammatory stress. Additionally, p38 inhibition has been reported to reduce pathophysiology associated with an activated renin-angiotensin system and positively impact the innate-adaptive immune system imbalance, both of which have been linked to increased morbidity and mortality in COVID-19. The p38 MAPK pathway has been implicated in other viral infections, and there may be the opportunity to explore losmapimod in additional serious infections.”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Potential Role of p38 Inhibition in the Treatment of COVID-19</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Several lines of preclinical and clinical evidence indicate that activation of the p38 mitogen-activated protein kinase (MAPK) significantly contributes to the pathogenesis of coronavirus infections including COVID-19. p38 MAPK is well known as an important mediator of acute response to stress, including acute inflammation.</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two clinical studies reported in the literature, an oral dose of 15 mg twice per day of losmapimod in older individuals restored the normal immune response to a viral antigen challenge and demonstrated resolution of acute inflammation, a relevant observation because the majority of severe and fatal cases of COVID-19 occur in older individuals. Additionally, in prior human clinical trials predominantly in chronic inflammatory</w:t>
      </w:r>
    </w:p>
    <w:p>
      <w:pPr>
        <w:spacing w:after="0"/>
        <w:rPr>
          <w:sz w:val="20"/>
          <w:szCs w:val="20"/>
          <w:color w:val="auto"/>
        </w:rPr>
      </w:pPr>
      <w:r>
        <w:rPr>
          <w:rFonts w:ascii="Arial" w:cs="Arial" w:eastAsia="Arial" w:hAnsi="Arial"/>
          <w:sz w:val="16"/>
          <w:szCs w:val="16"/>
          <w:color w:val="auto"/>
        </w:rPr>
        <w:t>conditions, losmapimod had an immediate effect on a number of inflammatory biomarkers that have been associated with poor prognosis in COVID-19,</w:t>
      </w:r>
    </w:p>
    <w:p>
      <w:pPr>
        <w:sectPr>
          <w:pgSz w:w="11900" w:h="16838" w:orient="portrait"/>
          <w:cols w:equalWidth="0" w:num="1">
            <w:col w:w="11020"/>
          </w:cols>
          <w:pgMar w:left="440" w:top="121" w:right="439" w:bottom="1440" w:gutter="0" w:footer="0" w:header="0"/>
        </w:sectPr>
      </w:pPr>
    </w:p>
    <w:bookmarkStart w:id="79" w:name="page80"/>
    <w:bookmarkEnd w:id="79"/>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including C-reactive protein (CRP) and interleukin-6 (IL-6). In previous trials in more than 3,600 subjects, losmapimod exhibited favorable safety and tolerability not significantly different from placebo. These trials have also indicated that losmapimod had good exposure after oral dosing and robust target engagement.</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believes that losmapimod has the potential to treat COVID-19 by reducing the acute exaggerated pro-inflammatory responses to SARS-CoV-1 infection and restoring the antigen-specific immune responses needed for clearance of SARS-CoV-2, potentially leading to improved clinical outcomes. Additionally, p38 inhibition has been demonstrated to reduce angiotensin II (Ang II)-induced endothelial and organ damage in several experimental models and may address the renin-angiotensin system imbalance that is believed to contribute to key morbidities in COVID-19 patients.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Losmapimod for FSHD</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Fulcrum’s clinical program in COVID-19 is not expected to impact the timing or prioritization of other key Company milestones, including the interim analysis of ReDUX4, a randomized, double-blind, placebo-controlled multicenter international Phase 2b clinical trial in 80 subjects with FSHD. The Company remains on track to report data from this interim analysis late in the third quarter of 2020. Additionally, Fulcrum believes that it has sufficient supply of losmapimod for ongoing clinical trials in patients with FSHD, as well as for the planned Phase 3 trial in patients with COVID-19. Fulcrum owns all worldwide development and commercialization rights to losmapimod.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FTX-6058 in Sickle Cell Disease</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FTX-6058 is an oral small molecule therapeutic discovered by Fulcrum and designed to induce expression of fetal hemoglobin (HbF) in red blood cells to compensate for the mutated adult hemoglobin in sickle cell disease. Fulcrum has completed IND-enabling studies including toxicology work with FTX-6058 and remains on track to initiate a Phase 1 trial by the end of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expects that its cash, cash equivalents, and marketable securities of $81.2 million as of March 31, 2020, together with the $68.5 million in gross proceeds from its private placement announced today, will be sufficient to fund its operating expenses and capital expenditure requirements into the first quarter of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Fulcrum Therapeutics, Inc. will host a conference call and webcast today at 8:30 a.m. ET to discuss today’s developments. The webcast will be accessible through the Investor Relations section of Fulcrum’s website at www.fulcrumtx.com. Following the live webcast, an archived replay will also be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3895852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3895852</w:t>
      </w:r>
    </w:p>
    <w:p>
      <w:pPr>
        <w:sectPr>
          <w:pgSz w:w="11900" w:h="16838" w:orient="portrait"/>
          <w:cols w:equalWidth="0" w:num="1">
            <w:col w:w="10980"/>
          </w:cols>
          <w:pgMar w:left="440" w:top="274"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FSHD</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plans to advance losmapimod to Phase 3 for the treatment of COVID-19. Fulcrum also anticipates filing an IND in the second half of 2020 with FTX-6058 for the treatment of sickle cell disease.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visit </w:t>
      </w:r>
      <w:r>
        <w:rPr>
          <w:rFonts w:ascii="Arial" w:cs="Arial" w:eastAsia="Arial" w:hAnsi="Arial"/>
          <w:sz w:val="18"/>
          <w:szCs w:val="18"/>
          <w:u w:val="single" w:color="auto"/>
          <w:color w:val="auto"/>
        </w:rPr>
        <w:t>www.fulcrumtx.com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Company’s planned evaluation of losmapimod as a potential treatment for COVID-19 and the potential benefits of such treatment, the development status of the Company’s product candidates, including the timing of submission of the Company’s IND for FTX-6058, and the timing of availability of clinical trial data.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w:t>
      </w:r>
    </w:p>
    <w:p>
      <w:pPr>
        <w:sectPr>
          <w:pgSz w:w="11900" w:h="16838" w:orient="portrait"/>
          <w:cols w:equalWidth="0" w:num="1">
            <w:col w:w="11000"/>
          </w:cols>
          <w:pgMar w:left="440" w:top="270" w:right="459" w:bottom="1440" w:gutter="0" w:footer="0" w:header="0"/>
        </w:sectPr>
      </w:pPr>
    </w:p>
    <w:bookmarkStart w:id="81" w:name="page82"/>
    <w:bookmarkEnd w:id="81"/>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p>
      <w:pPr>
        <w:sectPr>
          <w:pgSz w:w="11900" w:h="16838" w:orient="portrait"/>
          <w:cols w:equalWidth="0" w:num="1">
            <w:col w:w="11000"/>
          </w:cols>
          <w:pgMar w:left="440" w:top="274" w:right="459" w:bottom="1440" w:gutter="0" w:footer="0" w:header="0"/>
        </w:sectPr>
      </w:pPr>
    </w:p>
    <w:bookmarkStart w:id="82" w:name="page83"/>
    <w:bookmarkEnd w:id="82"/>
    <w:p>
      <w:pPr>
        <w:ind w:left="10080"/>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Completes $68.5 Million Private Placement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Cambridge, MA – June 10, 2020 – Fulcrum Therapeutics, Inc. (Nasdaq: FULC) today announced the closing of a $68.5 million private placement pursuant to a securities purchase agreement with a group of institutional investors and accredited investors.</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private placement includes a mix of new and existing investors, including EcoR1 Capital, LLC, Alyeska Investment Group, L.P., Boxer Capital, Casdin Capital LLC, Perceptive Advisors LLC, Samsara BioCapital, Monashee Investment Management LLC and Foresite Capital.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SVB Leerink acted as the exclusive placement agent to the Company in connection with the private placement.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private placement, the Company sold 4,029,411 shares of common stock at a price of $17.00 per share. The private placement priced on June 8, 2020.</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expects to use net proceeds from the private placement to fund research and development expenses, including the ongoing clinical development of losmapimod for facioscapulohumeral muscular dystrophy (FSHD), the initiation of clinical development of losmapimod for COVID-19 pending review of the Company’s recently filed investigational new drug application by the U.S. Food and Drug Administration, the advancement of its hemoglobinopathies program into clinical development and the advancement of both its discovery efforts and product engine capabilities, as well as working capital and other general corporate purposes.</w:t>
      </w:r>
    </w:p>
    <w:p>
      <w:pPr>
        <w:spacing w:after="0" w:line="18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securities sold in the private placement have not been registered under the Securities Act of 1933, as amended (the “Securities Act”), or any state or other applicable jurisdiction’s securities laws, and may not be offered or sold in the United States absent registration or an applicable exemption from the registration requirements of the Securities Act and applicable state or other jurisdictions’ securities laws. The Company has agreed to file a registration statement with the U.S. Securities and Exchange Commission (the “SEC”) registering the resale of the shares of common stock issued in the private placement no later than the 15</w:t>
      </w:r>
      <w:r>
        <w:rPr>
          <w:rFonts w:ascii="Arial" w:cs="Arial" w:eastAsia="Arial" w:hAnsi="Arial"/>
          <w:sz w:val="13"/>
          <w:szCs w:val="13"/>
          <w:color w:val="auto"/>
        </w:rPr>
        <w:t>th</w:t>
      </w:r>
      <w:r>
        <w:rPr>
          <w:rFonts w:ascii="Arial" w:cs="Arial" w:eastAsia="Arial" w:hAnsi="Arial"/>
          <w:sz w:val="16"/>
          <w:szCs w:val="16"/>
          <w:color w:val="auto"/>
        </w:rPr>
        <w:t xml:space="preserve"> day after the date of the securities purchase agreement for the private placement.</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offer, solicitation or sale of these securities in any jurisdiction in which such offer, solicitation or sale would be unlawful. Any offering of the securities under the resale registration statement will only be made by means of a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has completed extensive pre-clinical research for FTX-6058 for the treatment of sickle cell disease and beta-thalassemia.</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Such forward-looking statements include, but are not limited to, those regarding: the anticipated use of proceeds from the private placement; the filing of a registration statement to register the resale of the shares issued and sold in the private placement; and the Company’s plans, strategies and prospects for its business, including the Company’s plans to evaluate losmapimod as a potential treatment for COVID-19.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if at all;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cwaarich@fulcrumtx.com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Letter"/>
      <w:start w:val="3"/>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1)"/>
      <w:numFmt w:val="lowerRoman"/>
      <w:start w:val="2"/>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upp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Roman"/>
      <w:start w:val="2"/>
    </w:lvl>
  </w:abstractNum>
  <w:abstractNum w:abstractNumId="11">
    <w:nsid w:val="1E7FF521"/>
    <w:multiLevelType w:val="hybridMultilevel"/>
    <w:lvl w:ilvl="0">
      <w:lvlJc w:val="left"/>
      <w:lvlText w:val="%1."/>
      <w:numFmt w:val="decimal"/>
      <w:start w:val="6"/>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4"/>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2"/>
    </w:lvl>
  </w:abstractNum>
  <w:abstractNum w:abstractNumId="16">
    <w:nsid w:val="4516DDE9"/>
    <w:multiLevelType w:val="hybridMultilevel"/>
    <w:lvl w:ilvl="0">
      <w:lvlJc w:val="left"/>
      <w:lvlText w:val="(%1)"/>
      <w:numFmt w:val="lowerLetter"/>
      <w:start w:val="1"/>
    </w:lvl>
    <w:lvl w:ilvl="1">
      <w:lvlJc w:val="left"/>
      <w:lvlText w:val="(%2)"/>
      <w:numFmt w:val="lowerRoman"/>
      <w:start w:val="1"/>
    </w:lvl>
  </w:abstractNum>
  <w:abstractNum w:abstractNumId="17">
    <w:nsid w:val="3006C83E"/>
    <w:multiLevelType w:val="hybridMultilevel"/>
    <w:lvl w:ilvl="0">
      <w:lvlJc w:val="left"/>
      <w:lvlText w:val="(%1)"/>
      <w:numFmt w:val="lowerLetter"/>
      <w:start w:val="2"/>
    </w:lvl>
  </w:abstractNum>
  <w:abstractNum w:abstractNumId="18">
    <w:nsid w:val="614FD4A1"/>
    <w:multiLevelType w:val="hybridMultilevel"/>
    <w:lvl w:ilvl="0">
      <w:lvlJc w:val="left"/>
      <w:lvlText w:val="%1."/>
      <w:numFmt w:val="decimal"/>
      <w:start w:val="7"/>
    </w:lvl>
  </w:abstractNum>
  <w:abstractNum w:abstractNumId="19">
    <w:nsid w:val="419AC241"/>
    <w:multiLevelType w:val="hybridMultilevel"/>
    <w:lvl w:ilvl="0">
      <w:lvlJc w:val="left"/>
      <w:lvlText w:val="%1"/>
      <w:numFmt w:val="decimal"/>
      <w:start w:val="1"/>
    </w:lvl>
    <w:lvl w:ilvl="1">
      <w:lvlJc w:val="left"/>
      <w:lvlText w:val="(%2)"/>
      <w:numFmt w:val="lowerLetter"/>
      <w:start w:val="1"/>
    </w:lvl>
  </w:abstractNum>
  <w:abstractNum w:abstractNumId="20">
    <w:nsid w:val="5577F8E1"/>
    <w:multiLevelType w:val="hybridMultilevel"/>
    <w:lvl w:ilvl="0">
      <w:lvlJc w:val="left"/>
      <w:lvlText w:val="(%1)"/>
      <w:numFmt w:val="decimal"/>
      <w:start w:val="2"/>
    </w:lvl>
    <w:lvl w:ilvl="1">
      <w:lvlJc w:val="left"/>
      <w:lvlText w:val="%2"/>
      <w:numFmt w:val="lowerLetter"/>
      <w:start w:val="1"/>
    </w:lvl>
  </w:abstractNum>
  <w:abstractNum w:abstractNumId="21">
    <w:nsid w:val="440BADFC"/>
    <w:multiLevelType w:val="hybridMultilevel"/>
    <w:lvl w:ilvl="0">
      <w:lvlJc w:val="left"/>
      <w:lvlText w:val="(%1)"/>
      <w:numFmt w:val="lowerLetter"/>
      <w:start w:val="3"/>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decimal"/>
      <w:start w:val="8"/>
    </w:lvl>
  </w:abstractNum>
  <w:abstractNum w:abstractNumId="24">
    <w:nsid w:val="77465F01"/>
    <w:multiLevelType w:val="hybridMultilevel"/>
    <w:lvl w:ilvl="0">
      <w:lvlJc w:val="left"/>
      <w:lvlText w:val="%1."/>
      <w:numFmt w:val="decimal"/>
      <w:start w:val="9"/>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5"/>
    </w:lvl>
  </w:abstractNum>
  <w:abstractNum w:abstractNumId="28">
    <w:nsid w:val="5E884ADC"/>
    <w:multiLevelType w:val="hybridMultilevel"/>
    <w:lvl w:ilvl="0">
      <w:lvlJc w:val="left"/>
      <w:lvlText w:val="(%1)"/>
      <w:numFmt w:val="lowerRoman"/>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1">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2">
    <w:nsid w:val="153EA438"/>
    <w:multiLevelType w:val="hybridMultilevel"/>
    <w:lvl w:ilvl="0">
      <w:lvlJc w:val="left"/>
      <w:lvlText w:val="(%1)"/>
      <w:numFmt w:val="decimal"/>
      <w:start w:val="30"/>
    </w:lvl>
    <w:lvl w:ilvl="1">
      <w:lvlJc w:val="left"/>
      <w:lvlText w:val="(%2)"/>
      <w:numFmt w:val="lowerLetter"/>
      <w:start w:val="2"/>
    </w:lvl>
    <w:lvl w:ilvl="2">
      <w:lvlJc w:val="left"/>
      <w:lvlText w:val="(%3)"/>
      <w:numFmt w:val="lowerLetter"/>
      <w:start w:val="9"/>
    </w:lvl>
  </w:abstractNum>
  <w:abstractNum w:abstractNumId="33">
    <w:nsid w:val="3855585C"/>
    <w:multiLevelType w:val="hybridMultilevel"/>
    <w:lvl w:ilvl="0">
      <w:lvlJc w:val="left"/>
      <w:lvlText w:val="(%1)"/>
      <w:numFmt w:val="lowerRoman"/>
      <w:start w:val="2"/>
    </w:lvl>
  </w:abstractNum>
  <w:abstractNum w:abstractNumId="34">
    <w:nsid w:val="70A64E2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5">
    <w:nsid w:val="6A2342EC"/>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6">
    <w:nsid w:val="2A487CB0"/>
    <w:multiLevelType w:val="hybridMultilevel"/>
    <w:lvl w:ilvl="0">
      <w:lvlJc w:val="left"/>
      <w:lvlText w:val="%1"/>
      <w:numFmt w:val="lowerLetter"/>
      <w:start w:val="1"/>
    </w:lvl>
    <w:lvl w:ilvl="1">
      <w:lvlJc w:val="left"/>
      <w:lvlText w:val="(%2)"/>
      <w:numFmt w:val="lowerRoman"/>
      <w:start w:val="3"/>
    </w:lvl>
  </w:abstractNum>
  <w:abstractNum w:abstractNumId="37">
    <w:nsid w:val="1D4ED43B"/>
    <w:multiLevelType w:val="hybridMultilevel"/>
    <w:lvl w:ilvl="0">
      <w:lvlJc w:val="left"/>
      <w:lvlText w:val="(%1)"/>
      <w:numFmt w:val="lowerLetter"/>
      <w:start w:val="5"/>
    </w:lvl>
    <w:lvl w:ilvl="1">
      <w:lvlJc w:val="left"/>
      <w:lvlText w:val="%2"/>
      <w:numFmt w:val="lowerRoman"/>
      <w:start w:val="1"/>
    </w:lvl>
  </w:abstractNum>
  <w:abstractNum w:abstractNumId="38">
    <w:nsid w:val="725A06FB"/>
    <w:multiLevelType w:val="hybridMultilevel"/>
    <w:lvl w:ilvl="0">
      <w:lvlJc w:val="left"/>
      <w:lvlText w:val="%1."/>
      <w:numFmt w:val="decimal"/>
      <w:start w:val="3"/>
    </w:lvl>
    <w:lvl w:ilvl="1">
      <w:lvlJc w:val="left"/>
      <w:lvlText w:val="(%2)"/>
      <w:numFmt w:val="lowerLetter"/>
      <w:start w:val="1"/>
    </w:lvl>
  </w:abstractNum>
  <w:abstractNum w:abstractNumId="39">
    <w:nsid w:val="2CD89A32"/>
    <w:multiLevelType w:val="hybridMultilevel"/>
    <w:lvl w:ilvl="0">
      <w:lvlJc w:val="left"/>
      <w:lvlText w:val="(%1)"/>
      <w:numFmt w:val="lowerLetter"/>
      <w:start w:val="5"/>
    </w:lvl>
  </w:abstractNum>
  <w:abstractNum w:abstractNumId="40">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41">
    <w:nsid w:val="7A6D8D3C"/>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42">
    <w:nsid w:val="4B588F54"/>
    <w:multiLevelType w:val="hybridMultilevel"/>
    <w:lvl w:ilvl="0">
      <w:lvlJc w:val="left"/>
      <w:lvlText w:val="%1."/>
      <w:numFmt w:val="decimal"/>
      <w:start w:val="5"/>
    </w:lvl>
    <w:lvl w:ilvl="1">
      <w:lvlJc w:val="left"/>
      <w:lvlText w:val="(%2)"/>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4"/>
    </w:lvl>
  </w:abstractNum>
  <w:abstractNum w:abstractNumId="44">
    <w:nsid w:val="6DE91B18"/>
    <w:multiLevelType w:val="hybridMultilevel"/>
    <w:lvl w:ilvl="0">
      <w:lvlJc w:val="left"/>
      <w:lvlText w:val="%1."/>
      <w:numFmt w:val="decimal"/>
      <w:start w:val="6"/>
    </w:lvl>
    <w:lvl w:ilvl="1">
      <w:lvlJc w:val="left"/>
      <w:lvlText w:val="(%2)"/>
      <w:numFmt w:val="lowerLetter"/>
      <w:start w:val="1"/>
    </w:lvl>
  </w:abstractNum>
  <w:abstractNum w:abstractNumId="45">
    <w:nsid w:val="38437FDB"/>
    <w:multiLevelType w:val="hybridMultilevel"/>
    <w:lvl w:ilvl="0">
      <w:lvlJc w:val="left"/>
      <w:lvlText w:val="(%1)"/>
      <w:numFmt w:val="lowerLetter"/>
      <w:start w:val="3"/>
    </w:lvl>
  </w:abstractNum>
  <w:abstractNum w:abstractNumId="46">
    <w:nsid w:val="7644A45C"/>
    <w:multiLevelType w:val="hybridMultilevel"/>
    <w:lvl w:ilvl="0">
      <w:lvlJc w:val="left"/>
      <w:lvlText w:val="%1."/>
      <w:numFmt w:val="decimal"/>
      <w:start w:val="7"/>
    </w:lvl>
    <w:lvl w:ilvl="1">
      <w:lvlJc w:val="left"/>
      <w:lvlText w:val="(%2)"/>
      <w:numFmt w:val="lowerLetter"/>
      <w:start w:val="1"/>
    </w:lvl>
  </w:abstractNum>
  <w:abstractNum w:abstractNumId="47">
    <w:nsid w:val="32FFF902"/>
    <w:multiLevelType w:val="hybridMultilevel"/>
    <w:lvl w:ilvl="0">
      <w:lvlJc w:val="left"/>
      <w:lvlText w:val="(%1)"/>
      <w:numFmt w:val="lowerLetter"/>
      <w:start w:val="8"/>
    </w:lvl>
  </w:abstractNum>
  <w:abstractNum w:abstractNumId="48">
    <w:nsid w:val="684A481A"/>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2020-06-10T15:16:14Z</dcterms:created>
  <dcterms:modified xsi:type="dcterms:W3CDTF">2020-06-10T15:16:14Z</dcterms:modified>
</cp:coreProperties>
</file>