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Thomson Peter G.</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jc w:val="center"/>
        <w:ind w:right="16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Fulcrum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FULC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01/25/2021</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color w:val="0000FF"/>
        </w:rPr>
        <w:t>VP Finance &amp; Accounting</w:t>
      </w:r>
    </w:p>
    <w:p>
      <w:pPr>
        <w:spacing w:after="0" w:line="38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1"/>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vMerge w:val="continue"/>
          </w:tcPr>
          <w:p>
            <w:pPr>
              <w:spacing w:after="0"/>
              <w:rPr>
                <w:sz w:val="11"/>
                <w:szCs w:val="11"/>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13.09</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01/25/2021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01/24/2031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January 25, 2021 and is scheduled to vest in equal quarterly installments over four years beginning on the vesting commencement date of January 1, 2021, subject to continued service.</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Peter Thomson</w:t>
            </w:r>
          </w:p>
        </w:tc>
        <w:tc>
          <w:tcPr>
            <w:tcW w:w="9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01/27/2021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9120"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2021-01-27T15:31:38Z</dcterms:created>
  <dcterms:modified xsi:type="dcterms:W3CDTF">2021-01-27T15:31:38Z</dcterms:modified>
</cp:coreProperties>
</file>