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38735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58420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1920" w:hanging="3912"/>
        <w:spacing w:after="0" w:line="281" w:lineRule="auto"/>
        <w:tabs>
          <w:tab w:leader="none" w:pos="5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0"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540"/>
        <w:spacing w:after="0"/>
        <w:tabs>
          <w:tab w:leader="none" w:pos="40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68580</wp:posOffset>
            </wp:positionV>
            <wp:extent cx="1011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55880</wp:posOffset>
            </wp:positionV>
            <wp:extent cx="101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31"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47-4839948</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88"/>
              </w:rPr>
              <w:t>26 Landsdowne Street</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89"/>
              </w:rPr>
              <w:t>Cambridge, Massachusetts</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02139</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68580</wp:posOffset>
            </wp:positionV>
            <wp:extent cx="10115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FULC</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40"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22" w:lineRule="exact"/>
        <w:rPr>
          <w:sz w:val="24"/>
          <w:szCs w:val="24"/>
          <w:color w:val="auto"/>
        </w:rPr>
      </w:pPr>
    </w:p>
    <w:p>
      <w:pPr>
        <w:ind w:right="3080"/>
        <w:spacing w:after="0" w:line="25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64" w:lineRule="exact"/>
        <w:rPr>
          <w:sz w:val="24"/>
          <w:szCs w:val="24"/>
          <w:color w:val="auto"/>
        </w:rPr>
      </w:pPr>
    </w:p>
    <w:p>
      <w:pPr>
        <w:ind w:right="180"/>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ind w:right="8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30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4" w:lineRule="exact"/>
        <w:rPr>
          <w:sz w:val="24"/>
          <w:szCs w:val="24"/>
          <w:color w:val="auto"/>
        </w:rPr>
      </w:pPr>
    </w:p>
    <w:p>
      <w:pPr>
        <w:ind w:right="60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3" w:lineRule="exact"/>
        <w:rPr>
          <w:sz w:val="24"/>
          <w:szCs w:val="24"/>
          <w:color w:val="auto"/>
        </w:rPr>
      </w:pPr>
    </w:p>
    <w:p>
      <w:pPr>
        <w:ind w:right="140"/>
        <w:spacing w:after="0" w:line="271" w:lineRule="auto"/>
        <w:rPr>
          <w:sz w:val="20"/>
          <w:szCs w:val="20"/>
          <w:color w:val="auto"/>
        </w:rPr>
      </w:pPr>
      <w:r>
        <w:rPr>
          <w:rFonts w:ascii="Arial" w:cs="Arial" w:eastAsia="Arial" w:hAnsi="Arial"/>
          <w:sz w:val="14"/>
          <w:szCs w:val="14"/>
          <w:color w:val="auto"/>
        </w:rPr>
        <w:t>As of June 30, 2020, the last business day of the registrant’s most recently completed second fiscal quarter, the aggregate market value of the registrant’s common stock held by non-affiliates of the registrant, based on the closing price of the shares of common stock on the Nasdaq Global Market on June 30, 2020, was approximately $239,959,880.</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registrant’s common stock outstanding as of February 25, 2021 was 32,672,223.</w:t>
      </w:r>
    </w:p>
    <w:p>
      <w:pPr>
        <w:spacing w:after="0" w:line="22" w:lineRule="exact"/>
        <w:rPr>
          <w:sz w:val="24"/>
          <w:szCs w:val="24"/>
          <w:color w:val="auto"/>
        </w:rPr>
      </w:pPr>
    </w:p>
    <w:p>
      <w:pPr>
        <w:ind w:left="38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5" w:lineRule="exact"/>
        <w:rPr>
          <w:sz w:val="24"/>
          <w:szCs w:val="24"/>
          <w:color w:val="auto"/>
        </w:rPr>
      </w:pPr>
    </w:p>
    <w:p>
      <w:pPr>
        <w:ind w:right="280"/>
        <w:spacing w:after="0"/>
        <w:rPr>
          <w:sz w:val="20"/>
          <w:szCs w:val="20"/>
          <w:color w:val="auto"/>
        </w:rPr>
      </w:pPr>
      <w:r>
        <w:rPr>
          <w:rFonts w:ascii="Arial" w:cs="Arial" w:eastAsia="Arial" w:hAnsi="Arial"/>
          <w:sz w:val="15"/>
          <w:szCs w:val="15"/>
          <w:color w:val="auto"/>
        </w:rPr>
        <w:t>The registrant intends to file a definitive proxy statement pursuant to Regulation 14A relating to the 2021 Annual Meeting of Stockholders within 120 days of the end of the registrant’s fiscal year ended December 31, 2020. Portions of such definitive proxy statement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50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500" w:type="dxa"/>
            <w:vAlign w:val="bottom"/>
          </w:tcPr>
          <w:p>
            <w:pPr>
              <w:ind w:left="20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500" w:type="dxa"/>
            <w:vAlign w:val="bottom"/>
          </w:tcPr>
          <w:p>
            <w:pPr>
              <w:ind w:left="20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500" w:type="dxa"/>
            <w:vAlign w:val="bottom"/>
          </w:tcPr>
          <w:p>
            <w:pPr>
              <w:ind w:left="20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500" w:type="dxa"/>
            <w:vAlign w:val="bottom"/>
          </w:tcPr>
          <w:p>
            <w:pPr>
              <w:ind w:left="20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500" w:type="dxa"/>
            <w:vAlign w:val="bottom"/>
          </w:tcPr>
          <w:p>
            <w:pPr>
              <w:ind w:left="20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500" w:type="dxa"/>
            <w:vAlign w:val="bottom"/>
          </w:tcPr>
          <w:p>
            <w:pPr>
              <w:ind w:left="20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500" w:type="dxa"/>
            <w:vAlign w:val="bottom"/>
          </w:tcPr>
          <w:p>
            <w:pPr>
              <w:ind w:left="20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500" w:type="dxa"/>
            <w:vAlign w:val="bottom"/>
          </w:tcPr>
          <w:p>
            <w:pPr>
              <w:ind w:left="2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500" w:type="dxa"/>
            <w:vAlign w:val="bottom"/>
          </w:tcPr>
          <w:p>
            <w:pPr>
              <w:ind w:left="2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500" w:type="dxa"/>
            <w:vAlign w:val="bottom"/>
          </w:tcPr>
          <w:p>
            <w:pPr>
              <w:ind w:left="2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500" w:type="dxa"/>
            <w:vAlign w:val="bottom"/>
          </w:tcPr>
          <w:p>
            <w:pPr>
              <w:ind w:left="2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500" w:type="dxa"/>
            <w:vAlign w:val="bottom"/>
          </w:tcPr>
          <w:p>
            <w:pPr>
              <w:ind w:left="20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Principal Accountant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500" w:type="dxa"/>
            <w:vAlign w:val="bottom"/>
          </w:tcPr>
          <w:p>
            <w:pPr>
              <w:ind w:left="20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Exhibits and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500" w:type="dxa"/>
            <w:vAlign w:val="bottom"/>
          </w:tcPr>
          <w:p>
            <w:pPr>
              <w:ind w:left="20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5"/>
        </w:trPr>
        <w:tc>
          <w:tcPr>
            <w:tcW w:w="9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This Annual Report on Form 10-K contains forward-looking statements, which reflect our current views with respect to, among other things, our operations and financial performance. All statements other than statements of historical facts contained in this Annual Report on Form 10-K,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the “Risk Factors” section and include, among other things:</w:t>
      </w:r>
    </w:p>
    <w:p>
      <w:pPr>
        <w:spacing w:after="0" w:line="86" w:lineRule="exact"/>
        <w:rPr>
          <w:sz w:val="20"/>
          <w:szCs w:val="20"/>
          <w:color w:val="auto"/>
        </w:rPr>
      </w:pPr>
    </w:p>
    <w:p>
      <w:pPr>
        <w:ind w:left="960" w:right="72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of losmapimod, including our ongoing Phase 2b and Phase 2 open label clinical trials for the treatment of facioscapulohumeral muscular dystrophy, or FSHD;</w:t>
      </w:r>
    </w:p>
    <w:p>
      <w:pPr>
        <w:spacing w:after="0" w:line="62" w:lineRule="exact"/>
        <w:rPr>
          <w:rFonts w:ascii="Arial" w:cs="Arial" w:eastAsia="Arial" w:hAnsi="Arial"/>
          <w:sz w:val="18"/>
          <w:szCs w:val="18"/>
          <w:color w:val="auto"/>
        </w:rPr>
      </w:pPr>
    </w:p>
    <w:p>
      <w:pPr>
        <w:ind w:left="960" w:right="12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Phase 1 clinical trial of FTX-6058 in healthy adult volunteers and our planned clinical trial of FTX-6058 in patients with sickle cell disease, or SCD;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 and our future financial results;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960" w:right="24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62"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obtain and maintain regulatory approvals for losmapimod, FTX-6058 and any other product candidates;</w:t>
      </w:r>
    </w:p>
    <w:p>
      <w:pPr>
        <w:spacing w:after="0" w:line="62"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960" w:right="6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results of our collaborations with Acceleron Pharma Inc. and MyoKardia, Inc., a wholly owned subsidiary of Bristol-Myers Squibb Company;</w:t>
      </w:r>
    </w:p>
    <w:p>
      <w:pPr>
        <w:spacing w:after="0" w:line="62"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regarding expenses, future revenue, timing of any future revenue, capital requirements and needs for additional financing;</w:t>
      </w:r>
    </w:p>
    <w:p>
      <w:pPr>
        <w:spacing w:after="0" w:line="140" w:lineRule="exact"/>
        <w:rPr>
          <w:rFonts w:ascii="Arial" w:cs="Arial" w:eastAsia="Arial" w:hAnsi="Arial"/>
          <w:sz w:val="16"/>
          <w:szCs w:val="16"/>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960" w:right="120" w:hanging="41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3" w:name="page4"/>
    <w:bookmarkEnd w:id="3"/>
    <w:p>
      <w:pPr>
        <w:ind w:right="40" w:firstLine="546"/>
        <w:spacing w:after="0" w:line="255"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2"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You should read this Annual Report on Form 10-K and the documents that we have filed as exhibits to Annual Report on Form 10-K completely and with the understanding that our actual future results may be materially different from what we expect.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171"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260" w:firstLine="602"/>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Annual Report on Form 10-K. Our principal risks include the following:</w:t>
      </w:r>
    </w:p>
    <w:p>
      <w:pPr>
        <w:spacing w:after="0" w:line="89" w:lineRule="exact"/>
        <w:rPr>
          <w:sz w:val="20"/>
          <w:szCs w:val="20"/>
          <w:color w:val="auto"/>
        </w:rPr>
      </w:pPr>
    </w:p>
    <w:p>
      <w:pPr>
        <w:ind w:left="1000" w:hanging="439"/>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losses since our inception. Our net loss was $70.8 million for the year ended December 31, 2020 and</w:t>
      </w:r>
    </w:p>
    <w:p>
      <w:pPr>
        <w:spacing w:after="0" w:line="34" w:lineRule="exact"/>
        <w:rPr>
          <w:rFonts w:ascii="Arial" w:cs="Arial" w:eastAsia="Arial" w:hAnsi="Arial"/>
          <w:sz w:val="17"/>
          <w:szCs w:val="17"/>
          <w:color w:val="auto"/>
        </w:rPr>
      </w:pPr>
    </w:p>
    <w:p>
      <w:pPr>
        <w:ind w:left="1000" w:right="20"/>
        <w:spacing w:after="0" w:line="260" w:lineRule="auto"/>
        <w:rPr>
          <w:rFonts w:ascii="Arial" w:cs="Arial" w:eastAsia="Arial" w:hAnsi="Arial"/>
          <w:sz w:val="17"/>
          <w:szCs w:val="17"/>
          <w:color w:val="auto"/>
        </w:rPr>
      </w:pPr>
      <w:r>
        <w:rPr>
          <w:rFonts w:ascii="Arial" w:cs="Arial" w:eastAsia="Arial" w:hAnsi="Arial"/>
          <w:sz w:val="18"/>
          <w:szCs w:val="18"/>
          <w:color w:val="auto"/>
        </w:rPr>
        <w:t>$82.7 million for the year ended December 31, 2019. We expect to incur losses over the next several years and may never achieve or maintain profitability. As of December 31, 2020, we had an accumulated deficit of $221.6 million.</w:t>
      </w:r>
    </w:p>
    <w:p>
      <w:pPr>
        <w:spacing w:after="0" w:line="90" w:lineRule="exact"/>
        <w:rPr>
          <w:rFonts w:ascii="Arial" w:cs="Arial" w:eastAsia="Arial" w:hAnsi="Arial"/>
          <w:sz w:val="17"/>
          <w:szCs w:val="17"/>
          <w:color w:val="auto"/>
        </w:rPr>
      </w:pPr>
    </w:p>
    <w:p>
      <w:pPr>
        <w:ind w:left="1000" w:right="40" w:hanging="439"/>
        <w:spacing w:after="0" w:line="255"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Phase 2b and Phase 2 open label clinical trials of losmapimod for the treatment of FSHD and continue our recently initiated Phase 1 clinical trial of FTX-6058 in healthy adult volunteers, prepare for our planned clinical trial of FTX-6058 in patients with SCD, and continue research and development and initiate additional clinical trials of, and seek regulatory approval for, these and other product candidates.</w:t>
      </w:r>
    </w:p>
    <w:p>
      <w:pPr>
        <w:spacing w:after="0" w:line="97" w:lineRule="exact"/>
        <w:rPr>
          <w:rFonts w:ascii="Arial" w:cs="Arial" w:eastAsia="Arial" w:hAnsi="Arial"/>
          <w:sz w:val="18"/>
          <w:szCs w:val="18"/>
          <w:color w:val="auto"/>
        </w:rPr>
      </w:pPr>
    </w:p>
    <w:p>
      <w:pPr>
        <w:ind w:left="1000" w:right="200" w:hanging="439"/>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54" w:lineRule="exact"/>
        <w:rPr>
          <w:rFonts w:ascii="Arial" w:cs="Arial" w:eastAsia="Arial" w:hAnsi="Arial"/>
          <w:sz w:val="16"/>
          <w:szCs w:val="16"/>
          <w:color w:val="auto"/>
        </w:rPr>
      </w:pPr>
    </w:p>
    <w:p>
      <w:pPr>
        <w:ind w:left="1000" w:right="320" w:hanging="439"/>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97" w:lineRule="exact"/>
        <w:rPr>
          <w:rFonts w:ascii="Arial" w:cs="Arial" w:eastAsia="Arial" w:hAnsi="Arial"/>
          <w:sz w:val="18"/>
          <w:szCs w:val="18"/>
          <w:color w:val="auto"/>
        </w:rPr>
      </w:pPr>
    </w:p>
    <w:p>
      <w:pPr>
        <w:ind w:left="1000" w:hanging="439"/>
        <w:spacing w:after="0" w:line="31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not be successful in our efforts to use our product engine to build a pipeline of product candidates. 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w:t>
      </w:r>
    </w:p>
    <w:p>
      <w:pPr>
        <w:spacing w:after="0" w:line="54" w:lineRule="exact"/>
        <w:rPr>
          <w:rFonts w:ascii="Arial" w:cs="Arial" w:eastAsia="Arial" w:hAnsi="Arial"/>
          <w:sz w:val="16"/>
          <w:szCs w:val="16"/>
          <w:color w:val="auto"/>
        </w:rPr>
      </w:pPr>
    </w:p>
    <w:p>
      <w:pPr>
        <w:ind w:left="1000" w:right="160" w:hanging="439"/>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 w:name="page5"/>
    <w:bookmarkEnd w:id="4"/>
    <w:p>
      <w:pPr>
        <w:ind w:left="440" w:right="100" w:hanging="439"/>
        <w:spacing w:after="0" w:line="279" w:lineRule="auto"/>
        <w:tabs>
          <w:tab w:leader="none" w:pos="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U.S. Food and Drug Administration or other regulatory authorities may not consider the endpoints of our clinical trials to predict or provide clinically meaningful results.</w:t>
      </w:r>
    </w:p>
    <w:p>
      <w:pPr>
        <w:spacing w:after="0" w:line="76" w:lineRule="exact"/>
        <w:rPr>
          <w:rFonts w:ascii="Arial" w:cs="Arial" w:eastAsia="Arial" w:hAnsi="Arial"/>
          <w:sz w:val="17"/>
          <w:szCs w:val="17"/>
          <w:color w:val="auto"/>
        </w:rPr>
      </w:pPr>
    </w:p>
    <w:p>
      <w:pPr>
        <w:ind w:left="440" w:right="560" w:hanging="439"/>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rFonts w:ascii="Arial" w:cs="Arial" w:eastAsia="Arial" w:hAnsi="Arial"/>
          <w:sz w:val="18"/>
          <w:szCs w:val="18"/>
          <w:color w:val="auto"/>
        </w:rPr>
      </w:pPr>
    </w:p>
    <w:p>
      <w:pPr>
        <w:ind w:left="440" w:hanging="439"/>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75" w:lineRule="exact"/>
        <w:rPr>
          <w:rFonts w:ascii="Arial" w:cs="Arial" w:eastAsia="Arial" w:hAnsi="Arial"/>
          <w:sz w:val="18"/>
          <w:szCs w:val="18"/>
          <w:color w:val="auto"/>
        </w:rPr>
      </w:pPr>
    </w:p>
    <w:p>
      <w:pPr>
        <w:ind w:left="440" w:right="220" w:hanging="439"/>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89" w:lineRule="exact"/>
        <w:rPr>
          <w:rFonts w:ascii="Arial" w:cs="Arial" w:eastAsia="Arial" w:hAnsi="Arial"/>
          <w:sz w:val="18"/>
          <w:szCs w:val="18"/>
          <w:color w:val="auto"/>
        </w:rPr>
      </w:pPr>
    </w:p>
    <w:p>
      <w:pPr>
        <w:ind w:left="440" w:right="280" w:hanging="439"/>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rFonts w:ascii="Arial" w:cs="Arial" w:eastAsia="Arial" w:hAnsi="Arial"/>
          <w:sz w:val="18"/>
          <w:szCs w:val="18"/>
          <w:color w:val="auto"/>
        </w:rPr>
      </w:pPr>
    </w:p>
    <w:p>
      <w:pPr>
        <w:jc w:val="both"/>
        <w:ind w:left="440" w:right="60" w:hanging="439"/>
        <w:spacing w:after="0" w:line="311"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entered into, and may in the future enter into, collaborations with third parties for the discovery, development or commercialization of product candidates, including our collaborations with Acceleron Pharma Inc. and MyoKardia, Inc. If our collaborations are not successful, we may not be able to capitalize on the market potential of these product candidates and our business could be adversely affected.</w:t>
      </w:r>
    </w:p>
    <w:p>
      <w:pPr>
        <w:spacing w:after="0" w:line="54" w:lineRule="exact"/>
        <w:rPr>
          <w:rFonts w:ascii="Arial" w:cs="Arial" w:eastAsia="Arial" w:hAnsi="Arial"/>
          <w:sz w:val="16"/>
          <w:szCs w:val="16"/>
          <w:color w:val="auto"/>
        </w:rPr>
      </w:pPr>
    </w:p>
    <w:p>
      <w:pPr>
        <w:ind w:left="440" w:hanging="439"/>
        <w:spacing w:after="0" w:line="311"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54" w:lineRule="exact"/>
        <w:rPr>
          <w:rFonts w:ascii="Arial" w:cs="Arial" w:eastAsia="Arial" w:hAnsi="Arial"/>
          <w:sz w:val="16"/>
          <w:szCs w:val="16"/>
          <w:color w:val="auto"/>
        </w:rPr>
      </w:pPr>
    </w:p>
    <w:p>
      <w:pPr>
        <w:ind w:left="440" w:right="360" w:hanging="439"/>
        <w:spacing w:after="0" w:line="26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880" w:top="679"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randomized, double-blind, placebo-controlled, multicenter, international Phase 2b clinical trial of losmapimod, our product candidate for FSHD, and a single center, open label Phase 2 clinical trial to investigate the safety and tolerability of chronic treatment with losmapimod in patients with FSHD. The Phase 2b clinical trial and the open label Phase 2 clinical trial completed enrollment in February 2020. In the fourth quarter of 2020, we initiated a Phase 1 clinical trial of FTX-6058, our product candidate for certain hemoglobinopathies and a novel upregulator of fetal hemoglobin, to evaluate the safety, tolerability and pharmacokinetics of FTX-6058 in healthy adult volunteers. In addition, we anticipate initiating a clinical trial of FTX-6058 in patients with SCD in the second half of 2021.</w:t>
      </w:r>
    </w:p>
    <w:p>
      <w:pPr>
        <w:spacing w:after="0" w:line="182"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and RNAi libraries. We also employ computational biology and FulcrumSeek, our proprietary database, to guide target selection and to generate hypotheses on other targets that might be relevant along a gene regulatory pathway.</w:t>
      </w:r>
    </w:p>
    <w:p>
      <w:pPr>
        <w:spacing w:after="0" w:line="188" w:lineRule="exact"/>
        <w:rPr>
          <w:sz w:val="20"/>
          <w:szCs w:val="20"/>
          <w:color w:val="auto"/>
        </w:rPr>
      </w:pPr>
    </w:p>
    <w:p>
      <w:pPr>
        <w:ind w:right="140" w:firstLine="546"/>
        <w:spacing w:after="0" w:line="272" w:lineRule="auto"/>
        <w:rPr>
          <w:sz w:val="20"/>
          <w:szCs w:val="20"/>
          <w:color w:val="auto"/>
        </w:rPr>
      </w:pPr>
      <w:r>
        <w:rPr>
          <w:rFonts w:ascii="Arial" w:cs="Arial" w:eastAsia="Arial" w:hAnsi="Arial"/>
          <w:sz w:val="17"/>
          <w:szCs w:val="17"/>
          <w:color w:val="auto"/>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p38α/ß mitogen activated protein kinase, or p38α/ß. We utilized our product engine to discover that inhibition of p38α/ß reduced expression of the </w:t>
      </w:r>
      <w:r>
        <w:rPr>
          <w:rFonts w:ascii="Arial" w:cs="Arial" w:eastAsia="Arial" w:hAnsi="Arial"/>
          <w:sz w:val="17"/>
          <w:szCs w:val="17"/>
          <w:i w:val="1"/>
          <w:iCs w:val="1"/>
          <w:color w:val="auto"/>
        </w:rPr>
        <w:t>DUX4</w:t>
      </w:r>
      <w:r>
        <w:rPr>
          <w:rFonts w:ascii="Arial" w:cs="Arial" w:eastAsia="Arial" w:hAnsi="Arial"/>
          <w:sz w:val="17"/>
          <w:szCs w:val="17"/>
          <w:color w:val="auto"/>
        </w:rPr>
        <w:t xml:space="preserve"> gene in muscle cells derived from patients with FSHD. The mis-expression of the </w:t>
      </w:r>
      <w:r>
        <w:rPr>
          <w:rFonts w:ascii="Arial" w:cs="Arial" w:eastAsia="Arial" w:hAnsi="Arial"/>
          <w:sz w:val="17"/>
          <w:szCs w:val="17"/>
          <w:i w:val="1"/>
          <w:iCs w:val="1"/>
          <w:color w:val="auto"/>
        </w:rPr>
        <w:t>DUX4</w:t>
      </w:r>
      <w:r>
        <w:rPr>
          <w:rFonts w:ascii="Arial" w:cs="Arial" w:eastAsia="Arial" w:hAnsi="Arial"/>
          <w:sz w:val="17"/>
          <w:szCs w:val="17"/>
          <w:color w:val="auto"/>
        </w:rPr>
        <w:t xml:space="preserve"> gene is the known root cause of FSHD. There are no approved therapies for FSHD, one of the most common forms of muscular dystrophy, with an estimated patient population of 16,000 to 38,000 in the United States. In January 2020, the U.S. Food and Drug Administration, or FDA, granted orphan drug designation to losmapimod for the treatment of FSHD, and, in March 2020, the European Medicines Agency, or EMA, granted orphan drug designation to losmapimod for the treatment of FSHD.</w:t>
      </w:r>
    </w:p>
    <w:p>
      <w:pPr>
        <w:spacing w:after="0" w:line="177"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 xml:space="preserve">Following our discovery of the role of p38α/ß inhibitors in the reduction of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in patients with FSHD,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177"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We are conducting a randomized, double-blind, placebo-controlled, multicenter, international Phase 2b clinical trial, referred to as ReDUX4, to investigate whether treatment with losmapimod reduces DUX4-driven gene expression in affected skeletal muscle. In this Phase 2b clinical trial, secondary endpoints include evaluation of safety and tolerability in FSHD patients, pharmacokinetic in blood, losmapimod concentration in skeletal muscle biopsies, p38α/ß target engagement in blood and in muscle biopsies, and efficacy on the whole-body skeletal muscle MRI biomarker. We are concurrently conducting a single center open label Phase 2 clinical trial to investigate the safety and tolerability of chronic treatment with losmapimod in patients with FSHD. In this open label trial, we are evaluating the ability of losmapimod to reduce DUX4-driven gene expression in affected skeletal muscle over varying treatment durations. We initiated ReDUX4 at multiple sites in the United States, Canada and Europe and the open label Phase 2 clinical trial in Europe in August 2019. We completed dosing in a Phase 1 clinical trial in healthy volunteers and patients with FSHD in September 2019. We presented top-line, blinded results from the Phase 1 clinical trial in October 2019, and we presented unblinded data in March 2020. We utilized data from GSK’s clinical trials of losmapimod and our preclinical data to submit an IND, and clinical trial applications, or CTAs, 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ind w:right="520"/>
        <w:spacing w:after="0" w:line="277" w:lineRule="auto"/>
        <w:rPr>
          <w:sz w:val="20"/>
          <w:szCs w:val="20"/>
          <w:color w:val="auto"/>
        </w:rPr>
      </w:pPr>
      <w:r>
        <w:rPr>
          <w:rFonts w:ascii="Arial" w:cs="Arial" w:eastAsia="Arial" w:hAnsi="Arial"/>
          <w:sz w:val="18"/>
          <w:szCs w:val="18"/>
          <w:color w:val="auto"/>
        </w:rPr>
        <w:t>Europe and Canada, at various dates during 2019 that have enabled us to advance our clinical development plan for losmapimod in FSHD, including initiating ReDUX4 in August 2019.</w:t>
      </w:r>
    </w:p>
    <w:p>
      <w:pPr>
        <w:spacing w:after="0" w:line="170"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As a result of the COVID-19 pandemic, we extended the ReDUX4 treatment period from 24 to 48 weeks through a protocol amendment to ensure the safety of the subjects and to allow for the opportunity for a biopsy at week 16 as originally intended or at week 36. Approximately 64 subjects who did not complete the original 24-week treatment period continued in the 48-week treatment period in the randomized portion of the trial.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 present full data from the trial in the second quarter of 2021. We believe that the amendment to the trial protocol provides flexibility to address the challenges presented by the COVID-19 pandemic and supports collection of efficacy and safety data to support continued discussions with regulatory agencies regarding potential registration strategies.</w:t>
      </w:r>
    </w:p>
    <w:p>
      <w:pPr>
        <w:spacing w:after="0" w:line="178" w:lineRule="exact"/>
        <w:rPr>
          <w:sz w:val="20"/>
          <w:szCs w:val="20"/>
          <w:color w:val="auto"/>
        </w:rPr>
      </w:pPr>
    </w:p>
    <w:p>
      <w:pPr>
        <w:ind w:right="280" w:firstLine="546"/>
        <w:spacing w:after="0" w:line="342" w:lineRule="auto"/>
        <w:rPr>
          <w:sz w:val="20"/>
          <w:szCs w:val="20"/>
          <w:color w:val="auto"/>
        </w:rPr>
      </w:pPr>
      <w:r>
        <w:rPr>
          <w:rFonts w:ascii="Arial" w:cs="Arial" w:eastAsia="Arial" w:hAnsi="Arial"/>
          <w:sz w:val="16"/>
          <w:szCs w:val="16"/>
          <w:color w:val="auto"/>
        </w:rPr>
        <w:t>In August 2020, we announced results from a pre-specified interim analysis of the primary endpoint of the ReDUX4 trial, which is the reduction from baseline of DUX4-driven gene expression in affected skeletal muscle after subjects have been treated with losmapimod or placebo.</w:t>
      </w:r>
    </w:p>
    <w:p>
      <w:pPr>
        <w:spacing w:after="0" w:line="124" w:lineRule="exact"/>
        <w:rPr>
          <w:sz w:val="20"/>
          <w:szCs w:val="20"/>
          <w:color w:val="auto"/>
        </w:rPr>
      </w:pPr>
    </w:p>
    <w:p>
      <w:pPr>
        <w:ind w:right="80" w:firstLine="546"/>
        <w:spacing w:after="0" w:line="269" w:lineRule="auto"/>
        <w:rPr>
          <w:sz w:val="20"/>
          <w:szCs w:val="20"/>
          <w:color w:val="auto"/>
        </w:rPr>
      </w:pPr>
      <w:r>
        <w:rPr>
          <w:rFonts w:ascii="Arial" w:cs="Arial" w:eastAsia="Arial" w:hAnsi="Arial"/>
          <w:sz w:val="17"/>
          <w:szCs w:val="17"/>
          <w:color w:val="auto"/>
        </w:rPr>
        <w:t>We are additionally conducting several preparatory non-drug studies to assess biomarker endpoints and clinical outcome assessments and are participating in a natural history study that will follow 160 subjects with FSHD in the United States and 60 subjects in Europe over 18 months. We are using data generated to date, and expect to utilize data to be generated from our ongoing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to date, and additional data to be generated from our ongoing ReDUX4 trial, may enable us to apply for accelerated approval of losmapimod for the treatment of FSHD. If we observe positive results in ReDUX4 based on our biomarker efficacy endpoint of reduction in DUX4-driven gene expression in affected skeletal muscle, we plan to discuss the possibility of applying for accelerated approval with regulatory agencies and may seek accelerated approval if such regulatory agencies believe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85"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In June 2020, we announced that we received notification from the FDA that we may proceed with initiating a Phase 3, randomized, double-blind, placebo-controlled trial of losmapimod in higher risk hospitalized adults with COVID-19, or the LOSVID trial. The LOSVID trial is a Phase 3, international, multicenter trial designed to assess the safety and efficacy of a 15 mg twice per day oral dose of losmapimod compared to placebo for 14 days on top of standard of care in approximately 400 patients hospitalized with COVID-19 and at risk of progression to critical illness based on older age and elevated systemic inflammation. We began enrolling patients in the fourth quarter of 2020. The primary endpoint of the trial is the proportion of patients who progress to death or respiratory failure by day 28. The trial’s secondary endpoints include clinical status on days seven and 14 as measured on the nine point World Health Organization ordinal scale of COVID-19 severity, total number of study days free of oxygen supplementation, all-cause mortality, length of hospitalization and intensive care unit stay, adverse events and viral clearance. In March 2021, we announced the discontinuation of the LOSVID trial following a strategic review.</w:t>
      </w:r>
    </w:p>
    <w:p>
      <w:pPr>
        <w:spacing w:after="0" w:line="181"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 xml:space="preserve">Our second product candidate, FTX-6058, is our novel small molecule designed to bind embryonic ectoderm development, or EED, and inhibit the transcriptional silencing activity of the polycomb repressive complex 2, or PRC2. FTX-6058 is a small molecule designed to upregulate fetal hemoglobin in patients with SCD and ß-thalassemia. SCD is a genetic blood disorder caused by a mutation in the ß-subunit gene, or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This mutation results in the formation of abnormal hemoglobin, which causes red blood cells, or RBCs, to change from a round shape into a sickle shape that significantly impairs their function. ß-thalassemia is a rare blood disorder caused by various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that can significantly impair the production of RBCs.</w:t>
      </w:r>
    </w:p>
    <w:p>
      <w:pPr>
        <w:spacing w:after="0" w:line="192"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 xml:space="preserve">We designed FTX-6058 to compensate for the root cause of these hemoglobinopathies by inducing the expression of the two γ-globin genes, </w:t>
      </w:r>
      <w:r>
        <w:rPr>
          <w:rFonts w:ascii="Arial" w:cs="Arial" w:eastAsia="Arial" w:hAnsi="Arial"/>
          <w:sz w:val="17"/>
          <w:szCs w:val="17"/>
          <w:i w:val="1"/>
          <w:iCs w:val="1"/>
          <w:color w:val="auto"/>
        </w:rPr>
        <w:t>HBG1/2</w:t>
      </w:r>
      <w:r>
        <w:rPr>
          <w:rFonts w:ascii="Arial" w:cs="Arial" w:eastAsia="Arial" w:hAnsi="Arial"/>
          <w:sz w:val="17"/>
          <w:szCs w:val="17"/>
          <w:color w:val="auto"/>
        </w:rPr>
        <w:t>, whose expression is normally silenced shortly after birth. The</w:t>
      </w:r>
      <w:r>
        <w:rPr>
          <w:rFonts w:ascii="Arial" w:cs="Arial" w:eastAsia="Arial" w:hAnsi="Arial"/>
          <w:sz w:val="17"/>
          <w:szCs w:val="17"/>
          <w:i w:val="1"/>
          <w:iCs w:val="1"/>
          <w:color w:val="auto"/>
        </w:rPr>
        <w:t xml:space="preserve"> HBG1/2 </w:t>
      </w:r>
      <w:r>
        <w:rPr>
          <w:rFonts w:ascii="Arial" w:cs="Arial" w:eastAsia="Arial" w:hAnsi="Arial"/>
          <w:sz w:val="17"/>
          <w:szCs w:val="17"/>
          <w:color w:val="auto"/>
        </w:rPr>
        <w:t>genes encode for γ-globin, a component of fetal hemoglobin,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known to compensate for the presence of abnormal hemoglobin in SCD and ß-thalassemia. We have observed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activation of the </w:t>
      </w:r>
      <w:r>
        <w:rPr>
          <w:rFonts w:ascii="Arial" w:cs="Arial" w:eastAsia="Arial" w:hAnsi="Arial"/>
          <w:sz w:val="17"/>
          <w:szCs w:val="17"/>
          <w:i w:val="1"/>
          <w:iCs w:val="1"/>
          <w:color w:val="auto"/>
        </w:rPr>
        <w:t>HBG1/2</w:t>
      </w:r>
      <w:r>
        <w:rPr>
          <w:rFonts w:ascii="Arial" w:cs="Arial" w:eastAsia="Arial" w:hAnsi="Arial"/>
          <w:sz w:val="17"/>
          <w:szCs w:val="17"/>
          <w:color w:val="auto"/>
        </w:rPr>
        <w:t xml:space="preserve"> genes in preclinical studies with FTX-6058. We have also observed that FTX-6058 demonstrated robust levels of fetal hemoglobin elevation with no adverse effect on important cellular health markers. We conducted additional pre-clinical profiling in CD34+ derived cells and observed that treatment with FTX-6058 increased HbF levels to approximately 30% of total hemoglobin, as measured by mass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t>spectrometry, high performance liquid chromatography, and fast protein liquid chromatography techniques. The elevation of HbF was significantly greater than we observed with hydroxyurea in the cell models.</w:t>
      </w:r>
    </w:p>
    <w:p>
      <w:pPr>
        <w:spacing w:after="0" w:line="170"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In the fourth quarter of 2020, we initiated our Phase 1 clinical trial of FTX-6058 in healthy adult volunteers. In this trial, we are evaluating the safety, tolerability and pharmacokinetics of FTX-6058. The trial is comprised of four parts. Part A is a randomized, double-blind, placebo-controlled, single ascending dose study in up to six cohorts. Part B is a randomized, double-blind, placebo-controlled, multiple ascending dose study in up to four cohorts dosed once daily for 14 days. Part C is an open label pilot food effect study in subjects randomized to take FTX-6058 with and without a high-fat meal, and Part D is an open label study to evaluate the potential of FTX-6058 to induce a liver enzyme known as CYP3A, which is involved in drug metabolism. We expect to present data from the Phase 1 clinical trial in mid-2021. In addition, we anticipate initiating a clinical trial of FTX-6058 in patients with SCD in the second half of 2021.</w:t>
      </w:r>
    </w:p>
    <w:p>
      <w:pPr>
        <w:spacing w:after="0" w:line="195"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According to the National Institutes of Health, or NIH, there are approximately 7,000 rare, genetically defined human diseases, many of which have inadequate or no approved treatments. Our current drug target identification and development efforts are focused on rare neuromuscular, muscular, hematologic and central nervous system, or CNS, disorders. We also anticipate utilizing our product engine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utilizing our product engine to discover drug targets within a targeted indication within the pulmonary disease space under our collaboration and license agreement with Acceleron Pharma Inc., or Acceleron, and for the potential treatment of certain genetically defined cardiomyopathies under our collaboration and license agreement with MyoKardia, Inc., or MyoKardia, a wholly owned subsidiary of Bristol-Myers Squibb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designed our proprietary product engine with potential application across a broad array of genetically defined diseases with a known root cause.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168910</wp:posOffset>
            </wp:positionV>
            <wp:extent cx="5760720" cy="279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We are leveraging the broad applicability of our proprietary product engine to discover and develop small molecule therapies that modulate gene expression to address the known root cause of genetically defined rare diseases in areas of high unmet medical need. We believe that our initial product candidates for the treatment of FSHD, SCD and ß-thalassemia may have the potential to treat patients with these debilitating and, in some cases, life-threatening and novel illnesses. The key components of our strategy include:</w:t>
      </w:r>
    </w:p>
    <w:p>
      <w:pPr>
        <w:spacing w:after="0" w:line="79" w:lineRule="exact"/>
        <w:rPr>
          <w:sz w:val="20"/>
          <w:szCs w:val="20"/>
          <w:color w:val="auto"/>
        </w:rPr>
      </w:pPr>
    </w:p>
    <w:p>
      <w:pPr>
        <w:ind w:left="960" w:right="100" w:hanging="412"/>
        <w:spacing w:after="0" w:line="30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develop losmapimod for the treatment of FSHD. </w:t>
      </w:r>
      <w:r>
        <w:rPr>
          <w:rFonts w:ascii="Arial" w:cs="Arial" w:eastAsia="Arial" w:hAnsi="Arial"/>
          <w:sz w:val="16"/>
          <w:szCs w:val="16"/>
          <w:color w:val="auto"/>
        </w:rPr>
        <w:t>We aim to rapidly develop losmapimod for the treatment of FSHD through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regulatory approval. We initiated a randomized, double-blind placebo-controlled multicenter international Phase 2b clinical trial of losmapimod, or ReDUX4, in August 2019 and, subject to positive results, plan to meet with regulators to discuss the potential to pursue accelerated approval given the significant unmet medical need in FSHD and the absence of approved therapies for patients.</w:t>
      </w:r>
    </w:p>
    <w:p>
      <w:pPr>
        <w:spacing w:after="0" w:line="49" w:lineRule="exact"/>
        <w:rPr>
          <w:rFonts w:ascii="Arial" w:cs="Arial" w:eastAsia="Arial" w:hAnsi="Arial"/>
          <w:sz w:val="16"/>
          <w:szCs w:val="16"/>
          <w:color w:val="auto"/>
        </w:rPr>
      </w:pPr>
    </w:p>
    <w:p>
      <w:pPr>
        <w:ind w:left="960" w:right="80" w:hanging="412"/>
        <w:spacing w:after="0" w:line="342"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Rapidly develop FTX-6058 for the treatment of select hemoglobinopathies. </w:t>
      </w:r>
      <w:r>
        <w:rPr>
          <w:rFonts w:ascii="Arial" w:cs="Arial" w:eastAsia="Arial" w:hAnsi="Arial"/>
          <w:sz w:val="16"/>
          <w:szCs w:val="16"/>
          <w:color w:val="auto"/>
        </w:rPr>
        <w:t>We have initiated a Phase 1 clinical trial of FTX-6058 in healthy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adult volunteers and, subject to positive results, plan to initiate a clinical trial of FTX-6058 in patients with SCD in the second half of 2021.</w:t>
      </w:r>
    </w:p>
    <w:p>
      <w:pPr>
        <w:spacing w:after="0" w:line="15" w:lineRule="exact"/>
        <w:rPr>
          <w:rFonts w:ascii="Arial" w:cs="Arial" w:eastAsia="Arial" w:hAnsi="Arial"/>
          <w:sz w:val="16"/>
          <w:szCs w:val="16"/>
          <w:color w:val="auto"/>
        </w:rPr>
      </w:pPr>
    </w:p>
    <w:p>
      <w:pPr>
        <w:ind w:left="960" w:right="240" w:hanging="412"/>
        <w:spacing w:after="0" w:line="30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apply our proprietary product engine to grow our portfolio of product candidates for the treatment of genetically defined diseases. </w:t>
      </w:r>
      <w:r>
        <w:rPr>
          <w:rFonts w:ascii="Arial" w:cs="Arial" w:eastAsia="Arial" w:hAnsi="Arial"/>
          <w:sz w:val="16"/>
          <w:szCs w:val="16"/>
          <w:color w:val="auto"/>
        </w:rPr>
        <w:t>We have developed a rigorous assessment and selection process to determine which of the approximately 7,000 rare, genetically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defined diseases we intend to evaluate in drug target identification activities. We are applying our product engine to discover drug targets to modulate gene expression and develop product candidates for the potential treatment of the root cause of disease.</w:t>
      </w:r>
    </w:p>
    <w:p>
      <w:pPr>
        <w:spacing w:after="0" w:line="49" w:lineRule="exact"/>
        <w:rPr>
          <w:rFonts w:ascii="Arial" w:cs="Arial" w:eastAsia="Arial" w:hAnsi="Arial"/>
          <w:sz w:val="16"/>
          <w:szCs w:val="16"/>
          <w:color w:val="auto"/>
        </w:rPr>
      </w:pPr>
    </w:p>
    <w:p>
      <w:pPr>
        <w:ind w:left="960" w:right="140" w:hanging="412"/>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expand our product engine capabilities. </w:t>
      </w:r>
      <w:r>
        <w:rPr>
          <w:rFonts w:ascii="Arial" w:cs="Arial" w:eastAsia="Arial" w:hAnsi="Arial"/>
          <w:sz w:val="16"/>
          <w:szCs w:val="16"/>
          <w:color w:val="auto"/>
        </w:rPr>
        <w:t>Our product engine incorporates patient-derived cell lines and/or other relevant human cell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lines, our annotated small molecule compound library and customized CRISPR or RNAi libraries. We intend to further expand our product engine capabilities, including FulcrumSeek, to enhance the therapeutic reach and productivity of our drug discovery process.</w:t>
      </w:r>
    </w:p>
    <w:p>
      <w:pPr>
        <w:spacing w:after="0" w:line="40" w:lineRule="exact"/>
        <w:rPr>
          <w:rFonts w:ascii="Arial" w:cs="Arial" w:eastAsia="Arial" w:hAnsi="Arial"/>
          <w:sz w:val="16"/>
          <w:szCs w:val="16"/>
          <w:color w:val="auto"/>
        </w:rPr>
      </w:pPr>
    </w:p>
    <w:p>
      <w:pPr>
        <w:ind w:left="960" w:right="80" w:hanging="412"/>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commercial potential of our product candidates. </w:t>
      </w:r>
      <w:r>
        <w:rPr>
          <w:rFonts w:ascii="Arial" w:cs="Arial" w:eastAsia="Arial" w:hAnsi="Arial"/>
          <w:sz w:val="18"/>
          <w:szCs w:val="18"/>
          <w:color w:val="auto"/>
        </w:rPr>
        <w:t>We have retained all rights to our lead product candidates focused on rare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genetically defined diseases, and plan to commercialize any approved product for such rare genetically defined diseases using a targeted sales infrastructure. We may in the future pursue commercialization partnerships for certain product candidates and/or markets outside the United States.</w:t>
      </w:r>
    </w:p>
    <w:p>
      <w:pPr>
        <w:spacing w:after="0" w:line="78" w:lineRule="exact"/>
        <w:rPr>
          <w:rFonts w:ascii="Arial" w:cs="Arial" w:eastAsia="Arial" w:hAnsi="Arial"/>
          <w:sz w:val="18"/>
          <w:szCs w:val="18"/>
          <w:color w:val="auto"/>
        </w:rPr>
      </w:pPr>
    </w:p>
    <w:p>
      <w:pPr>
        <w:ind w:left="960" w:right="80" w:hanging="412"/>
        <w:spacing w:after="0" w:line="30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Selectively enter into strategic partnerships to maximize the value of our product engine and pipeline. </w:t>
      </w:r>
      <w:r>
        <w:rPr>
          <w:rFonts w:ascii="Arial" w:cs="Arial" w:eastAsia="Arial" w:hAnsi="Arial"/>
          <w:sz w:val="16"/>
          <w:szCs w:val="16"/>
          <w:color w:val="auto"/>
        </w:rPr>
        <w:t>Given the breadth of opportunities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proprietary product engine to discover drug targets and develop product candidates for genetically defined diseases, we may enter into strategic partnerships for certain drug targets, product candidates or disease areas, such as our collaboration and license agreements with Acceleron and MyoKardia. Partnerships may provide an attractive avenue for expanding the impact of our proprietary product engine.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 Regulation</w:t>
      </w:r>
    </w:p>
    <w:p>
      <w:pPr>
        <w:spacing w:after="0" w:line="121"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aberrant expression or silencing of a gene that may lead to disease.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ind w:right="420" w:firstLine="546"/>
        <w:spacing w:after="0" w:line="277" w:lineRule="auto"/>
        <w:rPr>
          <w:sz w:val="20"/>
          <w:szCs w:val="20"/>
          <w:color w:val="auto"/>
        </w:rPr>
      </w:pPr>
      <w:r>
        <w:rPr>
          <w:rFonts w:ascii="Arial" w:cs="Arial" w:eastAsia="Arial" w:hAnsi="Arial"/>
          <w:sz w:val="18"/>
          <w:szCs w:val="18"/>
          <w:color w:val="auto"/>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134620</wp:posOffset>
            </wp:positionV>
            <wp:extent cx="5726430" cy="3703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2643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Opportunity</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We have the ability to develop, scale and characterize complex cellular models of human disorders of gene mis-regulation. Our current drug target identification and development efforts are focused on rare neuromuscular, muscular, hematologic and CNS disorders. We also anticipate utilizing our product engine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 defined diseases with 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78"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We are continuing to expand our proprietary database, FulcrumSeek, which is designed to facilitate the process by which we assess diseases and generate drug target hypotheses through our computational biology expertise. We screen our proprietary small molecule library and customized CRISPR or RNAi libraries across healthy and diseased human cells, such as skeletal muscle cells, cardiac muscle cells, brain cells and blood cells. Our FulcrumSeek database is designed to provide a unique understanding into gene regulatory and signaling pathways that may be relevant for the activation or repression of a particular gene associated with the disease of interest. To achieve this, we profile many features that are impacted when a cell of interest is treated with a perturbagen, such as a small molecule probe, CRISPR guide, small interfering RNA, or microRNAs. These features include a comprehensive assessment of transcripts that are modulated (quantified by RNA sequencing, or RNAseq) and cellular processes that are measured by imaging techniques. We expect that the data from these screens will allow us to develop a broader understanding of biology that may be relevant in disease. With the completion of each additional screening, FulcrumSeek increases in size, and our insights and knowledge are further expanded. Moreover, with the initiation of our collaborations with Acceleron and MyoKardia, we are further demonstrating the scope of our disease modeling and target identification capabilities with the expansion into pulmonary and cardiovascular disease.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160" w:firstLine="546"/>
        <w:spacing w:after="0" w:line="301" w:lineRule="auto"/>
        <w:rPr>
          <w:sz w:val="20"/>
          <w:szCs w:val="20"/>
          <w:color w:val="auto"/>
        </w:rPr>
      </w:pPr>
      <w:r>
        <w:rPr>
          <w:rFonts w:ascii="Arial" w:cs="Arial" w:eastAsia="Arial" w:hAnsi="Arial"/>
          <w:sz w:val="16"/>
          <w:szCs w:val="16"/>
          <w:color w:val="auto"/>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mining our FulcrumSeek database or screening with our proprietary small molecule library and customized CRISPR or RNAi libraries, could be broadly applied to the identification of drug targets that have the potential to balance the expression of many genes known to drive or ameliorate disease.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right="300" w:firstLine="546"/>
        <w:spacing w:after="0" w:line="259" w:lineRule="auto"/>
        <w:rPr>
          <w:sz w:val="20"/>
          <w:szCs w:val="20"/>
          <w:color w:val="auto"/>
        </w:rPr>
      </w:pPr>
      <w:r>
        <w:rPr>
          <w:rFonts w:ascii="Arial" w:cs="Arial" w:eastAsia="Arial" w:hAnsi="Arial"/>
          <w:sz w:val="18"/>
          <w:szCs w:val="18"/>
          <w:color w:val="auto"/>
        </w:rPr>
        <w:t>The ability to intervene in gene regulatory pathways that control gene expression provides the basis of our product engine.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79" w:lineRule="exact"/>
        <w:rPr>
          <w:sz w:val="20"/>
          <w:szCs w:val="20"/>
          <w:color w:val="auto"/>
        </w:rPr>
      </w:pPr>
    </w:p>
    <w:p>
      <w:pPr>
        <w:ind w:left="960" w:right="640" w:hanging="41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Unmet medical need and market opportunity</w:t>
      </w:r>
      <w:r>
        <w:rPr>
          <w:rFonts w:ascii="Arial" w:cs="Arial" w:eastAsia="Arial" w:hAnsi="Arial"/>
          <w:sz w:val="18"/>
          <w:szCs w:val="18"/>
          <w:color w:val="auto"/>
        </w:rPr>
        <w:t>: we consider the severity of disease, the number of patients who could be treated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landscape.</w:t>
      </w:r>
    </w:p>
    <w:p>
      <w:pPr>
        <w:spacing w:after="0" w:line="62"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Clear mechanistic link between a root cause genetic defect and disease</w:t>
      </w:r>
      <w:r>
        <w:rPr>
          <w:rFonts w:ascii="Arial" w:cs="Arial" w:eastAsia="Arial" w:hAnsi="Arial"/>
          <w:sz w:val="18"/>
          <w:szCs w:val="18"/>
          <w:color w:val="auto"/>
        </w:rPr>
        <w:t>: we evaluate whether there is genetic validation of the gene’s role in</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and the effect of gene modulation on disease.</w:t>
      </w:r>
    </w:p>
    <w:p>
      <w:pPr>
        <w:spacing w:after="0" w:line="62" w:lineRule="exact"/>
        <w:rPr>
          <w:rFonts w:ascii="Arial" w:cs="Arial" w:eastAsia="Arial" w:hAnsi="Arial"/>
          <w:sz w:val="18"/>
          <w:szCs w:val="18"/>
          <w:color w:val="auto"/>
        </w:rPr>
      </w:pPr>
    </w:p>
    <w:p>
      <w:pPr>
        <w:ind w:left="960" w:right="260" w:hanging="41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Drug discovery execution</w:t>
      </w:r>
      <w:r>
        <w:rPr>
          <w:rFonts w:ascii="Arial" w:cs="Arial" w:eastAsia="Arial" w:hAnsi="Arial"/>
          <w:sz w:val="18"/>
          <w:szCs w:val="18"/>
          <w:color w:val="auto"/>
        </w:rPr>
        <w:t>: we consider whether relevant patient-derived, tissue-specific cell models and assays are available or whether we</w:t>
      </w:r>
      <w:r>
        <w:rPr>
          <w:rFonts w:ascii="Arial" w:cs="Arial" w:eastAsia="Arial" w:hAnsi="Arial"/>
          <w:sz w:val="18"/>
          <w:szCs w:val="18"/>
          <w:i w:val="1"/>
          <w:iCs w:val="1"/>
          <w:color w:val="auto"/>
        </w:rPr>
        <w:t xml:space="preserve"> </w:t>
      </w:r>
      <w:r>
        <w:rPr>
          <w:rFonts w:ascii="Arial" w:cs="Arial" w:eastAsia="Arial" w:hAnsi="Arial"/>
          <w:sz w:val="18"/>
          <w:szCs w:val="18"/>
          <w:color w:val="auto"/>
        </w:rPr>
        <w:t>can develop such models using our expertise.</w:t>
      </w:r>
    </w:p>
    <w:p>
      <w:pPr>
        <w:spacing w:after="0" w:line="62"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Clinical feasibility</w:t>
      </w:r>
      <w:r>
        <w:rPr>
          <w:rFonts w:ascii="Arial" w:cs="Arial" w:eastAsia="Arial" w:hAnsi="Arial"/>
          <w:sz w:val="18"/>
          <w:szCs w:val="18"/>
          <w:color w:val="auto"/>
        </w:rPr>
        <w:t>: we evaluate potential biomarker and clinical endpoints, whether there is a meaningful treatment window and whether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an accessible patient population to undertake clinical trials in a reasonable time frame.</w:t>
      </w:r>
    </w:p>
    <w:p>
      <w:pPr>
        <w:spacing w:after="0" w:line="170"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Our product engine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6"/>
          <w:szCs w:val="16"/>
          <w:i w:val="1"/>
          <w:iCs w:val="1"/>
          <w:color w:val="auto"/>
        </w:rPr>
        <w:t>e.g., DUX4</w:t>
      </w:r>
      <w:r>
        <w:rPr>
          <w:rFonts w:ascii="Arial" w:cs="Arial" w:eastAsia="Arial" w:hAnsi="Arial"/>
          <w:sz w:val="16"/>
          <w:szCs w:val="16"/>
          <w:color w:val="auto"/>
        </w:rPr>
        <w:t xml:space="preserve"> in FSHD), increasing the expression of an under-expressed gene or expressing a compensatory gene (</w:t>
      </w:r>
      <w:r>
        <w:rPr>
          <w:rFonts w:ascii="Arial" w:cs="Arial" w:eastAsia="Arial" w:hAnsi="Arial"/>
          <w:sz w:val="16"/>
          <w:szCs w:val="16"/>
          <w:i w:val="1"/>
          <w:iCs w:val="1"/>
          <w:color w:val="auto"/>
        </w:rPr>
        <w:t>e.g., HBG1/2</w:t>
      </w:r>
      <w:r>
        <w:rPr>
          <w:rFonts w:ascii="Arial" w:cs="Arial" w:eastAsia="Arial" w:hAnsi="Arial"/>
          <w:sz w:val="16"/>
          <w:szCs w:val="16"/>
          <w:color w:val="auto"/>
        </w:rPr>
        <w:t xml:space="preserve"> in SCD and ß-thalassemia).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Our Product Engine</w:t>
      </w:r>
    </w:p>
    <w:p>
      <w:pPr>
        <w:spacing w:after="0" w:line="117"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Our product engine is a high-throughput discovery platform that we designed to identify and validate drug targets that balance the expression of the genes known to drive or ameliorate root cause biology. We obtain patient-derived, tissue-relevant cell lines or other relevant human cell lines. We then differentiate these cell lines into those most relevant for the disease pathology, including skeletal muscle myotubes, cardiomyocytes, neurons, RBCs, or other cell lines of interest, which we then scale up, characterize and prepare for screening. We also generate methods to quantify the desired modulation of expression of the gene of interest in these cell lines. We apply our annotated small molecule compound library and customized CRISPR or RNAi libraries to the cells to assess for the desired modulation. We have continued to build our capabilities to maximally profile changes in transcription that occur when relevant cells are treated with small molecules or genetic reagents. In addition to profiling a specific gene of interest, we can evaluate multiple genes of potential interest through multiplexed transcriptome profiling to assess effects on root cause biology. FulcrumSeek is a further expansion of this concept, where thousands of transcripts can be measured, and additional features of cellular health and function can be assessed using high-throughput imaging techniques. Our screening approach, coupled with data mining of FulcrumSeek, is the basis of our target identification strategy.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such as machine learning algorithms, using our FulcrumSeek database and other databases to guide drug target selection and generate hypotheses on other drug targets that might be related along a gene regulatory pathway.</w:t>
      </w:r>
    </w:p>
    <w:p>
      <w:pPr>
        <w:spacing w:after="0" w:line="184" w:lineRule="exact"/>
        <w:rPr>
          <w:sz w:val="20"/>
          <w:szCs w:val="20"/>
          <w:color w:val="auto"/>
        </w:rPr>
      </w:pPr>
    </w:p>
    <w:p>
      <w:pPr>
        <w:ind w:right="180" w:firstLine="546"/>
        <w:spacing w:after="0" w:line="257" w:lineRule="auto"/>
        <w:rPr>
          <w:sz w:val="20"/>
          <w:szCs w:val="20"/>
          <w:color w:val="auto"/>
        </w:rPr>
      </w:pPr>
      <w:r>
        <w:rPr>
          <w:rFonts w:ascii="Arial" w:cs="Arial" w:eastAsia="Arial" w:hAnsi="Arial"/>
          <w:sz w:val="18"/>
          <w:szCs w:val="18"/>
          <w:color w:val="auto"/>
        </w:rPr>
        <w:t>To further optimize and increase productivity of our product engine, we have continued to invest in customized lab automation and applied technologies. We believe that these investments have increased assay throughput and robustness and have expanded the breadth of biological parameters we can effectively measure in our assay systems. The first-generation of our product engine was focused on single gene readouts, simple immunocytochemistry, and one-dimensional data analysis focused on an individual gene of interest. With continued investment in the product engine, we have enabled our next-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280"/>
        <w:spacing w:after="0" w:line="277" w:lineRule="auto"/>
        <w:rPr>
          <w:sz w:val="20"/>
          <w:szCs w:val="20"/>
          <w:color w:val="auto"/>
        </w:rPr>
      </w:pPr>
      <w:r>
        <w:rPr>
          <w:rFonts w:ascii="Arial" w:cs="Arial" w:eastAsia="Arial" w:hAnsi="Arial"/>
          <w:sz w:val="18"/>
          <w:szCs w:val="18"/>
          <w:color w:val="auto"/>
        </w:rPr>
        <w:t>generation product engine which utilizes RNAseq, high-content imaging, and machine learning. We believe that this next-generation product engine enables drug target screening at scale in physiologically relevant assay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271780</wp:posOffset>
            </wp:positionV>
            <wp:extent cx="5700395" cy="2726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firstLine="600"/>
        <w:spacing w:after="0" w:line="263" w:lineRule="auto"/>
        <w:rPr>
          <w:sz w:val="20"/>
          <w:szCs w:val="20"/>
          <w:color w:val="auto"/>
        </w:rPr>
      </w:pPr>
      <w:r>
        <w:rPr>
          <w:rFonts w:ascii="Arial" w:cs="Arial" w:eastAsia="Arial" w:hAnsi="Arial"/>
          <w:sz w:val="18"/>
          <w:szCs w:val="18"/>
          <w:color w:val="auto"/>
        </w:rPr>
        <w:t>We designed our discovery and development model to recapitulate this systematic approach of applying our product engine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142875</wp:posOffset>
            </wp:positionV>
            <wp:extent cx="5692140" cy="2108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921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320" w:top="557" w:right="619" w:bottom="1440" w:gutter="0" w:footer="0" w:header="0"/>
        </w:sectPr>
      </w:pPr>
    </w:p>
    <w:bookmarkStart w:id="12" w:name="page13"/>
    <w:bookmarkEnd w:id="12"/>
    <w:p>
      <w:pPr>
        <w:ind w:firstLine="546"/>
        <w:spacing w:after="0" w:line="254" w:lineRule="auto"/>
        <w:rPr>
          <w:sz w:val="20"/>
          <w:szCs w:val="20"/>
          <w:color w:val="auto"/>
        </w:rPr>
      </w:pPr>
      <w:r>
        <w:rPr>
          <w:rFonts w:ascii="Arial" w:cs="Arial" w:eastAsia="Arial" w:hAnsi="Arial"/>
          <w:sz w:val="18"/>
          <w:szCs w:val="18"/>
          <w:color w:val="auto"/>
        </w:rPr>
        <w:t>Importantly, we designed our next-generation product engine to iteratively and systematically explore disease or indication areas of interest by incorporating both preclinical and clinical data related to potential drug targets. In the case of heterogeneous diseases, this iterative and systematic approach enables us to explore diseases with less defined root cause genes, and instead screen for targets that modulate root cause biology. This approach not only enables us to validate the translatability of our preclinical models to the clinic, but also enables us to generate unique clinical biology insights utilizing public and proprietary clinical datasets, that can be further queried by our FulcrumSeek database or incorporated into our preclinical disease models. As a result, we believe that our next-generation product engine greatly expands the number of diseases that we can potentially interrogate using our screening approach.</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Patient-Derived Tissue-Relevant Cell Models</w:t>
      </w:r>
    </w:p>
    <w:p>
      <w:pPr>
        <w:spacing w:after="0" w:line="117"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Accurate modeling of human disease is critical for drug discovery endeavors, and we have the ability to model disease and identify drug targets that modulate gene expression in patient-derived, differentiated cells. These cells provide the appropriate context in which to understand signaling pathways that affect human gene expression and function, and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177" w:lineRule="exact"/>
        <w:rPr>
          <w:sz w:val="20"/>
          <w:szCs w:val="20"/>
          <w:color w:val="auto"/>
        </w:rPr>
      </w:pPr>
    </w:p>
    <w:p>
      <w:pPr>
        <w:ind w:right="220" w:firstLine="546"/>
        <w:spacing w:after="0" w:line="308" w:lineRule="auto"/>
        <w:rPr>
          <w:sz w:val="20"/>
          <w:szCs w:val="20"/>
          <w:color w:val="auto"/>
        </w:rPr>
      </w:pPr>
      <w:r>
        <w:rPr>
          <w:rFonts w:ascii="Arial" w:cs="Arial" w:eastAsia="Arial" w:hAnsi="Arial"/>
          <w:sz w:val="17"/>
          <w:szCs w:val="17"/>
          <w:color w:val="auto"/>
        </w:rPr>
        <w:t>Our process to characterize patient-derived cell models, produce cells at scale and develop suitable screens to identify drug targets typically takes between six and nine months. Depending on the disease, we may design the screen to measure effects on RNA and/or protein.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Identification</w:t>
      </w:r>
    </w:p>
    <w:p>
      <w:pPr>
        <w:spacing w:after="0" w:line="117" w:lineRule="exact"/>
        <w:rPr>
          <w:sz w:val="20"/>
          <w:szCs w:val="20"/>
          <w:color w:val="auto"/>
        </w:rPr>
      </w:pPr>
    </w:p>
    <w:p>
      <w:pPr>
        <w:ind w:right="200" w:firstLine="546"/>
        <w:spacing w:after="0" w:line="286" w:lineRule="auto"/>
        <w:rPr>
          <w:sz w:val="20"/>
          <w:szCs w:val="20"/>
          <w:color w:val="auto"/>
        </w:rPr>
      </w:pPr>
      <w:r>
        <w:rPr>
          <w:rFonts w:ascii="Arial" w:cs="Arial" w:eastAsia="Arial" w:hAnsi="Arial"/>
          <w:sz w:val="17"/>
          <w:szCs w:val="17"/>
          <w:color w:val="auto"/>
        </w:rPr>
        <w:t>We employ three approaches to identify drug targets that can potentially modulate gene expression to treat genetically defined diseases at the root cause—two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Small Molecule Probe Library Screening</w:t>
      </w:r>
    </w:p>
    <w:p>
      <w:pPr>
        <w:spacing w:after="0" w:line="117"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genes of interest. We designed our library with the intent to optimize biological diversity, in contrast with other small molecule screening approaches that optimize chemical diversity. The library was developed by our medicinal chemists who reviewed primary and patent literature to identify probe molecules that interact with known biochemical targets. They selected chemical probes based on their cellular activity, potency and selectivity. In order to expand our library beyond commercially-available small molecules, we undertook a custom synthesis campaign to generate compounds that were not available from commercial sources. Our library currently includes more than 6,000 small molecules relating to approximately 2,500 biochemical targets covering a wide breadth of pharmacology, including chromatin modifiers, transcription regulation and RNA processing, kinases and metabolic enzymes. Our library will continue to expand as we identify and acquire new mechanistic probes.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Genetic Screening</w:t>
      </w:r>
    </w:p>
    <w:p>
      <w:pPr>
        <w:spacing w:after="0" w:line="117"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We may also use a customized CRISPR or RNAi library screening, which is an approach to interrogate the genome by selectively knocking out, reducing or increasing gene expression, for target identification. We have chosen to use CRISPR and RNAi libraries as complementary or additional screening tools for drug target identification alongside our small molecule screening approach. We use both an array-based CRISPR library and our pooled, custom-designed CRISPR library. Pooled CRISPR screening is an approach to target identification in which we combine cells and reagents in a single tube to simplify the experimental procedures. Pooled CRISPR screening is not suitable for all cell types, and we use array-based CRISPR screening where appropriate. Additionally, we utilize RNAi libraries where CRISPR libraries cannot be employed in the cell type of interest. Specific targets that modulate the gene of interest can be identified via CRISPR or RNAi library screening, and these targets can then be validated for our drug discovery endeavors. If small molecules that interact with these targets are identified from the literature, they are then obtained for further pharmacological validation. If no known chemical matter is available, we may establish a screen to identify chemical matter that interacts with the drug target. This chemical matter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would serve as a starting point for medicinal chemistry work. Alternatively, we may seek partnerships for development using other modalities.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FulcrumSeek and Computational Biology</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FulcrumSeek is our proprietary database containing profiles of the effect of perturbagens, or disruptions to cellular processes, on disease-relevant, human derived cell systems. The features captured in this database consist of measures of gene regulation on thousands of genes, and other important assessments of cellular function and health. The primary role of FulcrumSeek and our computational biology capabilities is to generate drug target and biomarker hypotheses using externally generated patient data and internal screening data. We can use FulcrumSeek to aid in the selection of diseases that we may want to consider for a discovery program. Our database and analysis can provide information as to which genes are modulated by our perturbagens and which genes may be difficult to modulate. This information is then integrated into our decision-making process for disease selection. Using FulcrumSeek,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modulate the root cause gene or root cause biology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141605</wp:posOffset>
            </wp:positionV>
            <wp:extent cx="5700395" cy="1680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Target Validation</w:t>
      </w:r>
    </w:p>
    <w:p>
      <w:pPr>
        <w:spacing w:after="0" w:line="117"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important elements of our systematic approach to drug target validation include:</w:t>
      </w:r>
    </w:p>
    <w:p>
      <w:pPr>
        <w:spacing w:after="0" w:line="117" w:lineRule="exact"/>
        <w:rPr>
          <w:sz w:val="20"/>
          <w:szCs w:val="20"/>
          <w:color w:val="auto"/>
        </w:rPr>
      </w:pPr>
    </w:p>
    <w:p>
      <w:pPr>
        <w:ind w:left="960" w:right="260" w:hanging="41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Evaluation of different treatment modalities to interact with the drug target: </w:t>
      </w:r>
      <w:r>
        <w:rPr>
          <w:rFonts w:ascii="Arial" w:cs="Arial" w:eastAsia="Arial" w:hAnsi="Arial"/>
          <w:sz w:val="18"/>
          <w:szCs w:val="18"/>
          <w:color w:val="auto"/>
        </w:rPr>
        <w:t>we evaluate whether small molecules and genomic modulation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approaches similarly affect expression of the gene of interest.</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Efficacy: </w:t>
      </w:r>
      <w:r>
        <w:rPr>
          <w:rFonts w:ascii="Arial" w:cs="Arial" w:eastAsia="Arial" w:hAnsi="Arial"/>
          <w:sz w:val="18"/>
          <w:szCs w:val="18"/>
          <w:color w:val="auto"/>
        </w:rPr>
        <w:t>we attempt to establish a link between the identified drug target and the level of the expression of the gene of interest.</w:t>
      </w:r>
    </w:p>
    <w:p>
      <w:pPr>
        <w:spacing w:after="0" w:line="144"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we evaluate whether modulation of the target and the resulting changes in gene expression cause undesired effects, including an</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of cell health markers to ensure there is minimal cellular toxicity.</w:t>
      </w:r>
    </w:p>
    <w:p>
      <w:pPr>
        <w:spacing w:after="0" w:line="62" w:lineRule="exact"/>
        <w:rPr>
          <w:rFonts w:ascii="Arial" w:cs="Arial" w:eastAsia="Arial" w:hAnsi="Arial"/>
          <w:sz w:val="18"/>
          <w:szCs w:val="18"/>
          <w:color w:val="auto"/>
        </w:rPr>
      </w:pPr>
    </w:p>
    <w:p>
      <w:pPr>
        <w:ind w:left="960" w:right="380" w:hanging="41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Profiling cell lines from multiple patients: </w:t>
      </w:r>
      <w:r>
        <w:rPr>
          <w:rFonts w:ascii="Arial" w:cs="Arial" w:eastAsia="Arial" w:hAnsi="Arial"/>
          <w:sz w:val="18"/>
          <w:szCs w:val="18"/>
          <w:color w:val="auto"/>
        </w:rPr>
        <w:t>we analyze the modulation of the drug target to determine whether the original cell line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screen targets is representative of disease in other patients.</w:t>
      </w:r>
    </w:p>
    <w:p>
      <w:pPr>
        <w:spacing w:after="0" w:line="62"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Verification: </w:t>
      </w:r>
      <w:r>
        <w:rPr>
          <w:rFonts w:ascii="Arial" w:cs="Arial" w:eastAsia="Arial" w:hAnsi="Arial"/>
          <w:sz w:val="18"/>
          <w:szCs w:val="18"/>
          <w:color w:val="auto"/>
        </w:rPr>
        <w:t>we conduct studies designed to ensure that the modulation of the drug target and the resulting change in gene expression leads to</w:t>
      </w:r>
      <w:r>
        <w:rPr>
          <w:rFonts w:ascii="Arial" w:cs="Arial" w:eastAsia="Arial" w:hAnsi="Arial"/>
          <w:sz w:val="18"/>
          <w:szCs w:val="18"/>
          <w:i w:val="1"/>
          <w:iCs w:val="1"/>
          <w:color w:val="auto"/>
        </w:rPr>
        <w:t xml:space="preserve"> </w:t>
      </w:r>
      <w:r>
        <w:rPr>
          <w:rFonts w:ascii="Arial" w:cs="Arial" w:eastAsia="Arial" w:hAnsi="Arial"/>
          <w:sz w:val="18"/>
          <w:szCs w:val="18"/>
          <w:color w:val="auto"/>
        </w:rPr>
        <w:t>a desired functional effect.</w:t>
      </w:r>
    </w:p>
    <w:p>
      <w:pPr>
        <w:spacing w:after="0" w:line="62"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Prioritization: </w:t>
      </w:r>
      <w:r>
        <w:rPr>
          <w:rFonts w:ascii="Arial" w:cs="Arial" w:eastAsia="Arial" w:hAnsi="Arial"/>
          <w:sz w:val="18"/>
          <w:szCs w:val="18"/>
          <w:color w:val="auto"/>
        </w:rPr>
        <w:t>we prioritize drug targets based on our assessment of our ability to deliver a candidate for clinical development based on that</w:t>
      </w:r>
      <w:r>
        <w:rPr>
          <w:rFonts w:ascii="Arial" w:cs="Arial" w:eastAsia="Arial" w:hAnsi="Arial"/>
          <w:sz w:val="18"/>
          <w:szCs w:val="18"/>
          <w:i w:val="1"/>
          <w:iCs w:val="1"/>
          <w:color w:val="auto"/>
        </w:rPr>
        <w:t xml:space="preserve"> </w:t>
      </w:r>
      <w:r>
        <w:rPr>
          <w:rFonts w:ascii="Arial" w:cs="Arial" w:eastAsia="Arial" w:hAnsi="Arial"/>
          <w:sz w:val="18"/>
          <w:szCs w:val="18"/>
          <w:color w:val="auto"/>
        </w:rPr>
        <w:t>target.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Development Candidate Discovery and Characterization</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pharmacokinetic, or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p38α/ß enabled us to rapidly identify our product candidate for the treatment of FSHD.</w:t>
      </w:r>
    </w:p>
    <w:p>
      <w:pPr>
        <w:spacing w:after="0" w:line="192"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 enable us to understand if the activity of the molecule differs among cells with different genetic subtypes, or if a patient stratification strategy is appropriate for clinical trials.</w:t>
      </w:r>
    </w:p>
    <w:p>
      <w:pPr>
        <w:spacing w:after="0" w:line="187" w:lineRule="exact"/>
        <w:rPr>
          <w:sz w:val="20"/>
          <w:szCs w:val="20"/>
          <w:color w:val="auto"/>
        </w:rPr>
      </w:pPr>
    </w:p>
    <w:p>
      <w:pPr>
        <w:ind w:right="180" w:firstLine="546"/>
        <w:spacing w:after="0" w:line="301" w:lineRule="auto"/>
        <w:rPr>
          <w:sz w:val="20"/>
          <w:szCs w:val="20"/>
          <w:color w:val="auto"/>
        </w:rPr>
      </w:pPr>
      <w:r>
        <w:rPr>
          <w:rFonts w:ascii="Arial" w:cs="Arial" w:eastAsia="Arial" w:hAnsi="Arial"/>
          <w:sz w:val="16"/>
          <w:szCs w:val="16"/>
          <w:color w:val="auto"/>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PK-pharmacodynamic, or PK/PD, relationships that will be the basis of therapeutic index calculations and human dose projections.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Advantages of a Small Molecule Approach</w:t>
      </w:r>
    </w:p>
    <w:p>
      <w:pPr>
        <w:spacing w:after="0" w:line="117" w:lineRule="exact"/>
        <w:rPr>
          <w:sz w:val="20"/>
          <w:szCs w:val="20"/>
          <w:color w:val="auto"/>
        </w:rPr>
      </w:pPr>
    </w:p>
    <w:p>
      <w:pPr>
        <w:ind w:right="720" w:firstLine="546"/>
        <w:spacing w:after="0" w:line="277" w:lineRule="auto"/>
        <w:rPr>
          <w:sz w:val="20"/>
          <w:szCs w:val="20"/>
          <w:color w:val="auto"/>
        </w:rPr>
      </w:pPr>
      <w:r>
        <w:rPr>
          <w:rFonts w:ascii="Arial" w:cs="Arial" w:eastAsia="Arial" w:hAnsi="Arial"/>
          <w:sz w:val="18"/>
          <w:szCs w:val="18"/>
          <w:color w:val="auto"/>
        </w:rPr>
        <w:t>We believe that our approach to the treatment of genetically defined diseases using orally available, small molecule therapeutics may offer significant advantages over other treatment modalities due to:</w:t>
      </w:r>
    </w:p>
    <w:p>
      <w:pPr>
        <w:spacing w:after="0" w:line="62" w:lineRule="exact"/>
        <w:rPr>
          <w:sz w:val="20"/>
          <w:szCs w:val="20"/>
          <w:color w:val="auto"/>
        </w:rPr>
      </w:pPr>
    </w:p>
    <w:p>
      <w:pPr>
        <w:ind w:left="960" w:right="220" w:hanging="41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Biodistribution: </w:t>
      </w:r>
      <w:r>
        <w:rPr>
          <w:rFonts w:ascii="Arial" w:cs="Arial" w:eastAsia="Arial" w:hAnsi="Arial"/>
          <w:sz w:val="18"/>
          <w:szCs w:val="18"/>
          <w:color w:val="auto"/>
        </w:rPr>
        <w:t>small molecules can achieve broad distribution in the body. The ability to access tissues broadly is particularly relevant in</w:t>
      </w:r>
      <w:r>
        <w:rPr>
          <w:rFonts w:ascii="Arial" w:cs="Arial" w:eastAsia="Arial" w:hAnsi="Arial"/>
          <w:sz w:val="18"/>
          <w:szCs w:val="18"/>
          <w:i w:val="1"/>
          <w:iCs w:val="1"/>
          <w:color w:val="auto"/>
        </w:rPr>
        <w:t xml:space="preserve"> </w:t>
      </w:r>
      <w:r>
        <w:rPr>
          <w:rFonts w:ascii="Arial" w:cs="Arial" w:eastAsia="Arial" w:hAnsi="Arial"/>
          <w:sz w:val="18"/>
          <w:szCs w:val="18"/>
          <w:color w:val="auto"/>
        </w:rPr>
        <w:t>neuromuscular disorders where multiple muscles are affected by disease, or in CNS disorders where brain permeability may be limited with other treatment modalities.</w:t>
      </w:r>
    </w:p>
    <w:p>
      <w:pPr>
        <w:spacing w:after="0" w:line="75" w:lineRule="exact"/>
        <w:rPr>
          <w:rFonts w:ascii="Arial" w:cs="Arial" w:eastAsia="Arial" w:hAnsi="Arial"/>
          <w:sz w:val="18"/>
          <w:szCs w:val="18"/>
          <w:color w:val="auto"/>
        </w:rPr>
      </w:pPr>
    </w:p>
    <w:p>
      <w:pPr>
        <w:ind w:left="960" w:right="660" w:hanging="41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Tolerability: </w:t>
      </w:r>
      <w:r>
        <w:rPr>
          <w:rFonts w:ascii="Arial" w:cs="Arial" w:eastAsia="Arial" w:hAnsi="Arial"/>
          <w:sz w:val="18"/>
          <w:szCs w:val="18"/>
          <w:color w:val="auto"/>
        </w:rPr>
        <w:t>small molecules have a limited risk of immunogenicity and lack procedural risk relative to administering other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modalities, such as ASOs and gene therapies.</w:t>
      </w:r>
    </w:p>
    <w:p>
      <w:pPr>
        <w:spacing w:after="0" w:line="62" w:lineRule="exact"/>
        <w:rPr>
          <w:rFonts w:ascii="Arial" w:cs="Arial" w:eastAsia="Arial" w:hAnsi="Arial"/>
          <w:sz w:val="18"/>
          <w:szCs w:val="18"/>
          <w:color w:val="auto"/>
        </w:rPr>
      </w:pPr>
    </w:p>
    <w:p>
      <w:pPr>
        <w:ind w:left="960" w:right="400" w:hanging="412"/>
        <w:spacing w:after="0" w:line="26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and quality: </w:t>
      </w:r>
      <w:r>
        <w:rPr>
          <w:rFonts w:ascii="Arial" w:cs="Arial" w:eastAsia="Arial" w:hAnsi="Arial"/>
          <w:sz w:val="18"/>
          <w:szCs w:val="18"/>
          <w:color w:val="auto"/>
        </w:rPr>
        <w:t>the production and quality control of drug supplies for clinical development are well understood.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are generally not required, and many vendors offer services for manufacturing. We believe small molecule manufacturing may provide cost advantages relative to other modalities.</w:t>
      </w:r>
    </w:p>
    <w:p>
      <w:pPr>
        <w:spacing w:after="0" w:line="75" w:lineRule="exact"/>
        <w:rPr>
          <w:rFonts w:ascii="Arial" w:cs="Arial" w:eastAsia="Arial" w:hAnsi="Arial"/>
          <w:sz w:val="18"/>
          <w:szCs w:val="18"/>
          <w:color w:val="auto"/>
        </w:rPr>
      </w:pPr>
    </w:p>
    <w:p>
      <w:pPr>
        <w:ind w:left="960" w:right="240" w:hanging="41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Patient access: </w:t>
      </w:r>
      <w:r>
        <w:rPr>
          <w:rFonts w:ascii="Arial" w:cs="Arial" w:eastAsia="Arial" w:hAnsi="Arial"/>
          <w:sz w:val="18"/>
          <w:szCs w:val="18"/>
          <w:color w:val="auto"/>
        </w:rPr>
        <w:t>small molecule, oral medicines can be administered by the patient and do not require complicated in-patient procedures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sometimes only available in a limited number of treatment centers.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Candidates</w:t>
      </w:r>
    </w:p>
    <w:p>
      <w:pPr>
        <w:spacing w:after="0" w:line="121"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We have used our proprietary product engine and screening efforts to identify drug targets for our lead product candidates.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134620</wp:posOffset>
            </wp:positionV>
            <wp:extent cx="5760720" cy="1097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0720"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Our Product Candidate for Facioscapulohumeral Muscular Dystrophy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Facioscapulohumeral Muscular Dystrophy</w:t>
      </w:r>
    </w:p>
    <w:p>
      <w:pPr>
        <w:spacing w:after="0" w:line="117" w:lineRule="exact"/>
        <w:rPr>
          <w:sz w:val="20"/>
          <w:szCs w:val="20"/>
          <w:color w:val="auto"/>
        </w:rPr>
      </w:pPr>
    </w:p>
    <w:p>
      <w:pPr>
        <w:ind w:right="140" w:firstLine="546"/>
        <w:spacing w:after="0" w:line="291" w:lineRule="auto"/>
        <w:rPr>
          <w:sz w:val="20"/>
          <w:szCs w:val="20"/>
          <w:color w:val="auto"/>
        </w:rPr>
      </w:pPr>
      <w:r>
        <w:rPr>
          <w:rFonts w:ascii="Arial" w:cs="Arial" w:eastAsia="Arial" w:hAnsi="Arial"/>
          <w:sz w:val="16"/>
          <w:szCs w:val="16"/>
          <w:color w:val="auto"/>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66" w:lineRule="exact"/>
        <w:rPr>
          <w:sz w:val="20"/>
          <w:szCs w:val="20"/>
          <w:color w:val="auto"/>
        </w:rPr>
      </w:pPr>
    </w:p>
    <w:p>
      <w:pPr>
        <w:ind w:right="120" w:firstLine="546"/>
        <w:spacing w:after="0" w:line="296" w:lineRule="auto"/>
        <w:rPr>
          <w:sz w:val="20"/>
          <w:szCs w:val="20"/>
          <w:color w:val="auto"/>
        </w:rPr>
      </w:pPr>
      <w:r>
        <w:rPr>
          <w:rFonts w:ascii="Arial" w:cs="Arial" w:eastAsia="Arial" w:hAnsi="Arial"/>
          <w:sz w:val="16"/>
          <w:szCs w:val="16"/>
          <w:color w:val="auto"/>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FSHD Biology</w:t>
      </w:r>
    </w:p>
    <w:p>
      <w:pPr>
        <w:spacing w:after="0" w:line="117"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 xml:space="preserve">FSHD is caused by aberrant expression of </w:t>
      </w:r>
      <w:r>
        <w:rPr>
          <w:rFonts w:ascii="Arial" w:cs="Arial" w:eastAsia="Arial" w:hAnsi="Arial"/>
          <w:sz w:val="16"/>
          <w:szCs w:val="16"/>
          <w:i w:val="1"/>
          <w:iCs w:val="1"/>
          <w:color w:val="auto"/>
        </w:rPr>
        <w:t>DUX4</w:t>
      </w:r>
      <w:r>
        <w:rPr>
          <w:rFonts w:ascii="Arial" w:cs="Arial" w:eastAsia="Arial" w:hAnsi="Arial"/>
          <w:sz w:val="16"/>
          <w:szCs w:val="16"/>
          <w:color w:val="auto"/>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is silenced. In patients with FSHD, aberrant production of DUX4 protein in skeletal muscle regulates other genes encoding proteins, some of which are toxic to the muscle. Aberrant DUX4-driven gene expression is the major molecular signature that distinguishes muscle tissue affected by FSHD from healthy muscle. The result of aberrant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in FSHD is death of muscle and its replacement by fat, resulting in skeletal muscle weakness and progressive disability. We believe that reducing expression of the </w:t>
      </w:r>
      <w:r>
        <w:rPr>
          <w:rFonts w:ascii="Arial" w:cs="Arial" w:eastAsia="Arial" w:hAnsi="Arial"/>
          <w:sz w:val="16"/>
          <w:szCs w:val="16"/>
          <w:i w:val="1"/>
          <w:iCs w:val="1"/>
          <w:color w:val="auto"/>
        </w:rPr>
        <w:t>DUX4</w:t>
      </w:r>
      <w:r>
        <w:rPr>
          <w:rFonts w:ascii="Arial" w:cs="Arial" w:eastAsia="Arial" w:hAnsi="Arial"/>
          <w:sz w:val="16"/>
          <w:szCs w:val="16"/>
          <w:color w:val="auto"/>
        </w:rPr>
        <w:t xml:space="preserve"> gene and its downstream transcriptional program could provide a disease-modifying therapeutic approach for the treatment of FSHD at its root cause. Published preclinical and human data, in addition to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experiments that we have conducted, suggest that any reduction in DUX4 expression may be beneficial for patients. In preclinical studies, we have demonstrated that there is a direct relationship between muscle cell death (apoptosis) and the level of DUX4 expression, and a reduction in DUX4 leads to a concomitant decrease in apoptosis. As illustrated in the graphic below, in animal models where expression of DUX4 in skeletal muscle is induced, a corresponding loss of function is observed with increasing levels of DUX4 expression. In these animal models where low levels of DUX4 are expressed, the animals performed similarly to healthy animals in a mobility assessment, suggesting that complete DUX4 reduction is not required for a functional benefit. Data from human muscle biopsies likewise indicated that increased DUX4 activity is related to worsening muscle pathology.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205105</wp:posOffset>
            </wp:positionV>
            <wp:extent cx="2811780" cy="1714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1178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 xml:space="preserve">In all patients with FSHD,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Patients with FSHD2 do not have meaningful D4Z4 repeat contraction, but have mutations in a regulatory gene, known as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that normally contributes to the repression of the </w:t>
      </w:r>
      <w:r>
        <w:rPr>
          <w:rFonts w:ascii="Arial" w:cs="Arial" w:eastAsia="Arial" w:hAnsi="Arial"/>
          <w:sz w:val="18"/>
          <w:szCs w:val="18"/>
          <w:i w:val="1"/>
          <w:iCs w:val="1"/>
          <w:color w:val="auto"/>
        </w:rPr>
        <w:t>DUX4</w:t>
      </w:r>
      <w:r>
        <w:rPr>
          <w:rFonts w:ascii="Arial" w:cs="Arial" w:eastAsia="Arial" w:hAnsi="Arial"/>
          <w:sz w:val="18"/>
          <w:szCs w:val="18"/>
          <w:color w:val="auto"/>
        </w:rPr>
        <w:t xml:space="preserve"> gene via DNA methylation.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ind w:right="80" w:firstLine="546"/>
        <w:spacing w:after="0" w:line="277" w:lineRule="auto"/>
        <w:rPr>
          <w:sz w:val="20"/>
          <w:szCs w:val="20"/>
          <w:color w:val="auto"/>
        </w:rPr>
      </w:pPr>
      <w:r>
        <w:rPr>
          <w:rFonts w:ascii="Arial" w:cs="Arial" w:eastAsia="Arial" w:hAnsi="Arial"/>
          <w:sz w:val="18"/>
          <w:szCs w:val="18"/>
          <w:color w:val="auto"/>
        </w:rPr>
        <w:t xml:space="preserve">The figure below illustrates how genetic mutations in the D4Z4 repeat array (FSHD1) or the </w:t>
      </w:r>
      <w:r>
        <w:rPr>
          <w:rFonts w:ascii="Arial" w:cs="Arial" w:eastAsia="Arial" w:hAnsi="Arial"/>
          <w:sz w:val="18"/>
          <w:szCs w:val="18"/>
          <w:i w:val="1"/>
          <w:iCs w:val="1"/>
          <w:color w:val="auto"/>
        </w:rPr>
        <w:t>SMCHD1</w:t>
      </w:r>
      <w:r>
        <w:rPr>
          <w:rFonts w:ascii="Arial" w:cs="Arial" w:eastAsia="Arial" w:hAnsi="Arial"/>
          <w:sz w:val="18"/>
          <w:szCs w:val="18"/>
          <w:color w:val="auto"/>
        </w:rPr>
        <w:t xml:space="preserve"> gene (FSHD2) result in aberrant expression of </w:t>
      </w:r>
      <w:r>
        <w:rPr>
          <w:rFonts w:ascii="Arial" w:cs="Arial" w:eastAsia="Arial" w:hAnsi="Arial"/>
          <w:sz w:val="18"/>
          <w:szCs w:val="18"/>
          <w:i w:val="1"/>
          <w:iCs w:val="1"/>
          <w:color w:val="auto"/>
        </w:rPr>
        <w:t>DUX4</w:t>
      </w:r>
      <w:r>
        <w:rPr>
          <w:rFonts w:ascii="Arial" w:cs="Arial" w:eastAsia="Arial" w:hAnsi="Arial"/>
          <w:sz w:val="18"/>
          <w:szCs w:val="18"/>
          <w:color w:val="auto"/>
        </w:rPr>
        <w:t xml:space="preserve"> in skeletal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134620</wp:posOffset>
            </wp:positionV>
            <wp:extent cx="4046220" cy="257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4622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Product Engine Identified the Drug Target for FSHD</w:t>
      </w:r>
    </w:p>
    <w:p>
      <w:pPr>
        <w:spacing w:after="0" w:line="117"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 xml:space="preserve">We utilized patient-derived FSHD1 muscle cells, known as myotubes, and screened them with our small molecule probe library to identify drug targets that reduced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p38α/ß, which had been studied extensively in other diseases, but had not been reported to be linked to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or FSHD until we conducted our screening efforts. We evaluated multiple small molecule p38α/ß inhibitors and observed a consistent reduction of both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and DUX4-driven gene transcripts with each p38α/ß inhibitor. We conducted further validation experiments to confirm that inhibition of p38α using genetic approaches such as siRNA and CRISPR single-guide RNAs, also led to a reduction in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Additionally, researchers from Saint Louis University independently published the results of a study which concluded that inhibitors of p38α/ß, including losmapimod, suppressed </w:t>
      </w:r>
      <w:r>
        <w:rPr>
          <w:rFonts w:ascii="Arial" w:cs="Arial" w:eastAsia="Arial" w:hAnsi="Arial"/>
          <w:sz w:val="17"/>
          <w:szCs w:val="17"/>
          <w:i w:val="1"/>
          <w:iCs w:val="1"/>
          <w:color w:val="auto"/>
        </w:rPr>
        <w:t>DUX4</w:t>
      </w:r>
      <w:r>
        <w:rPr>
          <w:rFonts w:ascii="Arial" w:cs="Arial" w:eastAsia="Arial" w:hAnsi="Arial"/>
          <w:sz w:val="17"/>
          <w:szCs w:val="17"/>
          <w:color w:val="auto"/>
        </w:rPr>
        <w:t xml:space="preserve"> expression in cellular and animal FSHD models.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Losmapimod</w:t>
      </w:r>
    </w:p>
    <w:p>
      <w:pPr>
        <w:spacing w:after="0" w:line="117" w:lineRule="exact"/>
        <w:rPr>
          <w:sz w:val="20"/>
          <w:szCs w:val="20"/>
          <w:color w:val="auto"/>
        </w:rPr>
      </w:pPr>
    </w:p>
    <w:p>
      <w:pPr>
        <w:ind w:right="140" w:firstLine="546"/>
        <w:spacing w:after="0" w:line="285" w:lineRule="auto"/>
        <w:rPr>
          <w:sz w:val="20"/>
          <w:szCs w:val="20"/>
          <w:color w:val="auto"/>
        </w:rPr>
      </w:pPr>
      <w:r>
        <w:rPr>
          <w:rFonts w:ascii="Arial" w:cs="Arial" w:eastAsia="Arial" w:hAnsi="Arial"/>
          <w:sz w:val="16"/>
          <w:szCs w:val="16"/>
          <w:color w:val="auto"/>
        </w:rPr>
        <w:t>After identifying p38α/ß as a potential drug target, we evaluated multiple small molecule inhibitors of p38α/ß. Each of these inhibitors had previously been evaluated in clinical trials for the treatment of various diseases but never in muscle disorders. As a result of our evaluation and relative to other p38α/ß inhibitors, we identified losmapimod as the preferred development candidate based on substantial and attractive preclinical and clinical data regarding safety, PK and target inhibition, and its advanced stage of development. Losmapimod was originally evaluated by GSK in nearly 3,500 subjects in clinical trials across multiple indications and in multiple countries. GSK did not evaluate losmapimod in FSHD or in any other muscle disorder.</w:t>
      </w:r>
    </w:p>
    <w:p>
      <w:pPr>
        <w:spacing w:after="0" w:line="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Although GSK did not pursue regulatory approval in the indications evaluated, losmapimod demonstrated an attractive PK, PD, safety and tolerability profile, including in chronic dosing.</w:t>
      </w:r>
    </w:p>
    <w:p>
      <w:pPr>
        <w:spacing w:after="0" w:line="185"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 xml:space="preserve">As shown in the figure on the left below, we observed in preclinical studies using losmapimod that inhibition of the p38α/ß pathway reduced </w:t>
      </w:r>
      <w:r>
        <w:rPr>
          <w:rFonts w:ascii="Arial" w:cs="Arial" w:eastAsia="Arial" w:hAnsi="Arial"/>
          <w:sz w:val="16"/>
          <w:szCs w:val="16"/>
          <w:i w:val="1"/>
          <w:iCs w:val="1"/>
          <w:color w:val="auto"/>
        </w:rPr>
        <w:t>DUX4</w:t>
      </w:r>
      <w:r>
        <w:rPr>
          <w:rFonts w:ascii="Arial" w:cs="Arial" w:eastAsia="Arial" w:hAnsi="Arial"/>
          <w:sz w:val="16"/>
          <w:szCs w:val="16"/>
          <w:color w:val="auto"/>
        </w:rPr>
        <w:t xml:space="preserve"> expression and downstream gene expression, as measured by the mRNA transcribed by </w:t>
      </w:r>
      <w:r>
        <w:rPr>
          <w:rFonts w:ascii="Arial" w:cs="Arial" w:eastAsia="Arial" w:hAnsi="Arial"/>
          <w:sz w:val="16"/>
          <w:szCs w:val="16"/>
          <w:i w:val="1"/>
          <w:iCs w:val="1"/>
          <w:color w:val="auto"/>
        </w:rPr>
        <w:t>MBD3L2</w:t>
      </w:r>
      <w:r>
        <w:rPr>
          <w:rFonts w:ascii="Arial" w:cs="Arial" w:eastAsia="Arial" w:hAnsi="Arial"/>
          <w:sz w:val="16"/>
          <w:szCs w:val="16"/>
          <w:color w:val="auto"/>
        </w:rPr>
        <w:t xml:space="preserve">, a gene that is only expressed following </w:t>
      </w:r>
      <w:r>
        <w:rPr>
          <w:rFonts w:ascii="Arial" w:cs="Arial" w:eastAsia="Arial" w:hAnsi="Arial"/>
          <w:sz w:val="16"/>
          <w:szCs w:val="16"/>
          <w:i w:val="1"/>
          <w:iCs w:val="1"/>
          <w:color w:val="auto"/>
        </w:rPr>
        <w:t>DUX4</w:t>
      </w:r>
      <w:r>
        <w:rPr>
          <w:rFonts w:ascii="Arial" w:cs="Arial" w:eastAsia="Arial" w:hAnsi="Arial"/>
          <w:sz w:val="16"/>
          <w:szCs w:val="16"/>
          <w:color w:val="auto"/>
        </w:rPr>
        <w:t xml:space="preserve"> activation. In the study, we demonstrated that </w:t>
      </w:r>
      <w:r>
        <w:rPr>
          <w:rFonts w:ascii="Arial" w:cs="Arial" w:eastAsia="Arial" w:hAnsi="Arial"/>
          <w:sz w:val="16"/>
          <w:szCs w:val="16"/>
          <w:i w:val="1"/>
          <w:iCs w:val="1"/>
          <w:color w:val="auto"/>
        </w:rPr>
        <w:t>MBD3L2</w:t>
      </w:r>
      <w:r>
        <w:rPr>
          <w:rFonts w:ascii="Arial" w:cs="Arial" w:eastAsia="Arial" w:hAnsi="Arial"/>
          <w:sz w:val="16"/>
          <w:szCs w:val="16"/>
          <w:color w:val="auto"/>
        </w:rPr>
        <w:t xml:space="preserve"> was representative of broader DUX4-driven gene expression changes in myotubes. We assessed the ability of losmapimod to inhibit p38α/ß by measuring the effect on the phosphorylation of a downstream protein called heat shock protein 27, or HSP27. The level of phosphorylation of HSP27 has been used in previous clinical trials, including by GSK, as a biomarker to measure the degree of p38α/ß inhibition. As shown in the figure on the right below, we also observed reduced cell death, or apoptosis, in FSHD myotubes, as measured by active caspase-3. We used active caspase-3 to quantify cell death because it is a protein that has been shown to be an important regulator of the apoptosis pathway in myotubes.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7" w:name="page18"/>
    <w:bookmarkEnd w:id="17"/>
    <w:p>
      <w:pPr>
        <w:jc w:val="center"/>
        <w:ind w:left="200"/>
        <w:spacing w:after="0"/>
        <w:rPr>
          <w:sz w:val="20"/>
          <w:szCs w:val="20"/>
          <w:color w:val="auto"/>
        </w:rPr>
      </w:pPr>
      <w:r>
        <w:rPr>
          <w:rFonts w:ascii="Arial" w:cs="Arial" w:eastAsia="Arial" w:hAnsi="Arial"/>
          <w:sz w:val="16"/>
          <w:szCs w:val="16"/>
          <w:b w:val="1"/>
          <w:bCs w:val="1"/>
          <w:color w:val="auto"/>
        </w:rPr>
        <w:t>Losmapimod reduced DUX4 protein levels and</w:t>
      </w:r>
    </w:p>
    <w:p>
      <w:pPr>
        <w:spacing w:after="0" w:line="50" w:lineRule="exact"/>
        <w:rPr>
          <w:sz w:val="20"/>
          <w:szCs w:val="20"/>
          <w:color w:val="auto"/>
        </w:rPr>
      </w:pPr>
    </w:p>
    <w:p>
      <w:pPr>
        <w:jc w:val="center"/>
        <w:ind w:left="200"/>
        <w:spacing w:after="0"/>
        <w:rPr>
          <w:sz w:val="20"/>
          <w:szCs w:val="20"/>
          <w:color w:val="auto"/>
        </w:rPr>
      </w:pPr>
      <w:r>
        <w:rPr>
          <w:rFonts w:ascii="Arial" w:cs="Arial" w:eastAsia="Arial" w:hAnsi="Arial"/>
          <w:sz w:val="18"/>
          <w:szCs w:val="18"/>
          <w:b w:val="1"/>
          <w:bCs w:val="1"/>
          <w:color w:val="auto"/>
        </w:rPr>
        <w:t>DUX4-driven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168910</wp:posOffset>
            </wp:positionV>
            <wp:extent cx="2554605" cy="1988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4605" cy="19888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540"/>
        <w:spacing w:after="0"/>
        <w:rPr>
          <w:sz w:val="20"/>
          <w:szCs w:val="20"/>
          <w:color w:val="auto"/>
        </w:rPr>
      </w:pPr>
      <w:r>
        <w:rPr>
          <w:rFonts w:ascii="Arial" w:cs="Arial" w:eastAsia="Arial" w:hAnsi="Arial"/>
          <w:sz w:val="16"/>
          <w:szCs w:val="16"/>
          <w:b w:val="1"/>
          <w:bCs w:val="1"/>
          <w:color w:val="auto"/>
        </w:rPr>
        <w:t>Losmapimod reduced apoptosis in FSHD</w:t>
      </w:r>
    </w:p>
    <w:p>
      <w:pPr>
        <w:spacing w:after="0" w:line="50" w:lineRule="exact"/>
        <w:rPr>
          <w:sz w:val="20"/>
          <w:szCs w:val="20"/>
          <w:color w:val="auto"/>
        </w:rPr>
      </w:pPr>
    </w:p>
    <w:p>
      <w:pPr>
        <w:jc w:val="center"/>
        <w:ind w:right="1540"/>
        <w:spacing w:after="0"/>
        <w:rPr>
          <w:sz w:val="20"/>
          <w:szCs w:val="20"/>
          <w:color w:val="auto"/>
        </w:rPr>
      </w:pPr>
      <w:r>
        <w:rPr>
          <w:rFonts w:ascii="Arial" w:cs="Arial" w:eastAsia="Arial" w:hAnsi="Arial"/>
          <w:sz w:val="18"/>
          <w:szCs w:val="18"/>
          <w:b w:val="1"/>
          <w:bCs w:val="1"/>
          <w:color w:val="auto"/>
        </w:rPr>
        <w:t>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186055</wp:posOffset>
            </wp:positionV>
            <wp:extent cx="2554605" cy="1971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54605" cy="19716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00"/>
          </w:cols>
          <w:pgMar w:left="320" w:top="58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The dotted lines in each graphic above indicate the Cmin (left) and Cmax (right) observed in a clinical trial conducted by GSK that used a 15 mg twice per day dose of losmapimod. Cmin represents the minimum concentration in plasma prior to administration of a subsequent dose and Cmax represents the highest concentration in plasma after administration of a dose.</w:t>
      </w:r>
    </w:p>
    <w:p>
      <w:pPr>
        <w:spacing w:after="0" w:line="184" w:lineRule="exact"/>
        <w:rPr>
          <w:sz w:val="20"/>
          <w:szCs w:val="20"/>
          <w:color w:val="auto"/>
        </w:rPr>
      </w:pPr>
    </w:p>
    <w:p>
      <w:pPr>
        <w:ind w:right="40" w:firstLine="546"/>
        <w:spacing w:after="0" w:line="288" w:lineRule="auto"/>
        <w:rPr>
          <w:sz w:val="20"/>
          <w:szCs w:val="20"/>
          <w:color w:val="auto"/>
        </w:rPr>
      </w:pPr>
      <w:r>
        <w:rPr>
          <w:rFonts w:ascii="Arial" w:cs="Arial" w:eastAsia="Arial" w:hAnsi="Arial"/>
          <w:sz w:val="16"/>
          <w:szCs w:val="16"/>
          <w:color w:val="auto"/>
        </w:rPr>
        <w:t>After identifying losmapimod, we in-licensed the molecule from GSK because we believed that its safety and pharmacology history would significantly expedite our development plan and enhance our future regulatory submissions. In February 2019, we obtained an exclusive worldwide license from GSK to the losmapimod patents and preclinical and clinical data for all indications, subject to certain conditions. This license includes a letter of reference for the FDA providing us the right to reference all the previous INDs that had been filed by GSK for losmapimod, as well as a license to their losmapimod data, including the original preclinical study and clinical trial reports. We also received active pharmaceutical ingredient, or API, and losmapimod tablets that had been manufactured by GSK. We are using the API and tablets to support our clinical development of losmapimod in FSHD, including our ongoing Phase 2 clinical trials. We utilized the GSK data and our preclinical data to submit an IND in the United States and CTAs in Europe and Canada at various dates during 2019, which enabled us to advance our clinical development plan for losmapimod in FSHD, including initiating our randomized, double-blind placebo-controlled multicenter international Phase 2b clinical trial, or ReDUX4, and a single center Phase 2 open label trial in August 2019. The Phase 2b clinical trial and open label Phase 2 clinical trial completed enrollment in February 2020.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Development</w:t>
      </w:r>
    </w:p>
    <w:p>
      <w:pPr>
        <w:spacing w:after="0" w:line="117"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 xml:space="preserve">We conducted several preclinical studies designed to evaluate the ability of losmapimod to reduce DUX4-driven gene expression. In a preclinical study of losmapimod, we treated myotubes from primary cell lines of eight FSHD1 and three FSHD2 patients for four days with different concentrations of losmapimod or vehicle as a negative control. To model the effect of losmapimod treatment on DUX4-driven gene expression across diverse disease-causing genotypes, we measured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 levels relative to the transcript levels of </w:t>
      </w:r>
      <w:r>
        <w:rPr>
          <w:rFonts w:ascii="Arial" w:cs="Arial" w:eastAsia="Arial" w:hAnsi="Arial"/>
          <w:sz w:val="16"/>
          <w:szCs w:val="16"/>
          <w:i w:val="1"/>
          <w:iCs w:val="1"/>
          <w:color w:val="auto"/>
        </w:rPr>
        <w:t>POLR2A</w:t>
      </w:r>
      <w:r>
        <w:rPr>
          <w:rFonts w:ascii="Arial" w:cs="Arial" w:eastAsia="Arial" w:hAnsi="Arial"/>
          <w:sz w:val="16"/>
          <w:szCs w:val="16"/>
          <w:color w:val="auto"/>
        </w:rPr>
        <w:t xml:space="preserve">, a gene whose expression is not regulated by DUX4 protein. We observed that clinically achievable concentrations of losmapimod (30 to 100 nM) decreased DUX4-driven expression by 50% to 65%, as measured by quantitative polymerase chain reaction amplification of the </w:t>
      </w:r>
      <w:r>
        <w:rPr>
          <w:rFonts w:ascii="Arial" w:cs="Arial" w:eastAsia="Arial" w:hAnsi="Arial"/>
          <w:sz w:val="16"/>
          <w:szCs w:val="16"/>
          <w:i w:val="1"/>
          <w:iCs w:val="1"/>
          <w:color w:val="auto"/>
        </w:rPr>
        <w:t>MBD3L2</w:t>
      </w:r>
      <w:r>
        <w:rPr>
          <w:rFonts w:ascii="Arial" w:cs="Arial" w:eastAsia="Arial" w:hAnsi="Arial"/>
          <w:sz w:val="16"/>
          <w:szCs w:val="16"/>
          <w:color w:val="auto"/>
        </w:rPr>
        <w:t xml:space="preserve"> transcripts. The observed treatment effect was similar in all cells tested regardless of genotype. We believe that this data suggests that losmapimod has the potential to treat FSHD patients across all genotypes.</w:t>
      </w:r>
    </w:p>
    <w:p>
      <w:pPr>
        <w:spacing w:after="0" w:line="166"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The graphic below shows the least square mean estimates for DUX4-driven gene expression from 11 FSHD primary cells and healthy cells treated with losmapimod presented as mean and 95% confidence intervals, which demonstrates that losmapimod reduced DUX4-driven gene expression, as measured by MBD3L2 and POLR2A transcript levels in a concentration-dependent manner.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type w:val="continuous"/>
        </w:sectPr>
      </w:pPr>
    </w:p>
    <w:bookmarkStart w:id="18" w:name="page19"/>
    <w:bookmarkEnd w:id="18"/>
    <w:p>
      <w:pPr>
        <w:jc w:val="center"/>
        <w:ind w:right="-99"/>
        <w:spacing w:after="0"/>
        <w:rPr>
          <w:sz w:val="20"/>
          <w:szCs w:val="20"/>
          <w:color w:val="auto"/>
        </w:rPr>
      </w:pPr>
      <w:r>
        <w:rPr>
          <w:rFonts w:ascii="Arial" w:cs="Arial" w:eastAsia="Arial" w:hAnsi="Arial"/>
          <w:sz w:val="18"/>
          <w:szCs w:val="18"/>
          <w:b w:val="1"/>
          <w:bCs w:val="1"/>
          <w:color w:val="auto"/>
        </w:rPr>
        <w:t>Reduction of DUX4-driven gene expression at increasing concentrations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171450</wp:posOffset>
            </wp:positionV>
            <wp:extent cx="3514725" cy="2623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1472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60" w:firstLine="546"/>
        <w:spacing w:after="0" w:line="290" w:lineRule="auto"/>
        <w:rPr>
          <w:sz w:val="20"/>
          <w:szCs w:val="20"/>
          <w:color w:val="auto"/>
        </w:rPr>
      </w:pPr>
      <w:r>
        <w:rPr>
          <w:rFonts w:ascii="Arial" w:cs="Arial" w:eastAsia="Arial" w:hAnsi="Arial"/>
          <w:sz w:val="16"/>
          <w:szCs w:val="16"/>
          <w:color w:val="auto"/>
        </w:rPr>
        <w:t>In our preclinical studies, we have also observed that treatment of FSHD patient-derived myotubes with losmapimod is highly specific for DUX4-driven gene expression. We conducted a study in which we measured the FSHD gene expression signature and observed a minimal impact on myogenesis when healthy human myotubes were treated with losmapimod. We treated FSHD cells with losmapimod for five days and a subsequent RNA-seq analysis revealed that only 89 transcripts (0.45%) out of approximately 20,000 protein coding genes were differentially expressed more than four-fold. Of these 89 differentially expressed transcripts, 90% were transcripts directly regulated by DUX4. We believe that this is strong evidence that the effects of losmapimod in affected skeletal muscle are highly specific for the treatment of the root cause of FSHD. Importantly, we did not observe changes in levels of myogenin, a transcriptional activator that promotes transcription of muscle-specific genes and plays a role in muscle differentiation, cell cycle exit and muscle atrophy, and observed minimal impact on other myogenic factors during myoblast differentiation into myotubes.</w:t>
      </w:r>
    </w:p>
    <w:p>
      <w:pPr>
        <w:spacing w:after="0" w:line="165"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GSK observed concentrations of losmapimod in human plasma of 28.4 ng/mL to 74.1 ng/mL with an average of 50.5 ng/mL at a 15 mg twice per day dose in its clinical trials. In preclinical studies in animal models, we observed that losmapimod reached muscle tissue and engaged the p38α/ß target in the muscle tissue. As shown below, we detected similar concentrations of losmapimod in rat plasma and muscle, and significant target engagement is observed at concentrations that we expect to achieve in clinical trials using a 15 mg twice per day dose.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p38</w:t>
      </w:r>
      <w:r>
        <w:rPr>
          <w:rFonts w:ascii="Arial" w:cs="Arial" w:eastAsia="Arial" w:hAnsi="Arial"/>
          <w:sz w:val="18"/>
          <w:szCs w:val="18"/>
          <w:color w:val="auto"/>
        </w:rPr>
        <w:t>α</w:t>
      </w:r>
      <w:r>
        <w:rPr>
          <w:rFonts w:ascii="Arial" w:cs="Arial" w:eastAsia="Arial" w:hAnsi="Arial"/>
          <w:sz w:val="18"/>
          <w:szCs w:val="18"/>
          <w:b w:val="1"/>
          <w:bCs w:val="1"/>
          <w:color w:val="auto"/>
        </w:rPr>
        <w:t>/ß target engagement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171450</wp:posOffset>
            </wp:positionV>
            <wp:extent cx="4046220" cy="2828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4622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We obtained further evidence that losmapimod distributed to muscle from a preclinical study in which GSK profiled distribution of losmapimod to all tissues in rats. Our review of this data similarly confirmed that muscles were well exposed to losmapimod.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 Overview</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We began dosing in a Phase 1 clinical trial of losmapimod in healthy adult volunteers and patients with FSHD in Europe in February 2019 following the filing of a CTA in December 2018. We completed dosing in this trial in September 2019. In August 2019, we initiated a randomized, double-blind placebo-controlled multicenter international Phase 2b clinical trial, ReDUX4, with 80 patients with FSHD to investigate whether oral administration of 15 mg of losmapimod twice per day reduces expression of DUX4-driven genes in affected skeletal muscle. In August 2019, we also initiated a single center open label Phase 2 clinical trial in up to 16 patients with FSHD to investigate the safety and tolerability of 15 mg losmapimod twice per day for chronic use and to evaluate the ability of losmapimod to reduce expression of DUX4-driven genes in affected skeletal muscle over varying durations of treatment. In addition, in February 2020 we initiated an open label extension of the ReDUX4 trial to enable patients in our ongoing Phase 2b clinical trial who are treated with losmapimod to continue receiving treatment after the 24-week or 48-week treatment period and to enable patients given placebo in our Phase 2b clinical trial to be treated with losmapimod.</w:t>
      </w:r>
    </w:p>
    <w:p>
      <w:pPr>
        <w:spacing w:after="0" w:line="181"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We believe that a 15 mg twice per day dose of losmapimod is an appropriate dose for the treatment of patients with FSHD based on previous clinical data and p38α/ß target engagement data generated by GSK and p38α/ß target engagement data from our preclinical studies. Results of PK in blood and losmapimod concentrations in skeletal muscle and target engagement in blood from the Phase 1 clinical trial in FSHD patients support the selection of the 15 mg twice per day dose of losmapimod for the ongoing Phase 2 clinical trials.</w:t>
      </w:r>
    </w:p>
    <w:p>
      <w:pPr>
        <w:spacing w:after="0" w:line="187"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We submitted a CTA in Europe for the open label Phase 2 clinical trial in April 2019 and submitted CTAs in Europe and Canada for the Phase 2b clinical trial at various dates during 2019. Each of the CTAs have been accepted.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0" w:name="page21"/>
    <w:bookmarkEnd w:id="20"/>
    <w:p>
      <w:pPr>
        <w:ind w:firstLine="546"/>
        <w:spacing w:after="0" w:line="269" w:lineRule="auto"/>
        <w:rPr>
          <w:sz w:val="20"/>
          <w:szCs w:val="20"/>
          <w:color w:val="auto"/>
        </w:rPr>
      </w:pPr>
      <w:r>
        <w:rPr>
          <w:rFonts w:ascii="Arial" w:cs="Arial" w:eastAsia="Arial" w:hAnsi="Arial"/>
          <w:sz w:val="17"/>
          <w:szCs w:val="17"/>
          <w:color w:val="auto"/>
        </w:rPr>
        <w:t>The original design of ReDUX4 included a muscle biopsy at week 16 during the 24-week treatment period followed by an open label extension. Sixteen of the 80 subjects in trial have completed the 24-week treatment period and rolled over to the open label extension portion of the trial. As a result of the COVID-19 pandemic, we extended the ReDUX4 treatment period from 24 to 48 weeks through a protocol amendment to ensure the safety of the subjects and to allow for the opportunity for a biopsy at week 16 as originally intended or at week 36. Approximately 64 subjects who did not complete the original 24-week treatment period continued in the 48-week treatment period in the randomized portion of the trial.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 present full data from the trial in the second quarter of 2021. We believe that the amendment to the trial protocol provides flexibility to address the challenges presented by the COVID-19 pandemic and supports collection of efficacy and safety data to support continued discussions with regulatory agencies regarding potential registration strategies.</w:t>
      </w:r>
    </w:p>
    <w:p>
      <w:pPr>
        <w:spacing w:after="0" w:line="185"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In August 2020, we announced results from a pre-specified interim analysis of the primary endpoint of the ReDUX4 trial, which is the reduction from baseline of DUX4-driven gene expression in affected skeletal muscle after subjects have been treated with losmapimod or placebo. Secondary and exploratory endpoints were not assessed as part of this analysis. Results from the interim analysis in the first 29 randomized subjects indicate that DUX4-driven gene expression did not show a separation from placebo at 16 weeks. However, in a pre-specified sensitivity analysis, those with the highest pre-treatment DUX4-driven gene expression in their muscle biopsy sample showed a large reduction in DUX4-driven gene expression following treatment with losmapimod compared to placebo. The highest expressing muscle biopsies represent the top quartile of biopsies assessed based on baseline DUX4-driven gene expression.</w:t>
      </w:r>
    </w:p>
    <w:p>
      <w:pPr>
        <w:spacing w:after="0" w:line="195"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The interim results included an analysis of the first 29 subjects who completed their 16-week biopsy out of the 80 subjects enrolled. Pharmacokinetics,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DUX4-driven gene expression in the muscle biopsies of subjects whose baseline biopsy showed the highest levels of DUX4 gene expression (38-fold decrease with losmapimod, n=3, and 5.4 fold-decrease with placebo, n=5), the population level data analysis of the reduction in DUX4-driven gene expression from all 29 subjects did not show a separation of losmapimod from placebo (3.7 fold increase with losmapimod, n=15, and 2.8 fold increase with placebo, n=14). Results indicated that muscle biopsies within the higher range of DUX4-driven gene expression at baseline may be needed to observe a reduction.</w:t>
      </w:r>
    </w:p>
    <w:p>
      <w:pPr>
        <w:spacing w:after="0" w:line="192" w:lineRule="exact"/>
        <w:rPr>
          <w:sz w:val="20"/>
          <w:szCs w:val="20"/>
          <w:color w:val="auto"/>
        </w:rPr>
      </w:pPr>
    </w:p>
    <w:p>
      <w:pPr>
        <w:ind w:right="120" w:firstLine="546"/>
        <w:spacing w:after="0" w:line="301" w:lineRule="auto"/>
        <w:rPr>
          <w:sz w:val="20"/>
          <w:szCs w:val="20"/>
          <w:color w:val="auto"/>
        </w:rPr>
      </w:pPr>
      <w:r>
        <w:rPr>
          <w:rFonts w:ascii="Arial" w:cs="Arial" w:eastAsia="Arial" w:hAnsi="Arial"/>
          <w:sz w:val="16"/>
          <w:szCs w:val="16"/>
          <w:color w:val="auto"/>
        </w:rPr>
        <w:t>We believe that the safety data from GSK’s prior losmapimod clinical trials, together with safety and efficacy data from our Phase 1 and ongoing Phase 2 clinical trials, may enable us to apply for accelerated approval. We believe a treatment for FSHD may be eligible for accelerated approval because FSHD is a rare, slowly progressive and disabling disease with no approved treatments. We plan to discuss accelerated approval with regulatory agencies if we observe positive results in our Phase 2b clinical trial based on biomarker endpoints that we believe are likely to predict clinical benefit.</w:t>
      </w:r>
    </w:p>
    <w:p>
      <w:pPr>
        <w:spacing w:after="0" w:line="157"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We are also conducting or have completed, several preparatory non-drug studies to assess biomarker endpoints and clinical outcome assessments. In addition, we are participating in a natural history study that plans to follow 160 subjects with FSHD in the United States and 60 subjects in Europe over</w:t>
      </w:r>
    </w:p>
    <w:p>
      <w:pPr>
        <w:ind w:right="100"/>
        <w:spacing w:after="0" w:line="323" w:lineRule="auto"/>
        <w:rPr>
          <w:sz w:val="20"/>
          <w:szCs w:val="20"/>
          <w:color w:val="auto"/>
        </w:rPr>
      </w:pPr>
      <w:r>
        <w:rPr>
          <w:rFonts w:ascii="Arial" w:cs="Arial" w:eastAsia="Arial" w:hAnsi="Arial"/>
          <w:sz w:val="16"/>
          <w:szCs w:val="16"/>
          <w:color w:val="auto"/>
        </w:rPr>
        <w:t>18 months. Planned enrollment in this study was completed in December 2019. We are using data generated to date, and expect to utilize data generated in the future, from our non-drug studies and the natural history study to inform discussions with regulatory agencies and future clinical trial design.</w:t>
      </w:r>
    </w:p>
    <w:p>
      <w:pPr>
        <w:spacing w:after="0" w:line="138"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In January 2020, the FDA granted orphan drug designation to losmapimod for the treatment of FSHD. In March 2020, the EMA granted orphan drug designation to losmapimod for the treatment of FSHD.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Clinical Development of Losmapimod by GSK</w:t>
      </w:r>
    </w:p>
    <w:p>
      <w:pPr>
        <w:spacing w:after="0" w:line="117"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plan to use a dose of 15 mg twice per day in our clinical trials of losmapimod in FSHD. GSK did not conduct a clinical trial of losmapimod in patients with FSHD or any other muscle disorder.</w:t>
      </w:r>
    </w:p>
    <w:p>
      <w:pPr>
        <w:spacing w:after="0" w:line="176"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ind w:right="280"/>
        <w:spacing w:after="0" w:line="286" w:lineRule="auto"/>
        <w:rPr>
          <w:sz w:val="20"/>
          <w:szCs w:val="20"/>
          <w:color w:val="auto"/>
        </w:rPr>
      </w:pPr>
      <w:r>
        <w:rPr>
          <w:rFonts w:ascii="Arial" w:cs="Arial" w:eastAsia="Arial" w:hAnsi="Arial"/>
          <w:sz w:val="17"/>
          <w:szCs w:val="17"/>
          <w:color w:val="auto"/>
        </w:rPr>
        <w:t>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165"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The table below presents safety data from the largest placebo-controlled clinical trial of losmapimod, which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in the placebo group as compared to the losmapimod group. The data in the table below presents the SAEs reported by more than 0.5% of patients in any group in the trial through 24 weeks.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Safety data from GSK’s Phase 3 clinical trial of losmapimod in patients with acute coronary syndrome</w:t>
      </w:r>
    </w:p>
    <w:p>
      <w:pPr>
        <w:spacing w:after="0" w:line="10" w:lineRule="exact"/>
        <w:rPr>
          <w:sz w:val="20"/>
          <w:szCs w:val="20"/>
          <w:color w:val="auto"/>
        </w:rPr>
      </w:pPr>
    </w:p>
    <w:tbl>
      <w:tblPr>
        <w:tblLayout w:type="fixed"/>
        <w:tblInd w:w="1420" w:type="dxa"/>
        <w:tblCellMar>
          <w:top w:w="0" w:type="dxa"/>
          <w:left w:w="0" w:type="dxa"/>
          <w:bottom w:w="0" w:type="dxa"/>
          <w:right w:w="0" w:type="dxa"/>
        </w:tblCellMar>
      </w:tblPr>
      <w:tr>
        <w:trPr>
          <w:trHeight w:val="142"/>
        </w:trPr>
        <w:tc>
          <w:tcPr>
            <w:tcW w:w="5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Placebo</w:t>
            </w:r>
          </w:p>
        </w:tc>
        <w:tc>
          <w:tcPr>
            <w:tcW w:w="156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Losmapimod</w:t>
            </w:r>
          </w:p>
        </w:tc>
      </w:tr>
      <w:tr>
        <w:trPr>
          <w:trHeight w:val="209"/>
        </w:trPr>
        <w:tc>
          <w:tcPr>
            <w:tcW w:w="51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gridSpan w:val="2"/>
            <w:shd w:val="clear" w:color="auto" w:fill="CFF0FC"/>
          </w:tcPr>
          <w:p>
            <w:pPr>
              <w:jc w:val="center"/>
              <w:ind w:left="32"/>
              <w:spacing w:after="0"/>
              <w:rPr>
                <w:sz w:val="20"/>
                <w:szCs w:val="20"/>
                <w:color w:val="auto"/>
              </w:rPr>
            </w:pPr>
            <w:r>
              <w:rPr>
                <w:rFonts w:ascii="Arial" w:cs="Arial" w:eastAsia="Arial" w:hAnsi="Arial"/>
                <w:sz w:val="18"/>
                <w:szCs w:val="18"/>
                <w:color w:val="auto"/>
                <w:w w:val="94"/>
              </w:rPr>
              <w:t>N = 1,752</w:t>
            </w:r>
          </w:p>
        </w:tc>
        <w:tc>
          <w:tcPr>
            <w:tcW w:w="1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gridSpan w:val="2"/>
            <w:shd w:val="clear" w:color="auto" w:fill="CFF0FC"/>
          </w:tcPr>
          <w:p>
            <w:pPr>
              <w:jc w:val="center"/>
              <w:ind w:left="32"/>
              <w:spacing w:after="0"/>
              <w:rPr>
                <w:sz w:val="20"/>
                <w:szCs w:val="20"/>
                <w:color w:val="auto"/>
              </w:rPr>
            </w:pPr>
            <w:r>
              <w:rPr>
                <w:rFonts w:ascii="Arial" w:cs="Arial" w:eastAsia="Arial" w:hAnsi="Arial"/>
                <w:sz w:val="18"/>
                <w:szCs w:val="18"/>
                <w:color w:val="auto"/>
                <w:w w:val="91"/>
              </w:rPr>
              <w:t>N = 1,724</w:t>
            </w:r>
          </w:p>
        </w:tc>
      </w:tr>
      <w:tr>
        <w:trPr>
          <w:trHeight w:val="216"/>
        </w:trPr>
        <w:tc>
          <w:tcPr>
            <w:tcW w:w="5140" w:type="dxa"/>
            <w:vAlign w:val="bottom"/>
          </w:tcPr>
          <w:p>
            <w:pPr>
              <w:spacing w:after="0"/>
              <w:rPr>
                <w:sz w:val="18"/>
                <w:szCs w:val="18"/>
                <w:color w:val="auto"/>
              </w:rPr>
            </w:pPr>
          </w:p>
        </w:tc>
        <w:tc>
          <w:tcPr>
            <w:tcW w:w="172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n (%)</w:t>
            </w:r>
          </w:p>
        </w:tc>
        <w:tc>
          <w:tcPr>
            <w:tcW w:w="1560" w:type="dxa"/>
            <w:vAlign w:val="bottom"/>
            <w:gridSpan w:val="2"/>
          </w:tcPr>
          <w:p>
            <w:pPr>
              <w:jc w:val="center"/>
              <w:ind w:left="32"/>
              <w:spacing w:after="0"/>
              <w:rPr>
                <w:sz w:val="20"/>
                <w:szCs w:val="20"/>
                <w:color w:val="auto"/>
              </w:rPr>
            </w:pPr>
            <w:r>
              <w:rPr>
                <w:rFonts w:ascii="Arial" w:cs="Arial" w:eastAsia="Arial" w:hAnsi="Arial"/>
                <w:sz w:val="18"/>
                <w:szCs w:val="18"/>
                <w:color w:val="auto"/>
                <w:w w:val="92"/>
              </w:rPr>
              <w:t>n (%)</w:t>
            </w: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Any SAE</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(21.1)</w:t>
            </w:r>
          </w:p>
        </w:tc>
      </w:tr>
      <w:tr>
        <w:trPr>
          <w:trHeight w:val="216"/>
        </w:trPr>
        <w:tc>
          <w:tcPr>
            <w:tcW w:w="5140" w:type="dxa"/>
            <w:vAlign w:val="bottom"/>
          </w:tcPr>
          <w:p>
            <w:pPr>
              <w:ind w:left="560"/>
              <w:spacing w:after="0"/>
              <w:rPr>
                <w:sz w:val="20"/>
                <w:szCs w:val="20"/>
                <w:color w:val="auto"/>
              </w:rPr>
            </w:pPr>
            <w:r>
              <w:rPr>
                <w:rFonts w:ascii="Arial" w:cs="Arial" w:eastAsia="Arial" w:hAnsi="Arial"/>
                <w:sz w:val="18"/>
                <w:szCs w:val="18"/>
                <w:color w:val="auto"/>
              </w:rPr>
              <w:t>Cardiac disorders</w:t>
            </w:r>
          </w:p>
        </w:tc>
        <w:tc>
          <w:tcPr>
            <w:tcW w:w="154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114 (6.5)</w:t>
            </w:r>
          </w:p>
        </w:tc>
        <w:tc>
          <w:tcPr>
            <w:tcW w:w="180" w:type="dxa"/>
            <w:vAlign w:val="bottom"/>
          </w:tcPr>
          <w:p>
            <w:pPr>
              <w:spacing w:after="0"/>
              <w:rPr>
                <w:sz w:val="18"/>
                <w:szCs w:val="18"/>
                <w:color w:val="auto"/>
              </w:rPr>
            </w:pPr>
          </w:p>
        </w:tc>
        <w:tc>
          <w:tcPr>
            <w:tcW w:w="156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138 (8.0)</w:t>
            </w:r>
          </w:p>
        </w:tc>
      </w:tr>
      <w:tr>
        <w:trPr>
          <w:trHeight w:val="216"/>
        </w:trPr>
        <w:tc>
          <w:tcPr>
            <w:tcW w:w="51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Infections and infestations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(3.2)</w:t>
            </w:r>
          </w:p>
        </w:tc>
      </w:tr>
      <w:tr>
        <w:trPr>
          <w:trHeight w:val="216"/>
        </w:trPr>
        <w:tc>
          <w:tcPr>
            <w:tcW w:w="5140" w:type="dxa"/>
            <w:vAlign w:val="bottom"/>
          </w:tcPr>
          <w:p>
            <w:pPr>
              <w:ind w:left="560"/>
              <w:spacing w:after="0"/>
              <w:rPr>
                <w:sz w:val="20"/>
                <w:szCs w:val="20"/>
                <w:color w:val="auto"/>
              </w:rPr>
            </w:pPr>
            <w:r>
              <w:rPr>
                <w:rFonts w:ascii="Arial" w:cs="Arial" w:eastAsia="Arial" w:hAnsi="Arial"/>
                <w:sz w:val="18"/>
                <w:szCs w:val="18"/>
                <w:color w:val="auto"/>
              </w:rPr>
              <w:t>Respiratory, thoracic and mediastinal disorders</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800" w:type="dxa"/>
            <w:vAlign w:val="bottom"/>
          </w:tcPr>
          <w:p>
            <w:pPr>
              <w:ind w:left="4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800" w:type="dxa"/>
            <w:vAlign w:val="bottom"/>
          </w:tcPr>
          <w:p>
            <w:pPr>
              <w:ind w:left="20"/>
              <w:spacing w:after="0"/>
              <w:rPr>
                <w:sz w:val="20"/>
                <w:szCs w:val="20"/>
                <w:color w:val="auto"/>
              </w:rPr>
            </w:pPr>
            <w:r>
              <w:rPr>
                <w:rFonts w:ascii="Arial" w:cs="Arial" w:eastAsia="Arial" w:hAnsi="Arial"/>
                <w:sz w:val="18"/>
                <w:szCs w:val="18"/>
                <w:color w:val="auto"/>
              </w:rPr>
              <w:t>(2.4)</w:t>
            </w:r>
          </w:p>
        </w:tc>
      </w:tr>
      <w:tr>
        <w:trPr>
          <w:trHeight w:val="216"/>
        </w:trPr>
        <w:tc>
          <w:tcPr>
            <w:tcW w:w="51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General disorders and administration site conditions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(1.5)</w:t>
            </w:r>
          </w:p>
        </w:tc>
      </w:tr>
      <w:tr>
        <w:trPr>
          <w:trHeight w:val="216"/>
        </w:trPr>
        <w:tc>
          <w:tcPr>
            <w:tcW w:w="5140" w:type="dxa"/>
            <w:vAlign w:val="bottom"/>
          </w:tcPr>
          <w:p>
            <w:pPr>
              <w:ind w:left="560"/>
              <w:spacing w:after="0"/>
              <w:rPr>
                <w:sz w:val="20"/>
                <w:szCs w:val="20"/>
                <w:color w:val="auto"/>
              </w:rPr>
            </w:pPr>
            <w:r>
              <w:rPr>
                <w:rFonts w:ascii="Arial" w:cs="Arial" w:eastAsia="Arial" w:hAnsi="Arial"/>
                <w:sz w:val="18"/>
                <w:szCs w:val="18"/>
                <w:color w:val="auto"/>
              </w:rPr>
              <w:t>Renal and urinary disorders</w:t>
            </w:r>
          </w:p>
        </w:tc>
        <w:tc>
          <w:tcPr>
            <w:tcW w:w="740" w:type="dxa"/>
            <w:vAlign w:val="bottom"/>
          </w:tcPr>
          <w:p>
            <w:pPr>
              <w:jc w:val="right"/>
              <w:spacing w:after="0"/>
              <w:rPr>
                <w:sz w:val="20"/>
                <w:szCs w:val="20"/>
                <w:color w:val="auto"/>
              </w:rPr>
            </w:pPr>
            <w:r>
              <w:rPr>
                <w:rFonts w:ascii="Arial" w:cs="Arial" w:eastAsia="Arial" w:hAnsi="Arial"/>
                <w:sz w:val="18"/>
                <w:szCs w:val="18"/>
                <w:color w:val="auto"/>
              </w:rPr>
              <w:t>18</w:t>
            </w:r>
          </w:p>
        </w:tc>
        <w:tc>
          <w:tcPr>
            <w:tcW w:w="800" w:type="dxa"/>
            <w:vAlign w:val="bottom"/>
          </w:tcPr>
          <w:p>
            <w:pPr>
              <w:ind w:left="4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800" w:type="dxa"/>
            <w:vAlign w:val="bottom"/>
          </w:tcPr>
          <w:p>
            <w:pPr>
              <w:ind w:left="20"/>
              <w:spacing w:after="0"/>
              <w:rPr>
                <w:sz w:val="20"/>
                <w:szCs w:val="20"/>
                <w:color w:val="auto"/>
              </w:rPr>
            </w:pPr>
            <w:r>
              <w:rPr>
                <w:rFonts w:ascii="Arial" w:cs="Arial" w:eastAsia="Arial" w:hAnsi="Arial"/>
                <w:sz w:val="18"/>
                <w:szCs w:val="18"/>
                <w:color w:val="auto"/>
              </w:rPr>
              <w:t>(1.8)</w:t>
            </w:r>
          </w:p>
        </w:tc>
      </w:tr>
      <w:tr>
        <w:trPr>
          <w:trHeight w:val="216"/>
        </w:trPr>
        <w:tc>
          <w:tcPr>
            <w:tcW w:w="51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Investigations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w:t>
            </w:r>
          </w:p>
        </w:tc>
      </w:tr>
      <w:tr>
        <w:trPr>
          <w:trHeight w:val="230"/>
        </w:trPr>
        <w:tc>
          <w:tcPr>
            <w:tcW w:w="5140" w:type="dxa"/>
            <w:vAlign w:val="bottom"/>
          </w:tcPr>
          <w:p>
            <w:pPr>
              <w:ind w:left="560"/>
              <w:spacing w:after="0"/>
              <w:rPr>
                <w:sz w:val="20"/>
                <w:szCs w:val="20"/>
                <w:color w:val="auto"/>
              </w:rPr>
            </w:pPr>
            <w:r>
              <w:rPr>
                <w:rFonts w:ascii="Arial" w:cs="Arial" w:eastAsia="Arial" w:hAnsi="Arial"/>
                <w:sz w:val="18"/>
                <w:szCs w:val="18"/>
                <w:color w:val="auto"/>
              </w:rPr>
              <w:t>Musculoskeletal and connective tissue disorders</w:t>
            </w:r>
          </w:p>
        </w:tc>
        <w:tc>
          <w:tcPr>
            <w:tcW w:w="74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ind w:left="4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800" w:type="dxa"/>
            <w:vAlign w:val="bottom"/>
          </w:tcPr>
          <w:p>
            <w:pPr>
              <w:ind w:left="20"/>
              <w:spacing w:after="0"/>
              <w:rPr>
                <w:sz w:val="20"/>
                <w:szCs w:val="20"/>
                <w:color w:val="auto"/>
              </w:rPr>
            </w:pPr>
            <w:r>
              <w:rPr>
                <w:rFonts w:ascii="Arial" w:cs="Arial" w:eastAsia="Arial" w:hAnsi="Arial"/>
                <w:sz w:val="18"/>
                <w:szCs w:val="18"/>
                <w:color w:val="auto"/>
              </w:rPr>
              <w:t>(1.5)</w:t>
            </w:r>
          </w:p>
        </w:tc>
      </w:tr>
    </w:tbl>
    <w:p>
      <w:pPr>
        <w:spacing w:after="0" w:line="214"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There were also ten fatal SAEs in the placebo group and 13 fatal SAEs in the losmapimod group. In the placebo group, the fatal SAEs were infections and infestations (two), general disorders and administrative site conditions (two), respiratory, thoracic and mediastinal disorders (three), cardiac disorder (one), gastrointestinal disorder (one) and neoplasm (one). In the losmapimod group, the fatal SAEs were infections and infestations (four), general disorders and administrative site conditions (three), respiratory, thoracic and mediastinal disorders (two), cardiac disorder (one), injury poisoning and procedural complications (one), gastrointestinal disorder (one) and neoplasm (one).</w:t>
      </w:r>
    </w:p>
    <w:p>
      <w:pPr>
        <w:spacing w:after="0" w:line="188" w:lineRule="exact"/>
        <w:rPr>
          <w:sz w:val="20"/>
          <w:szCs w:val="20"/>
          <w:color w:val="auto"/>
        </w:rPr>
      </w:pPr>
    </w:p>
    <w:p>
      <w:pPr>
        <w:ind w:right="520" w:firstLine="546"/>
        <w:spacing w:after="0" w:line="263" w:lineRule="auto"/>
        <w:rPr>
          <w:sz w:val="20"/>
          <w:szCs w:val="20"/>
          <w:color w:val="auto"/>
        </w:rPr>
      </w:pPr>
      <w:r>
        <w:rPr>
          <w:rFonts w:ascii="Arial" w:cs="Arial" w:eastAsia="Arial" w:hAnsi="Arial"/>
          <w:sz w:val="18"/>
          <w:szCs w:val="18"/>
          <w:color w:val="auto"/>
        </w:rPr>
        <w:t>The following table presents SAEs reported during treatment from a total of 11 Phase 1 and Phase 2 placebo-controlled clinical trials of losmapimod with repeat dosing for which GSK reported integrated data. The 11 trials presented include three of the 14 trials in which no SAEs were reported.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4"/>
          <w:szCs w:val="14"/>
          <w:b w:val="1"/>
          <w:bCs w:val="1"/>
          <w:color w:val="auto"/>
        </w:rPr>
        <w:t>Safety data from 11 clinical trials of losmapimod conducted by GSK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-95885</wp:posOffset>
            </wp:positionV>
            <wp:extent cx="5349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tbl>
      <w:tblPr>
        <w:tblLayout w:type="fixed"/>
        <w:tblInd w:w="1420" w:type="dxa"/>
        <w:tblCellMar>
          <w:top w:w="0" w:type="dxa"/>
          <w:left w:w="0" w:type="dxa"/>
          <w:bottom w:w="0" w:type="dxa"/>
          <w:right w:w="0" w:type="dxa"/>
        </w:tblCellMar>
      </w:tblPr>
      <w:tr>
        <w:trPr>
          <w:trHeight w:val="142"/>
        </w:trPr>
        <w:tc>
          <w:tcPr>
            <w:tcW w:w="5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Placebo</w:t>
            </w:r>
          </w:p>
        </w:tc>
        <w:tc>
          <w:tcPr>
            <w:tcW w:w="1560" w:type="dxa"/>
            <w:vAlign w:val="bottom"/>
            <w:tcBorders>
              <w:top w:val="single" w:sz="8" w:color="auto"/>
            </w:tcBorders>
          </w:tcPr>
          <w:p>
            <w:pPr>
              <w:jc w:val="center"/>
              <w:ind w:left="11"/>
              <w:spacing w:after="0" w:line="142" w:lineRule="exact"/>
              <w:rPr>
                <w:sz w:val="20"/>
                <w:szCs w:val="20"/>
                <w:color w:val="auto"/>
              </w:rPr>
            </w:pPr>
            <w:r>
              <w:rPr>
                <w:rFonts w:ascii="Arial" w:cs="Arial" w:eastAsia="Arial" w:hAnsi="Arial"/>
                <w:sz w:val="14"/>
                <w:szCs w:val="14"/>
                <w:b w:val="1"/>
                <w:bCs w:val="1"/>
                <w:color w:val="auto"/>
                <w:w w:val="94"/>
              </w:rPr>
              <w:t>Losmapimod</w:t>
            </w:r>
          </w:p>
        </w:tc>
      </w:tr>
      <w:tr>
        <w:trPr>
          <w:trHeight w:val="210"/>
        </w:trPr>
        <w:tc>
          <w:tcPr>
            <w:tcW w:w="51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ind w:left="31"/>
              <w:spacing w:after="0"/>
              <w:rPr>
                <w:sz w:val="20"/>
                <w:szCs w:val="20"/>
                <w:color w:val="auto"/>
              </w:rPr>
            </w:pPr>
            <w:r>
              <w:rPr>
                <w:rFonts w:ascii="Arial" w:cs="Arial" w:eastAsia="Arial" w:hAnsi="Arial"/>
                <w:sz w:val="18"/>
                <w:szCs w:val="18"/>
                <w:color w:val="auto"/>
              </w:rPr>
              <w:t>N=735</w:t>
            </w:r>
          </w:p>
        </w:tc>
        <w:tc>
          <w:tcPr>
            <w:tcW w:w="1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center"/>
              <w:ind w:left="31"/>
              <w:spacing w:after="0"/>
              <w:rPr>
                <w:sz w:val="20"/>
                <w:szCs w:val="20"/>
                <w:color w:val="auto"/>
              </w:rPr>
            </w:pPr>
            <w:r>
              <w:rPr>
                <w:rFonts w:ascii="Arial" w:cs="Arial" w:eastAsia="Arial" w:hAnsi="Arial"/>
                <w:sz w:val="18"/>
                <w:szCs w:val="18"/>
                <w:color w:val="auto"/>
                <w:w w:val="91"/>
              </w:rPr>
              <w:t>N = 1,327</w:t>
            </w:r>
          </w:p>
        </w:tc>
      </w:tr>
      <w:tr>
        <w:trPr>
          <w:trHeight w:val="216"/>
        </w:trPr>
        <w:tc>
          <w:tcPr>
            <w:tcW w:w="5140" w:type="dxa"/>
            <w:vAlign w:val="bottom"/>
          </w:tcPr>
          <w:p>
            <w:pPr>
              <w:spacing w:after="0"/>
              <w:rPr>
                <w:sz w:val="18"/>
                <w:szCs w:val="18"/>
                <w:color w:val="auto"/>
              </w:rPr>
            </w:pPr>
          </w:p>
        </w:tc>
        <w:tc>
          <w:tcPr>
            <w:tcW w:w="1720" w:type="dxa"/>
            <w:vAlign w:val="bottom"/>
            <w:gridSpan w:val="2"/>
          </w:tcPr>
          <w:p>
            <w:pPr>
              <w:jc w:val="center"/>
              <w:ind w:right="60"/>
              <w:spacing w:after="0"/>
              <w:rPr>
                <w:sz w:val="20"/>
                <w:szCs w:val="20"/>
                <w:color w:val="auto"/>
              </w:rPr>
            </w:pPr>
            <w:r>
              <w:rPr>
                <w:rFonts w:ascii="Arial" w:cs="Arial" w:eastAsia="Arial" w:hAnsi="Arial"/>
                <w:sz w:val="18"/>
                <w:szCs w:val="18"/>
                <w:color w:val="auto"/>
                <w:w w:val="97"/>
              </w:rPr>
              <w:t>n (%)</w:t>
            </w: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2"/>
              </w:rPr>
              <w:t>n (%)</w:t>
            </w: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Any SAE</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89"/>
              </w:rPr>
              <w:t>47 (6)</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1"/>
              </w:rPr>
              <w:t>120 (9)</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Cardiac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89"/>
              </w:rPr>
              <w:t>17 (2)</w:t>
            </w:r>
          </w:p>
        </w:tc>
        <w:tc>
          <w:tcPr>
            <w:tcW w:w="180" w:type="dxa"/>
            <w:vAlign w:val="bottom"/>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3"/>
              </w:rPr>
              <w:t>41 (3)</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Respiratory, thoracic and mediastinal disorders</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89"/>
              </w:rPr>
              <w:t>11 (1)</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3"/>
              </w:rPr>
              <w:t>26 (2)</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Infections and infestations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6"/>
              </w:rPr>
              <w:t>7 (&lt;1)</w:t>
            </w:r>
          </w:p>
        </w:tc>
        <w:tc>
          <w:tcPr>
            <w:tcW w:w="180" w:type="dxa"/>
            <w:vAlign w:val="bottom"/>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3"/>
              </w:rPr>
              <w:t>14 (1)</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General disorders and administrative site conditions</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6"/>
              </w:rPr>
              <w:t>7 (&lt;1)</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51"/>
              <w:spacing w:after="0"/>
              <w:rPr>
                <w:sz w:val="20"/>
                <w:szCs w:val="20"/>
                <w:color w:val="auto"/>
              </w:rPr>
            </w:pPr>
            <w:r>
              <w:rPr>
                <w:rFonts w:ascii="Arial" w:cs="Arial" w:eastAsia="Arial" w:hAnsi="Arial"/>
                <w:sz w:val="18"/>
                <w:szCs w:val="18"/>
                <w:color w:val="auto"/>
                <w:w w:val="93"/>
              </w:rPr>
              <w:t>13 (&lt;1)</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Nervous system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6"/>
              </w:rPr>
              <w:t>5 (&lt;1)</w:t>
            </w:r>
          </w:p>
        </w:tc>
        <w:tc>
          <w:tcPr>
            <w:tcW w:w="180" w:type="dxa"/>
            <w:vAlign w:val="bottom"/>
          </w:tcPr>
          <w:p>
            <w:pPr>
              <w:spacing w:after="0"/>
              <w:rPr>
                <w:sz w:val="18"/>
                <w:szCs w:val="18"/>
                <w:color w:val="auto"/>
              </w:rPr>
            </w:pPr>
          </w:p>
        </w:tc>
        <w:tc>
          <w:tcPr>
            <w:tcW w:w="1560" w:type="dxa"/>
            <w:vAlign w:val="bottom"/>
          </w:tcPr>
          <w:p>
            <w:pPr>
              <w:jc w:val="center"/>
              <w:ind w:left="51"/>
              <w:spacing w:after="0"/>
              <w:rPr>
                <w:sz w:val="20"/>
                <w:szCs w:val="20"/>
                <w:color w:val="auto"/>
              </w:rPr>
            </w:pPr>
            <w:r>
              <w:rPr>
                <w:rFonts w:ascii="Arial" w:cs="Arial" w:eastAsia="Arial" w:hAnsi="Arial"/>
                <w:sz w:val="18"/>
                <w:szCs w:val="18"/>
                <w:color w:val="auto"/>
                <w:w w:val="93"/>
              </w:rPr>
              <w:t>10 (&lt;1)</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Injury, poisoning and procedural complications</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6"/>
              </w:rPr>
              <w:t>1 (&lt;1)</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0"/>
              </w:rPr>
              <w:t>11 (&lt;1)</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Gastrointestinal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6"/>
              </w:rPr>
              <w:t>1 (&lt;1)</w:t>
            </w:r>
          </w:p>
        </w:tc>
        <w:tc>
          <w:tcPr>
            <w:tcW w:w="180" w:type="dxa"/>
            <w:vAlign w:val="bottom"/>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2"/>
              </w:rPr>
              <w:t>7 (&lt;1)</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Vascular disorders</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6"/>
              </w:rPr>
              <w:t>1 (&lt;1)</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2"/>
              </w:rPr>
              <w:t>5 (&lt;1)</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Renal and urinary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6"/>
              </w:rPr>
              <w:t>2 (&lt;1)</w:t>
            </w:r>
          </w:p>
        </w:tc>
        <w:tc>
          <w:tcPr>
            <w:tcW w:w="180" w:type="dxa"/>
            <w:vAlign w:val="bottom"/>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2"/>
              </w:rPr>
              <w:t>4 (&lt;1)</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Musculoskeletal and connective tissue disorders</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6"/>
              </w:rPr>
              <w:t>2 (&lt;1)</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2"/>
              </w:rPr>
              <w:t>4 (&lt;1)</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Skin and subcutaneous tissue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6"/>
              </w:rPr>
              <w:t>2 (&lt;1)</w:t>
            </w:r>
          </w:p>
        </w:tc>
        <w:tc>
          <w:tcPr>
            <w:tcW w:w="180" w:type="dxa"/>
            <w:vAlign w:val="bottom"/>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2"/>
              </w:rPr>
              <w:t>4 (&lt;1)</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Hepatobiliary disorders</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9"/>
              </w:rPr>
              <w:t>0</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2"/>
              </w:rPr>
              <w:t>4 (&lt;1)</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Psychiatric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6"/>
              </w:rPr>
              <w:t>2 (&lt;1)</w:t>
            </w:r>
          </w:p>
        </w:tc>
        <w:tc>
          <w:tcPr>
            <w:tcW w:w="180" w:type="dxa"/>
            <w:vAlign w:val="bottom"/>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2"/>
              </w:rPr>
              <w:t>3 (&lt;1)</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Neoplasms (benign, malignant and unspecified)</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6"/>
              </w:rPr>
              <w:t>1 (&lt;1)</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2"/>
              </w:rPr>
              <w:t>3 (&lt;1)</w:t>
            </w:r>
          </w:p>
        </w:tc>
      </w:tr>
      <w:tr>
        <w:trPr>
          <w:trHeight w:val="216"/>
        </w:trPr>
        <w:tc>
          <w:tcPr>
            <w:tcW w:w="5140" w:type="dxa"/>
            <w:vAlign w:val="bottom"/>
          </w:tcPr>
          <w:p>
            <w:pPr>
              <w:ind w:left="420"/>
              <w:spacing w:after="0"/>
              <w:rPr>
                <w:sz w:val="20"/>
                <w:szCs w:val="20"/>
                <w:color w:val="auto"/>
              </w:rPr>
            </w:pPr>
            <w:r>
              <w:rPr>
                <w:rFonts w:ascii="Arial" w:cs="Arial" w:eastAsia="Arial" w:hAnsi="Arial"/>
                <w:sz w:val="18"/>
                <w:szCs w:val="18"/>
                <w:color w:val="auto"/>
              </w:rPr>
              <w:t>Blood and lymphatic system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8"/>
                <w:szCs w:val="18"/>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2"/>
              </w:rPr>
              <w:t>1 (&lt;1)</w:t>
            </w:r>
          </w:p>
        </w:tc>
      </w:tr>
      <w:tr>
        <w:trPr>
          <w:trHeight w:val="216"/>
        </w:trPr>
        <w:tc>
          <w:tcPr>
            <w:tcW w:w="5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Immune system disorders</w:t>
            </w:r>
          </w:p>
        </w:tc>
        <w:tc>
          <w:tcPr>
            <w:tcW w:w="154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9"/>
              </w:rPr>
              <w:t>0</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31"/>
              <w:spacing w:after="0"/>
              <w:rPr>
                <w:sz w:val="20"/>
                <w:szCs w:val="20"/>
                <w:color w:val="auto"/>
              </w:rPr>
            </w:pPr>
            <w:r>
              <w:rPr>
                <w:rFonts w:ascii="Arial" w:cs="Arial" w:eastAsia="Arial" w:hAnsi="Arial"/>
                <w:sz w:val="18"/>
                <w:szCs w:val="18"/>
                <w:color w:val="auto"/>
                <w:w w:val="92"/>
              </w:rPr>
              <w:t>1 (&lt;1)</w:t>
            </w:r>
          </w:p>
        </w:tc>
      </w:tr>
      <w:tr>
        <w:trPr>
          <w:trHeight w:val="230"/>
        </w:trPr>
        <w:tc>
          <w:tcPr>
            <w:tcW w:w="5140" w:type="dxa"/>
            <w:vAlign w:val="bottom"/>
          </w:tcPr>
          <w:p>
            <w:pPr>
              <w:ind w:left="420"/>
              <w:spacing w:after="0"/>
              <w:rPr>
                <w:sz w:val="20"/>
                <w:szCs w:val="20"/>
                <w:color w:val="auto"/>
              </w:rPr>
            </w:pPr>
            <w:r>
              <w:rPr>
                <w:rFonts w:ascii="Arial" w:cs="Arial" w:eastAsia="Arial" w:hAnsi="Arial"/>
                <w:sz w:val="18"/>
                <w:szCs w:val="18"/>
                <w:color w:val="auto"/>
              </w:rPr>
              <w:t>Metabolism and nutrition disorders</w:t>
            </w:r>
          </w:p>
        </w:tc>
        <w:tc>
          <w:tcPr>
            <w:tcW w:w="1540" w:type="dxa"/>
            <w:vAlign w:val="bottom"/>
          </w:tcPr>
          <w:p>
            <w:pPr>
              <w:jc w:val="center"/>
              <w:ind w:left="31"/>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20"/>
                <w:szCs w:val="20"/>
                <w:color w:val="auto"/>
              </w:rPr>
            </w:pPr>
          </w:p>
        </w:tc>
        <w:tc>
          <w:tcPr>
            <w:tcW w:w="1560" w:type="dxa"/>
            <w:vAlign w:val="bottom"/>
          </w:tcPr>
          <w:p>
            <w:pPr>
              <w:jc w:val="center"/>
              <w:ind w:left="31"/>
              <w:spacing w:after="0"/>
              <w:rPr>
                <w:sz w:val="20"/>
                <w:szCs w:val="20"/>
                <w:color w:val="auto"/>
              </w:rPr>
            </w:pPr>
            <w:r>
              <w:rPr>
                <w:rFonts w:ascii="Arial" w:cs="Arial" w:eastAsia="Arial" w:hAnsi="Arial"/>
                <w:sz w:val="18"/>
                <w:szCs w:val="18"/>
                <w:color w:val="auto"/>
                <w:w w:val="92"/>
              </w:rPr>
              <w:t>1 (&lt;1)</w:t>
            </w:r>
          </w:p>
        </w:tc>
      </w:tr>
    </w:tbl>
    <w:p>
      <w:pPr>
        <w:spacing w:after="0" w:line="214"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This table includes safety data from the second largest clinical trial of losmapimod, which was a placebo-controlled Phase 2 clinical trial of losmapimod in patients with COPD, in which 602 adult patients were given 2.5 mg, 7.5 mg or 15 mg of losmapimod or placebo twice per day for 24 weeks and were followed for an additional week. In this trial, GSK observed a similar proportion of AEs in the placebo group as compared to the losmapimod group. Additionally, in this trial there were three fatal SAEs in the placebo group due to severe exacerbation of COPD, acute myocardial infarction and pulmonary embolism, one fatal SAE in the losmapimod 7.5 mg group due to acute myocardial infarction and associated pulmonary edema and two fatal SAEs in the 15 mg group due to respiratory failure and bilateral purulent pleuritis and mediastinitis. The most common SAE observed in the trial was exacerbation of COPD, which was experienced by eight subjects in the placebo group, six subjects in the losmapimod 2.5 mg group, two subjects in the losmapimod 7.5 mg group and three subjects in the losmapimod 15 mg group. Other SAEs in the placebo group included a liver event, eczema, leukoplakia, sinobronchitis and anxiety. Other SAEs in the losmapimod groups included two subjects with liver events, one subject with eczema and leukoplakia, one subject with pyrexia and one subject with pemphigoid.</w:t>
      </w:r>
    </w:p>
    <w:p>
      <w:pPr>
        <w:spacing w:after="0" w:line="185"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In addition to the trials and data summarized above, GSK also conducted a placebo-controlled Phase 2 clinical trial in which 184 adult patients with frequently exacerbating COPD were given 15 mg of losmapimod or placebo twice per day for up to 52 weeks. In this trial, the proportion of subjects with AEs and SAEs was higher in the losmapimod group than in the placebo group; there was one fatal SAE in the placebo group and three fatal SAEs in the losmapimod group, none of which was considered related to losmapimod. The data in the table below presents the SAEs reported in the trial.</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Safety data from GSK’s Phase 2 clinical trial of losmapimod in patients with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-95885</wp:posOffset>
            </wp:positionV>
            <wp:extent cx="5349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1420" w:type="dxa"/>
            <w:vAlign w:val="bottom"/>
          </w:tcPr>
          <w:p>
            <w:pPr>
              <w:spacing w:after="0"/>
              <w:rPr>
                <w:sz w:val="12"/>
                <w:szCs w:val="12"/>
                <w:color w:val="auto"/>
              </w:rPr>
            </w:pPr>
          </w:p>
        </w:tc>
        <w:tc>
          <w:tcPr>
            <w:tcW w:w="40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89"/>
              </w:rPr>
              <w:t>Placebo</w:t>
            </w:r>
          </w:p>
        </w:tc>
        <w:tc>
          <w:tcPr>
            <w:tcW w:w="1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Losmapimod</w:t>
            </w:r>
          </w:p>
        </w:tc>
        <w:tc>
          <w:tcPr>
            <w:tcW w:w="1420" w:type="dxa"/>
            <w:vAlign w:val="bottom"/>
          </w:tcPr>
          <w:p>
            <w:pPr>
              <w:spacing w:after="0"/>
              <w:rPr>
                <w:sz w:val="12"/>
                <w:szCs w:val="12"/>
                <w:color w:val="auto"/>
              </w:rPr>
            </w:pPr>
          </w:p>
        </w:tc>
      </w:tr>
      <w:tr>
        <w:trPr>
          <w:trHeight w:val="210"/>
        </w:trPr>
        <w:tc>
          <w:tcPr>
            <w:tcW w:w="1420" w:type="dxa"/>
            <w:vAlign w:val="bottom"/>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center"/>
              <w:ind w:left="36"/>
              <w:spacing w:after="0"/>
              <w:rPr>
                <w:sz w:val="20"/>
                <w:szCs w:val="20"/>
                <w:color w:val="auto"/>
              </w:rPr>
            </w:pPr>
            <w:r>
              <w:rPr>
                <w:rFonts w:ascii="Arial" w:cs="Arial" w:eastAsia="Arial" w:hAnsi="Arial"/>
                <w:sz w:val="18"/>
                <w:szCs w:val="18"/>
                <w:color w:val="auto"/>
              </w:rPr>
              <w:t>N=94</w:t>
            </w:r>
          </w:p>
        </w:tc>
        <w:tc>
          <w:tcPr>
            <w:tcW w:w="22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center"/>
              <w:ind w:left="12"/>
              <w:spacing w:after="0"/>
              <w:rPr>
                <w:sz w:val="20"/>
                <w:szCs w:val="20"/>
                <w:color w:val="auto"/>
              </w:rPr>
            </w:pPr>
            <w:r>
              <w:rPr>
                <w:rFonts w:ascii="Arial" w:cs="Arial" w:eastAsia="Arial" w:hAnsi="Arial"/>
                <w:sz w:val="18"/>
                <w:szCs w:val="18"/>
                <w:color w:val="auto"/>
              </w:rPr>
              <w:t>N=90</w:t>
            </w:r>
          </w:p>
        </w:tc>
        <w:tc>
          <w:tcPr>
            <w:tcW w:w="14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 (%)</w:t>
            </w: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92"/>
              </w:rPr>
              <w:t>n (%)</w:t>
            </w:r>
          </w:p>
        </w:tc>
        <w:tc>
          <w:tcPr>
            <w:tcW w:w="14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Any SAE</w:t>
            </w:r>
          </w:p>
        </w:tc>
        <w:tc>
          <w:tcPr>
            <w:tcW w:w="2680" w:type="dxa"/>
            <w:vAlign w:val="bottom"/>
            <w:gridSpan w:val="2"/>
            <w:shd w:val="clear" w:color="auto" w:fill="CFF0FC"/>
          </w:tcPr>
          <w:p>
            <w:pPr>
              <w:jc w:val="center"/>
              <w:ind w:left="1170"/>
              <w:spacing w:after="0"/>
              <w:rPr>
                <w:sz w:val="20"/>
                <w:szCs w:val="20"/>
                <w:color w:val="auto"/>
              </w:rPr>
            </w:pPr>
            <w:r>
              <w:rPr>
                <w:rFonts w:ascii="Arial" w:cs="Arial" w:eastAsia="Arial" w:hAnsi="Arial"/>
                <w:sz w:val="18"/>
                <w:szCs w:val="18"/>
                <w:color w:val="auto"/>
                <w:w w:val="94"/>
              </w:rPr>
              <w:t>8 (9%)</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93"/>
              </w:rPr>
              <w:t>18 (20%)</w:t>
            </w:r>
          </w:p>
        </w:tc>
        <w:tc>
          <w:tcPr>
            <w:tcW w:w="14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4"/>
              </w:rPr>
              <w:t>Respiratory, thoracic and mediastinal disorders</w:t>
            </w:r>
          </w:p>
        </w:tc>
        <w:tc>
          <w:tcPr>
            <w:tcW w:w="2680" w:type="dxa"/>
            <w:vAlign w:val="bottom"/>
            <w:gridSpan w:val="2"/>
          </w:tcPr>
          <w:p>
            <w:pPr>
              <w:jc w:val="center"/>
              <w:ind w:left="1170"/>
              <w:spacing w:after="0"/>
              <w:rPr>
                <w:sz w:val="20"/>
                <w:szCs w:val="20"/>
                <w:color w:val="auto"/>
              </w:rPr>
            </w:pPr>
            <w:r>
              <w:rPr>
                <w:rFonts w:ascii="Arial" w:cs="Arial" w:eastAsia="Arial" w:hAnsi="Arial"/>
                <w:sz w:val="18"/>
                <w:szCs w:val="18"/>
                <w:color w:val="auto"/>
                <w:w w:val="91"/>
              </w:rPr>
              <w:t>2 (2)</w:t>
            </w:r>
          </w:p>
        </w:tc>
        <w:tc>
          <w:tcPr>
            <w:tcW w:w="220" w:type="dxa"/>
            <w:vAlign w:val="bottom"/>
          </w:tcPr>
          <w:p>
            <w:pPr>
              <w:spacing w:after="0"/>
              <w:rPr>
                <w:sz w:val="18"/>
                <w:szCs w:val="18"/>
                <w:color w:val="auto"/>
              </w:rPr>
            </w:pP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97"/>
              </w:rPr>
              <w:t>7 (8)</w:t>
            </w:r>
          </w:p>
        </w:tc>
        <w:tc>
          <w:tcPr>
            <w:tcW w:w="14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0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Cardiac disorders</w:t>
            </w:r>
          </w:p>
        </w:tc>
        <w:tc>
          <w:tcPr>
            <w:tcW w:w="2680" w:type="dxa"/>
            <w:vAlign w:val="bottom"/>
            <w:gridSpan w:val="2"/>
            <w:shd w:val="clear" w:color="auto" w:fill="CFF0FC"/>
          </w:tcPr>
          <w:p>
            <w:pPr>
              <w:jc w:val="center"/>
              <w:ind w:left="1170"/>
              <w:spacing w:after="0"/>
              <w:rPr>
                <w:sz w:val="20"/>
                <w:szCs w:val="20"/>
                <w:color w:val="auto"/>
              </w:rPr>
            </w:pPr>
            <w:r>
              <w:rPr>
                <w:rFonts w:ascii="Arial" w:cs="Arial" w:eastAsia="Arial" w:hAnsi="Arial"/>
                <w:sz w:val="18"/>
                <w:szCs w:val="18"/>
                <w:color w:val="auto"/>
                <w:w w:val="91"/>
              </w:rPr>
              <w:t>3 (3)</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97"/>
              </w:rPr>
              <w:t>4 (4)</w:t>
            </w:r>
          </w:p>
        </w:tc>
        <w:tc>
          <w:tcPr>
            <w:tcW w:w="14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rPr>
              <w:t>Infections and infestations</w:t>
            </w:r>
          </w:p>
        </w:tc>
        <w:tc>
          <w:tcPr>
            <w:tcW w:w="2680" w:type="dxa"/>
            <w:vAlign w:val="bottom"/>
            <w:gridSpan w:val="2"/>
          </w:tcPr>
          <w:p>
            <w:pPr>
              <w:jc w:val="center"/>
              <w:ind w:left="1170"/>
              <w:spacing w:after="0"/>
              <w:rPr>
                <w:sz w:val="20"/>
                <w:szCs w:val="20"/>
                <w:color w:val="auto"/>
              </w:rPr>
            </w:pPr>
            <w:r>
              <w:rPr>
                <w:rFonts w:ascii="Arial" w:cs="Arial" w:eastAsia="Arial" w:hAnsi="Arial"/>
                <w:sz w:val="18"/>
                <w:szCs w:val="18"/>
                <w:color w:val="auto"/>
                <w:w w:val="91"/>
              </w:rPr>
              <w:t>1 (1)</w:t>
            </w:r>
          </w:p>
        </w:tc>
        <w:tc>
          <w:tcPr>
            <w:tcW w:w="220" w:type="dxa"/>
            <w:vAlign w:val="bottom"/>
          </w:tcPr>
          <w:p>
            <w:pPr>
              <w:spacing w:after="0"/>
              <w:rPr>
                <w:sz w:val="18"/>
                <w:szCs w:val="18"/>
                <w:color w:val="auto"/>
              </w:rPr>
            </w:pP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97"/>
              </w:rPr>
              <w:t>6 (7)</w:t>
            </w:r>
          </w:p>
        </w:tc>
        <w:tc>
          <w:tcPr>
            <w:tcW w:w="142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4000" w:type="dxa"/>
            <w:vAlign w:val="bottom"/>
            <w:shd w:val="clear" w:color="auto" w:fill="CFF0FC"/>
          </w:tcPr>
          <w:p>
            <w:pPr>
              <w:ind w:left="420"/>
              <w:spacing w:after="0"/>
              <w:rPr>
                <w:sz w:val="20"/>
                <w:szCs w:val="20"/>
                <w:color w:val="auto"/>
              </w:rPr>
            </w:pPr>
            <w:r>
              <w:rPr>
                <w:rFonts w:ascii="Arial" w:cs="Arial" w:eastAsia="Arial" w:hAnsi="Arial"/>
                <w:sz w:val="18"/>
                <w:szCs w:val="18"/>
                <w:color w:val="auto"/>
                <w:w w:val="96"/>
              </w:rPr>
              <w:t>Injury, poisoning and procedural complications</w:t>
            </w:r>
          </w:p>
        </w:tc>
        <w:tc>
          <w:tcPr>
            <w:tcW w:w="2680" w:type="dxa"/>
            <w:vAlign w:val="bottom"/>
            <w:gridSpan w:val="2"/>
            <w:shd w:val="clear" w:color="auto" w:fill="CFF0FC"/>
          </w:tcPr>
          <w:p>
            <w:pPr>
              <w:jc w:val="center"/>
              <w:ind w:left="1170"/>
              <w:spacing w:after="0"/>
              <w:rPr>
                <w:sz w:val="20"/>
                <w:szCs w:val="20"/>
                <w:color w:val="auto"/>
              </w:rPr>
            </w:pPr>
            <w:r>
              <w:rPr>
                <w:rFonts w:ascii="Arial" w:cs="Arial" w:eastAsia="Arial" w:hAnsi="Arial"/>
                <w:sz w:val="18"/>
                <w:szCs w:val="18"/>
                <w:color w:val="auto"/>
                <w:w w:val="91"/>
              </w:rPr>
              <w:t>1 (1)</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jc w:val="center"/>
              <w:ind w:left="32"/>
              <w:spacing w:after="0"/>
              <w:rPr>
                <w:sz w:val="20"/>
                <w:szCs w:val="20"/>
                <w:color w:val="auto"/>
              </w:rPr>
            </w:pPr>
            <w:r>
              <w:rPr>
                <w:rFonts w:ascii="Arial" w:cs="Arial" w:eastAsia="Arial" w:hAnsi="Arial"/>
                <w:sz w:val="18"/>
                <w:szCs w:val="18"/>
                <w:color w:val="auto"/>
                <w:w w:val="97"/>
              </w:rPr>
              <w:t>2 (2)</w:t>
            </w:r>
          </w:p>
        </w:tc>
        <w:tc>
          <w:tcPr>
            <w:tcW w:w="142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4000" w:type="dxa"/>
            <w:vAlign w:val="bottom"/>
          </w:tcPr>
          <w:p>
            <w:pPr>
              <w:ind w:left="420"/>
              <w:spacing w:after="0"/>
              <w:rPr>
                <w:sz w:val="20"/>
                <w:szCs w:val="20"/>
                <w:color w:val="auto"/>
              </w:rPr>
            </w:pPr>
            <w:r>
              <w:rPr>
                <w:rFonts w:ascii="Arial" w:cs="Arial" w:eastAsia="Arial" w:hAnsi="Arial"/>
                <w:sz w:val="18"/>
                <w:szCs w:val="18"/>
                <w:color w:val="auto"/>
                <w:w w:val="93"/>
              </w:rPr>
              <w:t>Neoplasms (benign, malignant and unspecified)</w:t>
            </w:r>
          </w:p>
        </w:tc>
        <w:tc>
          <w:tcPr>
            <w:tcW w:w="2680" w:type="dxa"/>
            <w:vAlign w:val="bottom"/>
            <w:gridSpan w:val="2"/>
          </w:tcPr>
          <w:p>
            <w:pPr>
              <w:jc w:val="center"/>
              <w:ind w:left="1170"/>
              <w:spacing w:after="0"/>
              <w:rPr>
                <w:sz w:val="20"/>
                <w:szCs w:val="20"/>
                <w:color w:val="auto"/>
              </w:rPr>
            </w:pPr>
            <w:r>
              <w:rPr>
                <w:rFonts w:ascii="Arial" w:cs="Arial" w:eastAsia="Arial" w:hAnsi="Arial"/>
                <w:sz w:val="18"/>
                <w:szCs w:val="18"/>
                <w:color w:val="auto"/>
                <w:w w:val="91"/>
              </w:rPr>
              <w:t>2 (2)</w:t>
            </w:r>
          </w:p>
        </w:tc>
        <w:tc>
          <w:tcPr>
            <w:tcW w:w="220" w:type="dxa"/>
            <w:vAlign w:val="bottom"/>
          </w:tcPr>
          <w:p>
            <w:pPr>
              <w:spacing w:after="0"/>
              <w:rPr>
                <w:sz w:val="20"/>
                <w:szCs w:val="20"/>
                <w:color w:val="auto"/>
              </w:rPr>
            </w:pPr>
          </w:p>
        </w:tc>
        <w:tc>
          <w:tcPr>
            <w:tcW w:w="1520" w:type="dxa"/>
            <w:vAlign w:val="bottom"/>
          </w:tcPr>
          <w:p>
            <w:pPr>
              <w:jc w:val="center"/>
              <w:ind w:left="32"/>
              <w:spacing w:after="0"/>
              <w:rPr>
                <w:sz w:val="20"/>
                <w:szCs w:val="20"/>
                <w:color w:val="auto"/>
              </w:rPr>
            </w:pPr>
            <w:r>
              <w:rPr>
                <w:rFonts w:ascii="Arial" w:cs="Arial" w:eastAsia="Arial" w:hAnsi="Arial"/>
                <w:sz w:val="18"/>
                <w:szCs w:val="18"/>
                <w:color w:val="auto"/>
                <w:w w:val="97"/>
              </w:rPr>
              <w:t>1 (1)</w:t>
            </w:r>
          </w:p>
        </w:tc>
        <w:tc>
          <w:tcPr>
            <w:tcW w:w="1420" w:type="dxa"/>
            <w:vAlign w:val="bottom"/>
          </w:tcPr>
          <w:p>
            <w:pPr>
              <w:spacing w:after="0"/>
              <w:rPr>
                <w:sz w:val="20"/>
                <w:szCs w:val="20"/>
                <w:color w:val="auto"/>
              </w:rPr>
            </w:pPr>
          </w:p>
        </w:tc>
      </w:tr>
      <w:tr>
        <w:trPr>
          <w:trHeight w:val="661"/>
        </w:trPr>
        <w:tc>
          <w:tcPr>
            <w:tcW w:w="14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40" w:type="dxa"/>
            <w:vAlign w:val="bottom"/>
          </w:tcPr>
          <w:p>
            <w:pPr>
              <w:jc w:val="right"/>
              <w:ind w:right="750"/>
              <w:spacing w:after="0"/>
              <w:rPr>
                <w:sz w:val="20"/>
                <w:szCs w:val="20"/>
                <w:color w:val="auto"/>
              </w:rPr>
            </w:pPr>
            <w:r>
              <w:rPr>
                <w:rFonts w:ascii="Arial" w:cs="Arial" w:eastAsia="Arial" w:hAnsi="Arial"/>
                <w:sz w:val="18"/>
                <w:szCs w:val="18"/>
                <w:color w:val="auto"/>
              </w:rPr>
              <w:t>18</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23" w:name="page24"/>
    <w:bookmarkEnd w:id="23"/>
    <w:p>
      <w:pPr>
        <w:ind w:right="120" w:firstLine="546"/>
        <w:spacing w:after="0" w:line="259" w:lineRule="auto"/>
        <w:rPr>
          <w:sz w:val="20"/>
          <w:szCs w:val="20"/>
          <w:color w:val="auto"/>
        </w:rPr>
      </w:pPr>
      <w:r>
        <w:rPr>
          <w:rFonts w:ascii="Arial" w:cs="Arial" w:eastAsia="Arial" w:hAnsi="Arial"/>
          <w:sz w:val="18"/>
          <w:szCs w:val="18"/>
          <w:color w:val="auto"/>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18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 xml:space="preserve">In prior studies, GSK observed that the p38α/ß target inhibition in humans was approximately 10%, 30% and 50% at trough and 40%, 60% and 70% at peak following twice per day doses of 2.5 mg, 7.5 mg and 15 mg, respectively. In addition, based 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from our studies in FSHD myotubes with losmapimod, we believe that the muscle exposures that we have achieved in rodents, which are similar to concentrations in human blood from the 15 mg twice per day dose, will result in robust p38α/ß target engagement and will reduce DUX4-driven gene expression in FSHD skeletal muscle by more than 50%. We believe that this data supports our determination that 15 mg of losmapimod twice per day is an appropriate dose for the treatment of patients with FSHD.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Clinical Development Strategy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Preparatory Studies</w:t>
      </w:r>
    </w:p>
    <w:p>
      <w:pPr>
        <w:spacing w:after="0" w:line="117"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There are currently one ongoing and three completed preparatory non-drug studies designed to inform molecular and imaging biomarker and clinical development efficacy endpoints for ongoing clinical trials of losmapimod in patients with FSHD.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Subjects</w:t>
            </w: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(Planned,</w:t>
            </w: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for</w:t>
            </w:r>
          </w:p>
        </w:tc>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Study</w:t>
            </w: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ongoing</w:t>
            </w:r>
          </w:p>
        </w:tc>
        <w:tc>
          <w:tcPr>
            <w:tcW w:w="4520" w:type="dxa"/>
            <w:vAlign w:val="bottom"/>
            <w:gridSpan w:val="2"/>
            <w:vMerge w:val="restart"/>
          </w:tcPr>
          <w:p>
            <w:pPr>
              <w:ind w:left="1520"/>
              <w:spacing w:after="0"/>
              <w:rPr>
                <w:sz w:val="20"/>
                <w:szCs w:val="20"/>
                <w:color w:val="auto"/>
              </w:rPr>
            </w:pPr>
            <w:r>
              <w:rPr>
                <w:rFonts w:ascii="Arial" w:cs="Arial" w:eastAsia="Arial" w:hAnsi="Arial"/>
                <w:sz w:val="14"/>
                <w:szCs w:val="14"/>
                <w:b w:val="1"/>
                <w:bCs w:val="1"/>
                <w:color w:val="auto"/>
              </w:rPr>
              <w:t>Description / Endpoints</w:t>
            </w:r>
          </w:p>
        </w:tc>
        <w:tc>
          <w:tcPr>
            <w:tcW w:w="2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studies)</w:t>
            </w:r>
          </w:p>
        </w:tc>
        <w:tc>
          <w:tcPr>
            <w:tcW w:w="4520" w:type="dxa"/>
            <w:vAlign w:val="bottom"/>
            <w:gridSpan w:val="2"/>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Biomarker Preparatory Study</w:t>
            </w:r>
          </w:p>
        </w:tc>
        <w:tc>
          <w:tcPr>
            <w:tcW w:w="100" w:type="dxa"/>
            <w:vAlign w:val="bottom"/>
          </w:tcPr>
          <w:p>
            <w:pPr>
              <w:spacing w:after="0"/>
              <w:rPr>
                <w:sz w:val="16"/>
                <w:szCs w:val="16"/>
                <w:color w:val="auto"/>
              </w:rPr>
            </w:pPr>
          </w:p>
        </w:tc>
        <w:tc>
          <w:tcPr>
            <w:tcW w:w="1080" w:type="dxa"/>
            <w:vAlign w:val="bottom"/>
            <w:tcBorders>
              <w:top w:val="single" w:sz="8" w:color="auto"/>
            </w:tcBorders>
          </w:tcPr>
          <w:p>
            <w:pPr>
              <w:jc w:val="center"/>
              <w:ind w:left="59"/>
              <w:spacing w:after="0" w:line="195" w:lineRule="exact"/>
              <w:rPr>
                <w:sz w:val="20"/>
                <w:szCs w:val="20"/>
                <w:color w:val="auto"/>
              </w:rPr>
            </w:pPr>
            <w:r>
              <w:rPr>
                <w:rFonts w:ascii="Arial" w:cs="Arial" w:eastAsia="Arial" w:hAnsi="Arial"/>
                <w:sz w:val="18"/>
                <w:szCs w:val="18"/>
                <w:color w:val="auto"/>
                <w:w w:val="89"/>
              </w:rPr>
              <w:t>17</w:t>
            </w:r>
          </w:p>
        </w:tc>
        <w:tc>
          <w:tcPr>
            <w:tcW w:w="140" w:type="dxa"/>
            <w:vAlign w:val="bottom"/>
          </w:tcPr>
          <w:p>
            <w:pPr>
              <w:spacing w:after="0"/>
              <w:rPr>
                <w:sz w:val="16"/>
                <w:szCs w:val="16"/>
                <w:color w:val="auto"/>
              </w:rPr>
            </w:pPr>
          </w:p>
        </w:tc>
        <w:tc>
          <w:tcPr>
            <w:tcW w:w="44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DUX4-driven gene expression in skeletal muscle and</w:t>
            </w:r>
          </w:p>
        </w:tc>
        <w:tc>
          <w:tcPr>
            <w:tcW w:w="12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Completed</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(Fulcrum SRA 002-2018)</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whole-body skeletal muscle MRI</w:t>
            </w: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820" w:type="dxa"/>
            <w:vAlign w:val="bottom"/>
            <w:gridSpan w:val="2"/>
          </w:tcPr>
          <w:p>
            <w:pPr>
              <w:spacing w:after="0"/>
              <w:rPr>
                <w:sz w:val="20"/>
                <w:szCs w:val="20"/>
                <w:color w:val="auto"/>
              </w:rPr>
            </w:pPr>
            <w:r>
              <w:rPr>
                <w:rFonts w:ascii="Arial" w:cs="Arial" w:eastAsia="Arial" w:hAnsi="Arial"/>
                <w:sz w:val="18"/>
                <w:szCs w:val="18"/>
                <w:color w:val="auto"/>
              </w:rPr>
              <w:t>Optimized Time Up and Go Test</w:t>
            </w:r>
          </w:p>
        </w:tc>
        <w:tc>
          <w:tcPr>
            <w:tcW w:w="1080" w:type="dxa"/>
            <w:vAlign w:val="bottom"/>
          </w:tcPr>
          <w:p>
            <w:pPr>
              <w:jc w:val="center"/>
              <w:ind w:left="59"/>
              <w:spacing w:after="0"/>
              <w:rPr>
                <w:sz w:val="20"/>
                <w:szCs w:val="20"/>
                <w:color w:val="auto"/>
              </w:rPr>
            </w:pPr>
            <w:r>
              <w:rPr>
                <w:rFonts w:ascii="Arial" w:cs="Arial" w:eastAsia="Arial" w:hAnsi="Arial"/>
                <w:sz w:val="18"/>
                <w:szCs w:val="18"/>
                <w:color w:val="auto"/>
                <w:w w:val="89"/>
              </w:rPr>
              <w:t>22</w:t>
            </w:r>
          </w:p>
        </w:tc>
        <w:tc>
          <w:tcPr>
            <w:tcW w:w="140" w:type="dxa"/>
            <w:vAlign w:val="bottom"/>
          </w:tcPr>
          <w:p>
            <w:pPr>
              <w:spacing w:after="0"/>
              <w:rPr>
                <w:sz w:val="24"/>
                <w:szCs w:val="24"/>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w w:val="98"/>
              </w:rPr>
              <w:t>Optimized time up and go test for FSHD, or FSHD-TUG</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Completed</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Preparatory Study</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(Fulcrum SRA 003-2018)</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820" w:type="dxa"/>
            <w:vAlign w:val="bottom"/>
            <w:gridSpan w:val="2"/>
          </w:tcPr>
          <w:p>
            <w:pPr>
              <w:spacing w:after="0"/>
              <w:rPr>
                <w:sz w:val="20"/>
                <w:szCs w:val="20"/>
                <w:color w:val="auto"/>
              </w:rPr>
            </w:pPr>
            <w:r>
              <w:rPr>
                <w:rFonts w:ascii="Arial" w:cs="Arial" w:eastAsia="Arial" w:hAnsi="Arial"/>
                <w:sz w:val="18"/>
                <w:szCs w:val="18"/>
                <w:color w:val="auto"/>
              </w:rPr>
              <w:t>Direct Patient Input</w:t>
            </w:r>
          </w:p>
        </w:tc>
        <w:tc>
          <w:tcPr>
            <w:tcW w:w="1080" w:type="dxa"/>
            <w:vAlign w:val="bottom"/>
          </w:tcPr>
          <w:p>
            <w:pPr>
              <w:jc w:val="center"/>
              <w:ind w:left="59"/>
              <w:spacing w:after="0"/>
              <w:rPr>
                <w:sz w:val="20"/>
                <w:szCs w:val="20"/>
                <w:color w:val="auto"/>
              </w:rPr>
            </w:pPr>
            <w:r>
              <w:rPr>
                <w:rFonts w:ascii="Arial" w:cs="Arial" w:eastAsia="Arial" w:hAnsi="Arial"/>
                <w:sz w:val="18"/>
                <w:szCs w:val="18"/>
                <w:color w:val="auto"/>
                <w:w w:val="89"/>
              </w:rPr>
              <w:t>79</w:t>
            </w:r>
          </w:p>
        </w:tc>
        <w:tc>
          <w:tcPr>
            <w:tcW w:w="140" w:type="dxa"/>
            <w:vAlign w:val="bottom"/>
          </w:tcPr>
          <w:p>
            <w:pPr>
              <w:spacing w:after="0"/>
              <w:rPr>
                <w:sz w:val="24"/>
                <w:szCs w:val="24"/>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Direct patient input into the Phase 2b clinical trial</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Completed</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(Fulcrum SRA 004-2018)</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20" w:type="dxa"/>
            <w:vAlign w:val="bottom"/>
            <w:gridSpan w:val="2"/>
          </w:tcPr>
          <w:p>
            <w:pPr>
              <w:spacing w:after="0"/>
              <w:rPr>
                <w:sz w:val="20"/>
                <w:szCs w:val="20"/>
                <w:color w:val="auto"/>
              </w:rPr>
            </w:pPr>
            <w:r>
              <w:rPr>
                <w:rFonts w:ascii="Arial" w:cs="Arial" w:eastAsia="Arial" w:hAnsi="Arial"/>
                <w:sz w:val="18"/>
                <w:szCs w:val="18"/>
                <w:color w:val="auto"/>
              </w:rPr>
              <w:t>ReSOLVE Natural History Study</w:t>
            </w:r>
          </w:p>
        </w:tc>
        <w:tc>
          <w:tcPr>
            <w:tcW w:w="1080" w:type="dxa"/>
            <w:vAlign w:val="bottom"/>
          </w:tcPr>
          <w:p>
            <w:pPr>
              <w:jc w:val="center"/>
              <w:ind w:left="59"/>
              <w:spacing w:after="0"/>
              <w:rPr>
                <w:sz w:val="20"/>
                <w:szCs w:val="20"/>
                <w:color w:val="auto"/>
              </w:rPr>
            </w:pPr>
            <w:r>
              <w:rPr>
                <w:rFonts w:ascii="Arial" w:cs="Arial" w:eastAsia="Arial" w:hAnsi="Arial"/>
                <w:sz w:val="18"/>
                <w:szCs w:val="18"/>
                <w:color w:val="auto"/>
                <w:w w:val="86"/>
              </w:rPr>
              <w:t>160</w:t>
            </w:r>
          </w:p>
        </w:tc>
        <w:tc>
          <w:tcPr>
            <w:tcW w:w="140" w:type="dxa"/>
            <w:vAlign w:val="bottom"/>
          </w:tcPr>
          <w:p>
            <w:pPr>
              <w:spacing w:after="0"/>
              <w:rPr>
                <w:sz w:val="24"/>
                <w:szCs w:val="24"/>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Natural history study Reachable work space</w:t>
            </w: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(NIH) and Reachable Work Space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(Fulcrum SRA 003-2017)</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820" w:type="dxa"/>
            <w:vAlign w:val="bottom"/>
            <w:gridSpan w:val="2"/>
          </w:tcPr>
          <w:p>
            <w:pPr>
              <w:spacing w:after="0"/>
              <w:rPr>
                <w:sz w:val="20"/>
                <w:szCs w:val="20"/>
                <w:color w:val="auto"/>
              </w:rPr>
            </w:pPr>
            <w:r>
              <w:rPr>
                <w:rFonts w:ascii="Arial" w:cs="Arial" w:eastAsia="Arial" w:hAnsi="Arial"/>
                <w:sz w:val="18"/>
                <w:szCs w:val="18"/>
                <w:color w:val="auto"/>
              </w:rPr>
              <w:t>EU Natural History Study and</w:t>
            </w:r>
          </w:p>
        </w:tc>
        <w:tc>
          <w:tcPr>
            <w:tcW w:w="1080" w:type="dxa"/>
            <w:vAlign w:val="bottom"/>
          </w:tcPr>
          <w:p>
            <w:pPr>
              <w:jc w:val="center"/>
              <w:ind w:left="59"/>
              <w:spacing w:after="0"/>
              <w:rPr>
                <w:sz w:val="20"/>
                <w:szCs w:val="20"/>
                <w:color w:val="auto"/>
              </w:rPr>
            </w:pPr>
            <w:r>
              <w:rPr>
                <w:rFonts w:ascii="Arial" w:cs="Arial" w:eastAsia="Arial" w:hAnsi="Arial"/>
                <w:sz w:val="18"/>
                <w:szCs w:val="18"/>
                <w:color w:val="auto"/>
                <w:w w:val="89"/>
              </w:rPr>
              <w:t>60</w:t>
            </w:r>
          </w:p>
        </w:tc>
        <w:tc>
          <w:tcPr>
            <w:tcW w:w="140" w:type="dxa"/>
            <w:vAlign w:val="bottom"/>
          </w:tcPr>
          <w:p>
            <w:pPr>
              <w:spacing w:after="0"/>
              <w:rPr>
                <w:sz w:val="24"/>
                <w:szCs w:val="24"/>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Natural history study Reachable work space</w:t>
            </w:r>
          </w:p>
        </w:tc>
        <w:tc>
          <w:tcPr>
            <w:tcW w:w="2680" w:type="dxa"/>
            <w:vAlign w:val="bottom"/>
          </w:tcPr>
          <w:p>
            <w:pPr>
              <w:jc w:val="center"/>
              <w:spacing w:after="0"/>
              <w:rPr>
                <w:sz w:val="20"/>
                <w:szCs w:val="20"/>
                <w:color w:val="auto"/>
              </w:rPr>
            </w:pPr>
            <w:r>
              <w:rPr>
                <w:rFonts w:ascii="Arial" w:cs="Arial" w:eastAsia="Arial" w:hAnsi="Arial"/>
                <w:sz w:val="18"/>
                <w:szCs w:val="18"/>
                <w:color w:val="auto"/>
                <w:w w:val="93"/>
              </w:rPr>
              <w:t>Ongoing</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Reachable Work Space (SRA 003-</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Biomarker Preparatory Study (Fulcrum SRA 002-2018)</w:t>
      </w:r>
    </w:p>
    <w:p>
      <w:pPr>
        <w:spacing w:after="0" w:line="117" w:lineRule="exact"/>
        <w:rPr>
          <w:sz w:val="20"/>
          <w:szCs w:val="20"/>
          <w:color w:val="auto"/>
        </w:rPr>
      </w:pPr>
    </w:p>
    <w:p>
      <w:pPr>
        <w:jc w:val="both"/>
        <w:ind w:right="240" w:firstLine="546"/>
        <w:spacing w:after="0" w:line="342" w:lineRule="auto"/>
        <w:rPr>
          <w:sz w:val="20"/>
          <w:szCs w:val="20"/>
          <w:color w:val="auto"/>
        </w:rPr>
      </w:pPr>
      <w:r>
        <w:rPr>
          <w:rFonts w:ascii="Arial" w:cs="Arial" w:eastAsia="Arial" w:hAnsi="Arial"/>
          <w:sz w:val="16"/>
          <w:szCs w:val="16"/>
          <w:color w:val="auto"/>
        </w:rPr>
        <w:t>We designed this preparatory study to investigate, inform and optimize the DUX4-driven gene expression and MRI efficacy biomarker endpoints that are currently in use in Phase 2 clinical trials of losmapimod for the treatment of FSHD. We enrolled and evaluated 17 subjects at seven clinical sites.</w:t>
      </w:r>
    </w:p>
    <w:p>
      <w:pPr>
        <w:spacing w:after="0" w:line="124"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This preparatory study was designed to measure aberrant DUX4-driven gene expression in affected skeletal muscle via a subset of DUX4-driven gene transcripts in order to develop a molecular muscle endpoint designed to track the root cause of disease. We are using MRI to inform affected leg muscles selected for biopsy. Based on the results of this study, we believe that the DUX4-driven gene transcript measurement could be a primary endpoint in a clinical trial to support accelerated approval of losmapimod for FSHD. We are also using whole-body MRI scans one to three months apart to evaluate changes in skeletal muscle health (lean muscle tissue volume and muscle tissue infiltration and replacement by fat).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ind w:right="60" w:firstLine="546"/>
        <w:spacing w:after="0" w:line="263" w:lineRule="auto"/>
        <w:rPr>
          <w:sz w:val="20"/>
          <w:szCs w:val="20"/>
          <w:color w:val="auto"/>
        </w:rPr>
      </w:pPr>
      <w:r>
        <w:rPr>
          <w:rFonts w:ascii="Arial" w:cs="Arial" w:eastAsia="Arial" w:hAnsi="Arial"/>
          <w:sz w:val="18"/>
          <w:szCs w:val="18"/>
          <w:color w:val="auto"/>
        </w:rPr>
        <w:t>The subjects have clinical severity scores of two to four on the Ricci scale, which is the clinical impairment disability scale for patients with FSHD, where a zero indicates that a subject has no disability and five indicates that a subject is permanently dependent upon the use of a wheelchair for daily mobility activities.</w:t>
      </w:r>
    </w:p>
    <w:p>
      <w:pPr>
        <w:spacing w:after="0" w:line="184"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We also are using other MRI-based measures as secondary endpoints in our ongoing Phase 2 clinical trials of losmapimod. We believe that muscle pathology in skeletal muscles of patients with FSHD is predictive of muscle degradation and subsequent fat replacement. We are utilizing MRI-based endpoints to identify the level of muscle pathology and the overall fat content in muscles. MRI imaging sequences, which are settings of pulses and gradients, have been developed that enable an increased contrast between tissues of interest. We use a T2 MRI sequence to observe and quantify areas of high muscle water content, or muscle edema, which is a marker of muscle pathology. These areas have a higher T2 value than the background tissue. T2 provides information about the muscle’s physiological status, however it is not specific for muscle edema and may indicate other abnormal conditions in muscle tissue. We are using the Dixon MRI sequence, or the Dixon method, to quantify the fat content of muscles, which is a marker for muscle degradation. The Dixon method separates the signals from water and fat and the separated fat signal can then be utilized to determine the fat infiltration and fraction within the muscle. We are using these MRI-based approaches as additional efficacy endpoints in our Phase 2 open label trial and Phase 2b clinical trial to identify muscles with higher levels of muscle pathology for muscle biopsy, as evidenced by a higher signal in the T2 sequence, and muscle degradation, as evidenced by intermediate levels of muscle fat fraction determined using the Dixon method.</w:t>
      </w:r>
    </w:p>
    <w:p>
      <w:pPr>
        <w:spacing w:after="0" w:line="172"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A third-party study found that these MRI techniques, when applied to FSHD skeletal muscles, were able to quantify the increase in muscle pathology, as measured by fat fraction, as determined using the Dixon method, over a 20-month period. In particular, skeletal muscles with severe muscle pathology, as determined by elevated T2 signal, demonstrated progressive worsening of fat fraction over this period. This effect was observed as early as six months. Skeletal muscles in patients with FSHD that had low muscle pathology, based on a low T2 signal, demonstrated both lower levels of fat fraction and slower fat fraction progression. We believe that these data suggest that fat fraction progression is higher in muscles with a higher level of muscle pathology as measured by T2, and support the usage of these MRI-based endpoints in our ongoing clinical trials of losmapimod for the treatment of FSHD.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Optimized Time Up and Go Test Preparatory Study (Fulcrum SRA 003-2018)</w:t>
      </w:r>
    </w:p>
    <w:p>
      <w:pPr>
        <w:spacing w:after="0" w:line="117" w:lineRule="exact"/>
        <w:rPr>
          <w:sz w:val="20"/>
          <w:szCs w:val="20"/>
          <w:color w:val="auto"/>
        </w:rPr>
      </w:pPr>
    </w:p>
    <w:p>
      <w:pPr>
        <w:ind w:right="60" w:firstLine="546"/>
        <w:spacing w:after="0" w:line="296" w:lineRule="auto"/>
        <w:rPr>
          <w:sz w:val="20"/>
          <w:szCs w:val="20"/>
          <w:color w:val="auto"/>
        </w:rPr>
      </w:pPr>
      <w:r>
        <w:rPr>
          <w:rFonts w:ascii="Arial" w:cs="Arial" w:eastAsia="Arial" w:hAnsi="Arial"/>
          <w:sz w:val="16"/>
          <w:szCs w:val="16"/>
          <w:color w:val="auto"/>
        </w:rPr>
        <w:t>We evaluated a modified version of the classic time up and go, or classic TUG, test that we are optimizing as a clinical outcome assessment of mobility and ambulation, which we refer to as the FSHD-TUG test. The classic TUG test requires patients to get up from a chair, walk three meters, turn around, walk back to the chair and sit down. It was originally developed for clinical practice to assess mobility, balance, walking ability and fall risk in older adults prior to discharge from hospitalization and was used recently as a key secondary efficacy endpoint in a registration trial in multiple sclerosis in Europe. The classic TUG test is also one of the clinical outcome assessments in the ReSOLVE natural history study discussed below.</w:t>
      </w:r>
    </w:p>
    <w:p>
      <w:pPr>
        <w:spacing w:after="0" w:line="161"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While we believe that the classic TUG test is a valid, reliable and objective test to quantify functional mobility in all age groups, we believe that a minor modification, asking patients to get up from a standardized bed, will be more appropriate for FSHD patients. We believe that the FSHD-TUG test may be more sensitive to measure treatment effects in patients with FSHD. Patients with FSHD generally have a difficult time rising from a chair and even more so from a recumbent position and this difficulty progresses over time. Patients with FSHD report that limitations in mobility and in the use of the shoulders and upper arms are the two most important areas of concern. The FSHD-TUG test may be a useful clinical outcome assessment endpoint for measurement of treatment effects of losmapimod on mobility.</w:t>
      </w:r>
    </w:p>
    <w:p>
      <w:pPr>
        <w:spacing w:after="0" w:line="192"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We tested the FSHD-TUG test in comparison to the classic TUG test in a group of 22 subjects with FSHD and in 20 healthy volunteers who are age and gender matched. The subjects had clinical severity scores of one to four on the Ricci scale. We evaluated the subjects in five visits over approximately 12 months. In addition, 10 of these subjects were enrolled in a three-month sub-study to assess mobility at home using a touchless sensor and machine learning platform for health analytics. We believe that this sub-study will provide valuable information regarding how measures of mobility conducted during clinical visits compare to mobility in every-day setting in subject’s homes. We are analyzing the data from these studies to inform our ongoing Phase 2 trials of losmapimod for the treatment of FSHD.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Patient Input (Fulcrum SRA 004-2018)</w:t>
      </w:r>
    </w:p>
    <w:p>
      <w:pPr>
        <w:spacing w:after="0" w:line="117" w:lineRule="exact"/>
        <w:rPr>
          <w:sz w:val="20"/>
          <w:szCs w:val="20"/>
          <w:color w:val="auto"/>
        </w:rPr>
      </w:pPr>
    </w:p>
    <w:p>
      <w:pPr>
        <w:ind w:right="100" w:firstLine="546"/>
        <w:spacing w:after="0" w:line="273" w:lineRule="auto"/>
        <w:rPr>
          <w:sz w:val="20"/>
          <w:szCs w:val="20"/>
          <w:color w:val="auto"/>
        </w:rPr>
      </w:pPr>
      <w:r>
        <w:rPr>
          <w:rFonts w:ascii="Arial" w:cs="Arial" w:eastAsia="Arial" w:hAnsi="Arial"/>
          <w:sz w:val="17"/>
          <w:szCs w:val="17"/>
          <w:color w:val="auto"/>
        </w:rPr>
        <w:t>We also obtained direct patient input into the design and feasibility of our Phase 2b clinical trial by having 79 patients with FSHD complete a survey based on their review of the proposed schedule of clinical assessments for the trial. The patients provided their views on their willingness to participate and any potential barriers to their participation in our then-planned Phase 2b clinical trial. We conducted these surveys during a face-to-face interview in clinics in the United States and France, via an internet survey for members of an FSHD registry in the United Kingdom and through in-person groups in Canada. This survey study provided us with the ability to refine the protocol for our ongoing Phase 2b clinical trial, if needed, and to inform the design of the long-term open label extension of the ReDUX4 trial to reflect the feedback from patients.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ReSOLVE Natural History Study</w:t>
      </w:r>
    </w:p>
    <w:p>
      <w:pPr>
        <w:spacing w:after="0" w:line="117"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up to 160 subjects for 24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60 subjects for 24 months.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65"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In connection with the ReSOLVE study, we have funded the addition of a clinical outcome assessment, which we refer to as reachable work space, or RWS. RWS is an objective assessment of upper arm function in a quantitative manner by measuring arm and shoulder mobility with and without weights. A hallmark of FSHD progression is weakness in the shoulder muscles and upper arms that eventually leads to an inability of patients to lift their arms above their shoulders. The RWS assessments are analyzed by a central reader. We have provided standardized hardware, software, and testing conditions to evaluate RWS at eight sites that are part of the ReSOLVE study in the United States and at three European sites. Furthermore, the RWS assessment has been registered as medical device in the U.S., Canada and Europe.</w:t>
      </w:r>
    </w:p>
    <w:p>
      <w:pPr>
        <w:spacing w:after="0" w:line="178"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A recent third-party study assessed changes in RWS for 18 subjects with FSHD for up to five years. As illustrated in the figure below, the study concluded that the RWS measure is able to detect slow declines in upper extremity function in subjects with FSHD as early as 1 year. The study also found that the most notable declines in RWS were in above-the-shoulder level quadrants with no significant changes in lower quadrants and that RWS declined more significantly if the subjects wore 500-gram weights on their wrists.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144780</wp:posOffset>
            </wp:positionV>
            <wp:extent cx="2520315" cy="2160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2031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1</w:t>
      </w:r>
    </w:p>
    <w:p>
      <w:pPr>
        <w:spacing w:after="0" w:line="117"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We conducted a randomized Phase 1 clinical trial of losmapimod in healthy adult volunteers and patients with FSHD in Europe under a CTA that we filed in December 2018. The primary objective of the trial was to investigate the safety and tolerability of losmapimod in healthy volunteers and in FSHD patients. The secondary objective was to evaluate repeated dose PK, and target engagement in FSHD patients in blood and muscle. This trial completed dosing in September 2019 and we presented unblinded data in March 2020.</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6" w:name="page27"/>
    <w:bookmarkEnd w:id="26"/>
    <w:p>
      <w:pPr>
        <w:ind w:right="80" w:firstLine="546"/>
        <w:spacing w:after="0" w:line="275" w:lineRule="auto"/>
        <w:rPr>
          <w:sz w:val="20"/>
          <w:szCs w:val="20"/>
          <w:color w:val="auto"/>
        </w:rPr>
      </w:pPr>
      <w:r>
        <w:rPr>
          <w:rFonts w:ascii="Arial" w:cs="Arial" w:eastAsia="Arial" w:hAnsi="Arial"/>
          <w:sz w:val="17"/>
          <w:szCs w:val="17"/>
          <w:color w:val="auto"/>
        </w:rPr>
        <w:t>In the first cohort, 10 healthy volunteers were randomized to a single oral dose of 7.5 mg of losmapimod (n=8) followed by a single oral dose of 15 mg after a wash out period or to single oral dose placebo (n=2) in both dosing periods. In the second cohort, 15 FSHD patients were randomized and treated with placebo (n=3) or 7.5 mg of losmapimod (n=6) or 15 mg of losmapimod (n=6) taken orally twice daily for 14 days. The third cohort was open label with five FSHD patients treated with 15 mg of losmapimod twice daily for 14 days. Biopsies of normal appearing (second cohort) and actively involved (STIR+) muscle (third cohort) were performed at baseline and during treatment.</w:t>
      </w:r>
    </w:p>
    <w:p>
      <w:pPr>
        <w:spacing w:after="0" w:line="176"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Losmapimod was well tolerated with no serious adverse events reported. Similar tolerability, safety and PK were observed in healthy volunteers and patients with FSHD. Treatment with losmapimod demonstrated dose-dependent PK and target engagement in blood. FSHD patients treated with losmapimod also achieved dose-dependent concentrations in skeletal muscle, with a muscle to plasma exposure ratio of approximately 1:1. Evidence of dose-dependent target engagement was also observed in skeletal muscle. The losmapimod 15 mg dose taken orally twice daily demonstrated sustained drug concentrations that in preclinical models with human FSHD myotubes resulted in a robust reduction of DUX4-driven gene expression. These data support the selection of the 15 mg dose of losmapimod taken orally twice daily in our ongoing Phase 2b placebo-controlled clinical trial and Phase 2 open label clinical trial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149860</wp:posOffset>
            </wp:positionV>
            <wp:extent cx="1757045" cy="1697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5704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firstLine="546"/>
        <w:spacing w:after="0" w:line="279" w:lineRule="auto"/>
        <w:rPr>
          <w:sz w:val="20"/>
          <w:szCs w:val="20"/>
          <w:color w:val="auto"/>
        </w:rPr>
      </w:pPr>
      <w:r>
        <w:rPr>
          <w:rFonts w:ascii="Arial" w:cs="Arial" w:eastAsia="Arial" w:hAnsi="Arial"/>
          <w:sz w:val="17"/>
          <w:szCs w:val="17"/>
          <w:color w:val="auto"/>
        </w:rPr>
        <w:t>We manufactured the losmapimod capsules for this trial prior to our license agreement with GSK. For our ongoing Phase 2 clinical trials, we are using losmapimod tablets that were manufactured by GSK. We confirmed that the PK of the losmapimod capsules were consistent with published data on the PK of the losmapimod tablets manufactured by GSK. We also confirmed that the p38α/ß target engagement in blood from our losmapimod capsules is consistent with the previous data on target engagement of the losmapimod tablets manufactured by GSK.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2b (ReDUX4)</w:t>
      </w:r>
    </w:p>
    <w:p>
      <w:pPr>
        <w:spacing w:after="0" w:line="117"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In August 2019, we initiated a randomized, double-blind, placebo-controlled multicenter international Phase 2b clinical trial in 80 patients with FSHD1 and clinical severity scores of two to four on the Ricci scale. In this trial, we are evaluating treatment with 15 mg of losmapimod or placebo tablets twice per day over a 24 or 48-week period. Enrollment was completed in February 2020. Patients were randomized 1:1 between the treatment and placebo arms. The FDA accepted the IND for losmapimod in June 2019, and we also submitted CTAs at various dates during 2019 to conduct the trial at sites in Europe and Canada, all of which were accepted.</w:t>
      </w:r>
    </w:p>
    <w:p>
      <w:pPr>
        <w:spacing w:after="0" w:line="188"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The primary endpoint is the reduction of DUX4-driven gene expression in affected skeletal muscle biopsies before treatment and after approximately 16 weeks or 36 weeks of treatment. We selected the number of patients to enroll in this trial based on the magnitude of reduction of DUX4-driven gene expression that we have observed in our preclinical studies using losmapimod concentrations similar to those measured when dosing with 15 mg twice per day in clinical trials completed by GSK.</w:t>
      </w:r>
    </w:p>
    <w:p>
      <w:pPr>
        <w:spacing w:after="0" w:line="187" w:lineRule="exact"/>
        <w:rPr>
          <w:sz w:val="20"/>
          <w:szCs w:val="20"/>
          <w:color w:val="auto"/>
        </w:rPr>
      </w:pPr>
    </w:p>
    <w:p>
      <w:pPr>
        <w:ind w:right="60" w:firstLine="546"/>
        <w:spacing w:after="0" w:line="279" w:lineRule="auto"/>
        <w:rPr>
          <w:sz w:val="20"/>
          <w:szCs w:val="20"/>
          <w:color w:val="auto"/>
        </w:rPr>
      </w:pPr>
      <w:r>
        <w:rPr>
          <w:rFonts w:ascii="Arial" w:cs="Arial" w:eastAsia="Arial" w:hAnsi="Arial"/>
          <w:sz w:val="17"/>
          <w:szCs w:val="17"/>
          <w:color w:val="auto"/>
        </w:rPr>
        <w:t>Secondary endpoints of the trial include evaluation of safety and tolerability in FSHD patients, PK in blood, losmapimod concentration in skeletal muscle biopsies, p38α/ß target engagement in blood and in muscle biopsies, and efficacy on the whole-body skeletal muscle MRI biomarker. This trial also includes evaluation of exploratory efficacy endpoints including centrally read RWS, FSHD-TUG test and patient-reported outcomes and muscle strength measured by quantitative dynamometry and motor function ability measurements obtained by physical therapists.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firstLine="546"/>
        <w:spacing w:after="0" w:line="269" w:lineRule="auto"/>
        <w:rPr>
          <w:sz w:val="20"/>
          <w:szCs w:val="20"/>
          <w:color w:val="auto"/>
        </w:rPr>
      </w:pPr>
      <w:r>
        <w:rPr>
          <w:rFonts w:ascii="Arial" w:cs="Arial" w:eastAsia="Arial" w:hAnsi="Arial"/>
          <w:sz w:val="17"/>
          <w:szCs w:val="17"/>
          <w:color w:val="auto"/>
        </w:rPr>
        <w:t>The original design of ReDUX4 included a muscle biopsy at week 16 during the 24-week treatment period followed by an open label extension. Sixteen of the 80 subjects in trial have completed the 24-week treatment period and rolled over to the open label extension portion of the trial. As a result of the COVID-19 pandemic, we extended the ReDUX4 treatment period from 24 to 48 weeks through a protocol amendment to ensure the safety of the subjects and to allow for the opportunity for a biopsy at week 16 as originally intended or at week 36. Approximately 64 subjects who did not complete the original 24-week treatment period continued in the 48-week treatment period in the randomized portion of the trial. The extension from 24 to 48 weeks also allows for a longer assessment in a placebo-controlled design of the skeletal muscle MRI secondary endpoint and the various exploratory clinical endpoints, such as reachable workspace, optimized time up and go test for FSHD, muscle function measures and patient reported outcomes. We expect to present full data from the trial in the second quarter of 2021. We believe that the amendment to the trial protocol provides flexibility to address the challenges presented by the COVID-19 pandemic and supports collection of efficacy and safety data to support continued discussions with regulatory agencies regarding potential registration strategies.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graphic below presents the design of the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168910</wp:posOffset>
            </wp:positionV>
            <wp:extent cx="5709285" cy="3068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928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In August 2020, we announced results from a pre-specified interim analysis of the primary endpoint of the ReDUX4 trial, which is the reduction from baseline of DUX4-driven gene expression in affected skeletal muscle after subjects have been treated with losmapimod or placebo. Secondary and exploratory endpoints were not assessed as part of this analysis. Results from the interim analysis in the first 29 randomized subjects indicate that DUX4-driven gene expression did not show a separation from placebo at 16 weeks. However, in a pre-specified sensitivity analysis, those with the highest pre-treatment DUX4-driven gene expression in their muscle biopsy sample showed a large reduction in DUX4-driven gene expression following treatment with losmapimod compared to placebo. The highest expressing muscle biopsies represent the top quartile of biopsies assessed based on baseline DUX4-driven gene expression.</w:t>
      </w:r>
    </w:p>
    <w:p>
      <w:pPr>
        <w:spacing w:after="0" w:line="195"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The interim results included an analysis of the first 29 subjects who completed their 16-week biopsy out of the 80 subjects enrolled. Pharmacokinetics, demographics and the primary endpoint were assessed. The interim analysis was not powered for statistical significance and did not include individual patient level data. Subjects were randomized to receive an oral dose of losmapimod 15mg (n=15) or placebo (n=14) twice per day. While results showed a significant reduction in DUX4-driven gene expression in the muscle biopsies of subjects whose baseline biopsy showed the highest levels of DUX4 gene expression (38-fold decrease with losmapimod, n=3, and 5.4 fold-decrease with placebo, n=5), the population level data analysis of the reduction in DUX4-driven gene expression from all 29 subjects did not show a separation of losmapimod from placebo (3.7 fold increase with losmapimod, n=15, and 2.8 fold increase with placebo, n=14). Results indicated that muscle biopsies within the higher range of DUX4-driven gene expression at baseline may be needed to observe a reduction. These interim results are shown in the graphics below.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380365</wp:posOffset>
            </wp:positionV>
            <wp:extent cx="5297805" cy="2348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29780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ReDUX4 Open Label Extension</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February 2020 we initiated an open label extension of the ReDUX4 trial to enable patients who have completed the 24-week or 48-week treatment period with losmapimod or placebo in ReDUX4 to receive long term treatment with losmapimod. This open label extension includes clinical assessments of safety and efficacy every three months, whole-body musculoskeletal MRI every six months, and a muscle needle biopsy once after six months of treatment. We anticipate that this trial will continue until such time as the drug is approved and available in the commercial setting or the clinical development of losmapimod in FSHD is terminated.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Phase 2 Open Label Study Trial</w:t>
      </w:r>
    </w:p>
    <w:p>
      <w:pPr>
        <w:spacing w:after="0" w:line="117"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In parallel with the Phase 2b clinical trial, we also initiated in August 2019 an open label, single center Phase 2 clinical trial of losmapimod in up to 16 patients with FSHD1 and clinical severity scores of two to four on the Ricci scale. Patients receive tablets containing 15 mg of losmapimod twice per day for up to 52 weeks. The treatment period is preceded by eight weeks of pre-treatment assessments to establish a baseline for musculoskeletal MRI biomarkers and clinical outcome assessments. We also performed an outpatient mobility assessment using wearable sensors. We are conducting the trial at a single center in the Netherlands.</w:t>
      </w:r>
    </w:p>
    <w:p>
      <w:pPr>
        <w:spacing w:after="0" w:line="188"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p38α/ß during the dosing period. This trial is also designed to provide initial data regarding changes in DUX4-driven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192"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We will measure DUX4-driven gene expression before and during treatment using muscle needle biopsies in affected muscles. All patients had a pre-treatment biopsy and we will obtain a second muscle needle biopsy from each patient after four or eight weeks of treatment. The original trial design included an additional biopsy during chronic treatment at week 48, but we have removed this assessment from the trial protocol because the open label extension of ReDUX4 includes a biopsy during chronic treatment.</w:t>
      </w:r>
    </w:p>
    <w:p>
      <w:pPr>
        <w:spacing w:after="0" w:line="187"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We will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are RWS, FSHD-TUG, muscle strength, motor function ability and generic and FSHD-specific patient reports of quality of life and activities of daily living. Other exploratory assessments include the six minute walk test, spirometry, and muscle ultrasound. There is also an assessment of day-to-day mobility using wearable sensors.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9" w:name="page30"/>
    <w:bookmarkEnd w:id="29"/>
    <w:p>
      <w:pPr>
        <w:ind w:left="560"/>
        <w:spacing w:after="0"/>
        <w:rPr>
          <w:sz w:val="20"/>
          <w:szCs w:val="20"/>
          <w:color w:val="auto"/>
        </w:rPr>
      </w:pPr>
      <w:r>
        <w:rPr>
          <w:rFonts w:ascii="Arial" w:cs="Arial" w:eastAsia="Arial" w:hAnsi="Arial"/>
          <w:sz w:val="18"/>
          <w:szCs w:val="18"/>
          <w:color w:val="auto"/>
        </w:rPr>
        <w:t>The graphic below presents the design of the Phase 2 open label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168910</wp:posOffset>
            </wp:positionV>
            <wp:extent cx="5760720" cy="2280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Research</w:t>
      </w:r>
    </w:p>
    <w:p>
      <w:pPr>
        <w:spacing w:after="0" w:line="11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We engaged Clarion Healthcare, LLC to conduct market research with physicians and payors to better understand the commercial landscape and to assist in our commercial planning. A total of 14 physicians in the United States, European Union and Asia and nine payors and payor experts in the United States and European Union were surveyed. Both groups acknowledged the severity of the disease and lack of any existing therapies for patients. Physicians were asked their views on potentially prescribing a small molecule product candidate that effectively repressed DUX4 gene expression in skeletal muscle and resulted in the preservation of muscle function. Based on an April 2018 report prepared by Clarion, we believe that physicians would be receptive to prescribing a product with these qualities, subject to the efficacy and safety of the product, due to the chronic nature of the disease.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 for Hemoglobinopathies</w:t>
      </w:r>
    </w:p>
    <w:p>
      <w:pPr>
        <w:spacing w:after="0" w:line="117" w:lineRule="exact"/>
        <w:rPr>
          <w:sz w:val="20"/>
          <w:szCs w:val="20"/>
          <w:color w:val="auto"/>
        </w:rPr>
      </w:pPr>
    </w:p>
    <w:p>
      <w:pPr>
        <w:ind w:right="220" w:firstLine="546"/>
        <w:spacing w:after="0" w:line="308" w:lineRule="auto"/>
        <w:rPr>
          <w:sz w:val="20"/>
          <w:szCs w:val="20"/>
          <w:color w:val="auto"/>
        </w:rPr>
      </w:pPr>
      <w:r>
        <w:rPr>
          <w:rFonts w:ascii="Arial" w:cs="Arial" w:eastAsia="Arial" w:hAnsi="Arial"/>
          <w:sz w:val="17"/>
          <w:szCs w:val="17"/>
          <w:color w:val="auto"/>
        </w:rPr>
        <w:t>Hemoglobinopathies are a category of genetic disorders affecting RBCs. We intend to develop FTX-6058 to elevate the level of fetal hemoglobin for the treatment of patients with certain hemoglobinopathies, namely sickle cell disease and for certain types of ß-thalassemia.</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Sickle Cell Disease</w:t>
      </w:r>
    </w:p>
    <w:p>
      <w:pPr>
        <w:spacing w:after="0" w:line="117" w:lineRule="exact"/>
        <w:rPr>
          <w:sz w:val="20"/>
          <w:szCs w:val="20"/>
          <w:color w:val="auto"/>
        </w:rPr>
      </w:pPr>
    </w:p>
    <w:p>
      <w:pPr>
        <w:ind w:right="280" w:firstLine="546"/>
        <w:spacing w:after="0" w:line="257" w:lineRule="auto"/>
        <w:rPr>
          <w:sz w:val="20"/>
          <w:szCs w:val="20"/>
          <w:color w:val="auto"/>
        </w:rPr>
      </w:pPr>
      <w:r>
        <w:rPr>
          <w:rFonts w:ascii="Arial" w:cs="Arial" w:eastAsia="Arial" w:hAnsi="Arial"/>
          <w:sz w:val="18"/>
          <w:szCs w:val="18"/>
          <w:color w:val="auto"/>
        </w:rPr>
        <w:t>Sickle cell disease is a genetic disorder of RBCs. 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188"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In the United States, where newborn screening for SCD is mandatory, the estimated prevalence is approximately 100,000 individuals. In Europe, the estimated prevalence is approximately 134,000 individuals according to the EMA. According to the World Health Organization, the global incidence is estimated to be approximately 300,000 births annually. SCD is most prevalent in Africa and the Middle East.</w:t>
      </w:r>
    </w:p>
    <w:p>
      <w:pPr>
        <w:spacing w:after="0" w:line="211" w:lineRule="exact"/>
        <w:rPr>
          <w:sz w:val="20"/>
          <w:szCs w:val="20"/>
          <w:color w:val="auto"/>
        </w:rPr>
      </w:pPr>
    </w:p>
    <w:p>
      <w:pPr>
        <w:ind w:right="340" w:firstLine="546"/>
        <w:spacing w:after="0" w:line="291" w:lineRule="auto"/>
        <w:rPr>
          <w:sz w:val="20"/>
          <w:szCs w:val="20"/>
          <w:color w:val="auto"/>
        </w:rPr>
      </w:pPr>
      <w:r>
        <w:rPr>
          <w:rFonts w:ascii="Arial" w:cs="Arial" w:eastAsia="Arial" w:hAnsi="Arial"/>
          <w:sz w:val="16"/>
          <w:szCs w:val="16"/>
          <w:color w:val="auto"/>
        </w:rPr>
        <w:t>Approved drug treatments for SCD focus primarily on the management and reduction of pain episodes, vaso-occlusive crises, and inhibition of hemoglobin S polymerization. The four drug treatments approved in the United States are hydroxyurea, voxelotor, crizanlizumab, and L-glutamine. 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Voxelotor, marketed by Global Blood Therapeutics, is approved under accelerated approval as a hemoglobin polymerization inhibitor. Crizanlizumab, marketed by Novartis AG, or Novartis, is approved for the reduction in the frequency of vaso-occlusive crises.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firstLine="546"/>
        <w:spacing w:after="0" w:line="275" w:lineRule="auto"/>
        <w:rPr>
          <w:sz w:val="20"/>
          <w:szCs w:val="20"/>
          <w:color w:val="auto"/>
        </w:rPr>
      </w:pPr>
      <w:r>
        <w:rPr>
          <w:rFonts w:ascii="Arial" w:cs="Arial" w:eastAsia="Arial" w:hAnsi="Arial"/>
          <w:sz w:val="17"/>
          <w:szCs w:val="17"/>
          <w:color w:val="auto"/>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176" w:lineRule="exact"/>
        <w:rPr>
          <w:sz w:val="20"/>
          <w:szCs w:val="20"/>
          <w:color w:val="auto"/>
        </w:rPr>
      </w:pPr>
    </w:p>
    <w:p>
      <w:pPr>
        <w:ind w:right="60" w:firstLine="546"/>
        <w:spacing w:after="0" w:line="269" w:lineRule="auto"/>
        <w:rPr>
          <w:sz w:val="20"/>
          <w:szCs w:val="20"/>
          <w:color w:val="auto"/>
        </w:rPr>
      </w:pPr>
      <w:r>
        <w:rPr>
          <w:rFonts w:ascii="Arial" w:cs="Arial" w:eastAsia="Arial" w:hAnsi="Arial"/>
          <w:sz w:val="17"/>
          <w:szCs w:val="17"/>
          <w:color w:val="auto"/>
        </w:rPr>
        <w:t>While multiple experimental approaches to treat SCD are being explored in clinical trials, the majority are focused on symptomatic relief or gene therapy approaches. Symptomatic approaches under investigation aim to affect issues associated with cell adhesion, sickling, thrombosis and iron homeostasis. We anticipate that a novel orally available therapy that affects the root cause of SCD may be used in combination with symptomatic therapeutics. Novartis and Global Blood Therapeutics, Inc. have received approval for therapies aiming to provide symptomatic relief for patients with SCD. Several gene therapy approaches to treat SCD are focused on elevating fetal hemoglobin,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fetal hemoglobin.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SCD Biology</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 xml:space="preserve">SCD is caused by a mutation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This gene encodes a protein that is a key component of hemoglobin, a protein complex whose function is to transport oxygen in the body. Hemoglobin in adults is a complex of four proteins, two hemoglobin ß-subunits and two hemoglobin α-subunits. In patients with SCD, hemoglobin is composed of two mutant ß-subunits and two α-subunits and the result is the formation of abnormal hemoglobin.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192"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 xml:space="preserve">During fetal development, the major form of hemoglobin is fetal hemoglobin. Similar to hemoglobin in adults, fetal hemoglobin is also a complex of four proteins, two α-subunits and two γ-subunits. Shortly after birth, the genes encoding the γ-subunits, the </w:t>
      </w:r>
      <w:r>
        <w:rPr>
          <w:rFonts w:ascii="Arial" w:cs="Arial" w:eastAsia="Arial" w:hAnsi="Arial"/>
          <w:sz w:val="17"/>
          <w:szCs w:val="17"/>
          <w:i w:val="1"/>
          <w:iCs w:val="1"/>
          <w:color w:val="auto"/>
        </w:rPr>
        <w:t>HBG1</w:t>
      </w:r>
      <w:r>
        <w:rPr>
          <w:rFonts w:ascii="Arial" w:cs="Arial" w:eastAsia="Arial" w:hAnsi="Arial"/>
          <w:sz w:val="17"/>
          <w:szCs w:val="17"/>
          <w:color w:val="auto"/>
        </w:rPr>
        <w:t xml:space="preserve"> and </w:t>
      </w:r>
      <w:r>
        <w:rPr>
          <w:rFonts w:ascii="Arial" w:cs="Arial" w:eastAsia="Arial" w:hAnsi="Arial"/>
          <w:sz w:val="17"/>
          <w:szCs w:val="17"/>
          <w:i w:val="1"/>
          <w:iCs w:val="1"/>
          <w:color w:val="auto"/>
        </w:rPr>
        <w:t>HBG2</w:t>
      </w:r>
      <w:r>
        <w:rPr>
          <w:rFonts w:ascii="Arial" w:cs="Arial" w:eastAsia="Arial" w:hAnsi="Arial"/>
          <w:sz w:val="17"/>
          <w:szCs w:val="17"/>
          <w:color w:val="auto"/>
        </w:rPr>
        <w:t xml:space="preserve"> genes, are silenced and the </w:t>
      </w:r>
      <w:r>
        <w:rPr>
          <w:rFonts w:ascii="Arial" w:cs="Arial" w:eastAsia="Arial" w:hAnsi="Arial"/>
          <w:sz w:val="17"/>
          <w:szCs w:val="17"/>
          <w:i w:val="1"/>
          <w:iCs w:val="1"/>
          <w:color w:val="auto"/>
        </w:rPr>
        <w:t xml:space="preserve">HBB </w:t>
      </w:r>
      <w:r>
        <w:rPr>
          <w:rFonts w:ascii="Arial" w:cs="Arial" w:eastAsia="Arial" w:hAnsi="Arial"/>
          <w:sz w:val="17"/>
          <w:szCs w:val="17"/>
          <w:color w:val="auto"/>
        </w:rPr>
        <w:t>gene is activated. As described above, SCD is caused by a mutation in the</w:t>
      </w:r>
      <w:r>
        <w:rPr>
          <w:rFonts w:ascii="Arial" w:cs="Arial" w:eastAsia="Arial" w:hAnsi="Arial"/>
          <w:sz w:val="17"/>
          <w:szCs w:val="17"/>
          <w:i w:val="1"/>
          <w:iCs w:val="1"/>
          <w:color w:val="auto"/>
        </w:rPr>
        <w:t xml:space="preserve"> HBB </w:t>
      </w:r>
      <w:r>
        <w:rPr>
          <w:rFonts w:ascii="Arial" w:cs="Arial" w:eastAsia="Arial" w:hAnsi="Arial"/>
          <w:sz w:val="17"/>
          <w:szCs w:val="17"/>
          <w:color w:val="auto"/>
        </w:rPr>
        <w:t>gene that gives rise to mutated ß-subunits.</w:t>
      </w:r>
    </w:p>
    <w:p>
      <w:pPr>
        <w:spacing w:after="0" w:line="165" w:lineRule="exact"/>
        <w:rPr>
          <w:sz w:val="20"/>
          <w:szCs w:val="20"/>
          <w:color w:val="auto"/>
        </w:rPr>
      </w:pPr>
    </w:p>
    <w:p>
      <w:pPr>
        <w:ind w:right="280" w:firstLine="546"/>
        <w:spacing w:after="0" w:line="279" w:lineRule="auto"/>
        <w:rPr>
          <w:sz w:val="20"/>
          <w:szCs w:val="20"/>
          <w:color w:val="auto"/>
        </w:rPr>
      </w:pPr>
      <w:r>
        <w:rPr>
          <w:rFonts w:ascii="Arial" w:cs="Arial" w:eastAsia="Arial" w:hAnsi="Arial"/>
          <w:sz w:val="17"/>
          <w:szCs w:val="17"/>
          <w:color w:val="auto"/>
        </w:rPr>
        <w:t>A small subset of individuals with the sickle cell mutation continue to produce high levels of fetal hemoglobin due to inheritance of additional genetic mutations, which is called Hereditary Persistence of Fetal Hemoglobin, or HPFH. Patients with elevated fetal hemoglobin exhibit few, if any, clinical manifestations of SCD. Further, an increase of fetal hemoglobin as low as 3% over baseline in patients without HPFH, due to either therapeutic intervention or the inheritance of other genetic traits, can result in reduced clinical manifestations of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134620</wp:posOffset>
            </wp:positionV>
            <wp:extent cx="2897505" cy="1405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750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Our Approach to Address the Root Cause of SCD</w:t>
      </w:r>
    </w:p>
    <w:p>
      <w:pPr>
        <w:spacing w:after="0" w:line="117"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Our strategy to address the root cause of SCD was to identify a drug mechanism that induces expression of fetal hemoglobin. We believe that FTX-6058 may address the root cause of SCD through this mechanism of action.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Overview of </w:t>
      </w:r>
      <w:r>
        <w:rPr>
          <w:rFonts w:ascii="Arial" w:cs="Arial" w:eastAsia="Arial" w:hAnsi="Arial"/>
          <w:sz w:val="18"/>
          <w:szCs w:val="18"/>
          <w:color w:val="auto"/>
        </w:rPr>
        <w:t>ß</w:t>
      </w:r>
      <w:r>
        <w:rPr>
          <w:rFonts w:ascii="Arial" w:cs="Arial" w:eastAsia="Arial" w:hAnsi="Arial"/>
          <w:sz w:val="18"/>
          <w:szCs w:val="18"/>
          <w:i w:val="1"/>
          <w:iCs w:val="1"/>
          <w:color w:val="auto"/>
        </w:rPr>
        <w:t>-Thalassemia</w:t>
      </w:r>
    </w:p>
    <w:p>
      <w:pPr>
        <w:spacing w:after="0" w:line="117"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 xml:space="preserve">ß-thalassemia is a rare blood disorder associated with the absence or reduced production of ß-globin, which is one of the two proteins that comprise adult hemoglobin. This results in an abnormally low level of hemoglobin as well as an excess of α-globin chains that cause destruction of RBCs. The severity of the phenotype is related to the degree of imbalance between α- and non-α-globin chain synthesis. The absence of ß-globin due to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deletions is referred to as ß</w:t>
      </w:r>
      <w:r>
        <w:rPr>
          <w:rFonts w:ascii="Arial" w:cs="Arial" w:eastAsia="Arial" w:hAnsi="Arial"/>
          <w:sz w:val="13"/>
          <w:szCs w:val="13"/>
          <w:color w:val="auto"/>
        </w:rPr>
        <w:t>0</w:t>
      </w:r>
      <w:r>
        <w:rPr>
          <w:rFonts w:ascii="Arial" w:cs="Arial" w:eastAsia="Arial" w:hAnsi="Arial"/>
          <w:sz w:val="16"/>
          <w:szCs w:val="16"/>
          <w:color w:val="auto"/>
        </w:rPr>
        <w:t xml:space="preserve"> thalassemia. Other </w:t>
      </w:r>
      <w:r>
        <w:rPr>
          <w:rFonts w:ascii="Arial" w:cs="Arial" w:eastAsia="Arial" w:hAnsi="Arial"/>
          <w:sz w:val="16"/>
          <w:szCs w:val="16"/>
          <w:i w:val="1"/>
          <w:iCs w:val="1"/>
          <w:color w:val="auto"/>
        </w:rPr>
        <w:t>HBB</w:t>
      </w:r>
      <w:r>
        <w:rPr>
          <w:rFonts w:ascii="Arial" w:cs="Arial" w:eastAsia="Arial" w:hAnsi="Arial"/>
          <w:sz w:val="16"/>
          <w:szCs w:val="16"/>
          <w:color w:val="auto"/>
        </w:rPr>
        <w:t xml:space="preserve"> gene alterations allow some ß-globin to be produced but in reduced amounts. A reduced amount of ß-globin is called ß</w:t>
      </w:r>
      <w:r>
        <w:rPr>
          <w:rFonts w:ascii="Arial" w:cs="Arial" w:eastAsia="Arial" w:hAnsi="Arial"/>
          <w:sz w:val="13"/>
          <w:szCs w:val="13"/>
          <w:color w:val="auto"/>
        </w:rPr>
        <w:t>+</w:t>
      </w:r>
      <w:r>
        <w:rPr>
          <w:rFonts w:ascii="Arial" w:cs="Arial" w:eastAsia="Arial" w:hAnsi="Arial"/>
          <w:sz w:val="16"/>
          <w:szCs w:val="16"/>
          <w:color w:val="auto"/>
        </w:rPr>
        <w:t>thalassemia. Many patients with ß-thalassemia require chronic blood transfusions due to severe anemia that results from low hemoglobin levels, which are referred to as transfusion-dependent patients. It is estimated that 40,000 babies are born worldwide with ß-thalassemia per year of whom 25,000 require blood transfusions. Patients with ß-thalassemia are primarily treated by hematologists.</w:t>
      </w:r>
    </w:p>
    <w:p>
      <w:pPr>
        <w:spacing w:after="0" w:line="166"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ß-thalassemia has been clinically characterized into three forms, depending on disease severity: major, intermedia and minor. The most severe form, ß-thalassemia major (also known as Cooley’s anemia), is generally diagnosed shortly after birth and patients have life-threatening anemia. Pediatric patients do not grow and gain weight at the typical rates, and often have liver, heart and bone problems. Many ß-thalassemia major patients require frequent blood transfusions to prevent severe anemia, a treatment that itself can cause long-term problems due to a build-up of iron in the body. ß-thalassemia intermedia is a less severe form of the disease that results in mild to moderate anemia. These patients sometimes require blood transfusions depending on the severity of the symptoms. Patients with ß-thalassemia minor suffer from very mild anemia and generally do not require treatment. Having either ß</w:t>
      </w:r>
      <w:r>
        <w:rPr>
          <w:rFonts w:ascii="Arial" w:cs="Arial" w:eastAsia="Arial" w:hAnsi="Arial"/>
          <w:sz w:val="14"/>
          <w:szCs w:val="14"/>
          <w:color w:val="auto"/>
        </w:rPr>
        <w:t>0</w:t>
      </w:r>
      <w:r>
        <w:rPr>
          <w:rFonts w:ascii="Arial" w:cs="Arial" w:eastAsia="Arial" w:hAnsi="Arial"/>
          <w:sz w:val="17"/>
          <w:szCs w:val="17"/>
          <w:color w:val="auto"/>
        </w:rPr>
        <w:t xml:space="preserve"> or ß</w:t>
      </w:r>
      <w:r>
        <w:rPr>
          <w:rFonts w:ascii="Arial" w:cs="Arial" w:eastAsia="Arial" w:hAnsi="Arial"/>
          <w:sz w:val="14"/>
          <w:szCs w:val="14"/>
          <w:color w:val="auto"/>
        </w:rPr>
        <w:t>+</w:t>
      </w:r>
      <w:r>
        <w:rPr>
          <w:rFonts w:ascii="Arial" w:cs="Arial" w:eastAsia="Arial" w:hAnsi="Arial"/>
          <w:sz w:val="17"/>
          <w:szCs w:val="17"/>
          <w:color w:val="auto"/>
        </w:rPr>
        <w:t xml:space="preserve"> thalassemia does not necessarily predict clinical disease severity as people with both types have been diagnosed with thalassemia major and thalassemia intermedia. Any increase in fetal hemoglobin has the potential to ameliorate the disease.</w:t>
      </w:r>
    </w:p>
    <w:p>
      <w:pPr>
        <w:spacing w:after="0" w:line="178" w:lineRule="exact"/>
        <w:rPr>
          <w:sz w:val="20"/>
          <w:szCs w:val="20"/>
          <w:color w:val="auto"/>
        </w:rPr>
      </w:pPr>
    </w:p>
    <w:p>
      <w:pPr>
        <w:ind w:right="60" w:firstLine="546"/>
        <w:spacing w:after="0" w:line="288" w:lineRule="auto"/>
        <w:rPr>
          <w:sz w:val="20"/>
          <w:szCs w:val="20"/>
          <w:color w:val="auto"/>
        </w:rPr>
      </w:pPr>
      <w:r>
        <w:rPr>
          <w:rFonts w:ascii="Arial" w:cs="Arial" w:eastAsia="Arial" w:hAnsi="Arial"/>
          <w:sz w:val="16"/>
          <w:szCs w:val="16"/>
          <w:color w:val="auto"/>
        </w:rPr>
        <w:t>The current standard of care for many patients with ß-thalassemia is frequent blood transfusions to manage anemia. The only potentially curative therapy for ß-thalassemia is allogeneic hematopoietic stem cell transplant, which is associated with risks of complications, including mortality, and is limited to patients with a suitable donor. The European Commission granted conditional marketing authorization for ZYNTEGLO, a gene therapy developed by bluebird bio, Inc., or bluebird, for the treatment of adult and adolescent patients with transfusion-dependent ß-thalassemia and with certain genotypes, in Europe in June 2019. bluebird has initiated a rolling biologics license application, or BLA, submission for betibeglogene autotemcel in the United States, which is expected to be completed in mid-2021. Acceleron in collaboration with Celgene Corp., or Celgene, received FDA and EMA approval for luspatercept, an erythroid maturation agent for the treatment of adult patients with anemia associated with ß-thalassemia and who require frequent transfusions. There are also multiple other experimental approaches to treat ß-thalassemia being explored in clinical trials, including approaches that use small molecule, gene therapy and gene editing approaches. Despite ongoing efforts to develop new therapies for ß-thalassemia, we believe there is still a high unmet need that could be addressed by a small molecule, oral therapy to treatment the disease by increasing fetal hemoglobin.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Biology of ß-Thalassemia</w:t>
      </w:r>
    </w:p>
    <w:p>
      <w:pPr>
        <w:spacing w:after="0" w:line="117"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 xml:space="preserve">ß-thalassemia is caused by genetic mutations in the </w:t>
      </w:r>
      <w:r>
        <w:rPr>
          <w:rFonts w:ascii="Arial" w:cs="Arial" w:eastAsia="Arial" w:hAnsi="Arial"/>
          <w:sz w:val="18"/>
          <w:szCs w:val="18"/>
          <w:i w:val="1"/>
          <w:iCs w:val="1"/>
          <w:color w:val="auto"/>
        </w:rPr>
        <w:t>HBB</w:t>
      </w:r>
      <w:r>
        <w:rPr>
          <w:rFonts w:ascii="Arial" w:cs="Arial" w:eastAsia="Arial" w:hAnsi="Arial"/>
          <w:sz w:val="18"/>
          <w:szCs w:val="18"/>
          <w:color w:val="auto"/>
        </w:rPr>
        <w:t xml:space="preserve"> gene. The mutations interfere with the production of ß-globin. Some mutations result in no ß-globin being produced, while other mutations result in a decreased amount of ß-globin being produced.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Approach to Address the Root Cause of ß-Thalassemia</w:t>
      </w:r>
    </w:p>
    <w:p>
      <w:pPr>
        <w:spacing w:after="0" w:line="117"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We believe that some types of ß-thalassemia may be treated by a therapy that upregulates fetal hemoglobin. Babies born with ß-thalassemia major generally do not have any symptoms shortly after birth because they have fetal hemoglobin in their blood. As the fetal hemoglobin levels decrease after birth and the ß-globin fails to increase, anemia appears and the babies with ß-thalassemia begin to exhibit symptoms of the disease. Patients with ß-thalassemia intermedia that have higher levels of fetal hemoglobin have fewer symptoms than patients with low levels of fetal hemoglobin. We believe that FTX-6058 may be suitable for clinical development for the treatment of patients who are not ß</w:t>
      </w:r>
      <w:r>
        <w:rPr>
          <w:rFonts w:ascii="Arial" w:cs="Arial" w:eastAsia="Arial" w:hAnsi="Arial"/>
          <w:sz w:val="13"/>
          <w:szCs w:val="13"/>
          <w:color w:val="auto"/>
        </w:rPr>
        <w:t>0</w:t>
      </w:r>
      <w:r>
        <w:rPr>
          <w:rFonts w:ascii="Arial" w:cs="Arial" w:eastAsia="Arial" w:hAnsi="Arial"/>
          <w:sz w:val="16"/>
          <w:szCs w:val="16"/>
          <w:color w:val="auto"/>
        </w:rPr>
        <w:t xml:space="preserve"> but who are transfusion dependent.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Our Product Engine Identified the Drug Target for SCD and ß-Thalassemia</w:t>
      </w:r>
    </w:p>
    <w:p>
      <w:pPr>
        <w:spacing w:after="0" w:line="117"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 xml:space="preserve">Applying our product engine, we conducted target identification and validation activities using human umbilical cord blood-derived erythroid progenitor 2, or HUDEP2, cells as a model to study fetal hemoglobin reactivation. HUDEP2 cells are immature RBCs. By screening our small molecule probe library and a CRISPR library, we identified several potential drug targets that activated the </w:t>
      </w:r>
      <w:r>
        <w:rPr>
          <w:rFonts w:ascii="Arial" w:cs="Arial" w:eastAsia="Arial" w:hAnsi="Arial"/>
          <w:sz w:val="18"/>
          <w:szCs w:val="18"/>
          <w:i w:val="1"/>
          <w:iCs w:val="1"/>
          <w:color w:val="auto"/>
        </w:rPr>
        <w:t>HBG1/2</w:t>
      </w:r>
      <w:r>
        <w:rPr>
          <w:rFonts w:ascii="Arial" w:cs="Arial" w:eastAsia="Arial" w:hAnsi="Arial"/>
          <w:sz w:val="18"/>
          <w:szCs w:val="18"/>
          <w:color w:val="auto"/>
        </w:rPr>
        <w:t xml:space="preserve"> genes and resulted in fetal hemoglobin elevation. Each screening approach identified the same protein complex which we believe plays an important role in the expression of genes responsible for the production of fetal hemoglobin. We conducted additional validation experiments in which we observed that inhibition of several components of this complex resulted in the desired elevation of fetal hemoglobin. We also observed that inhibition of these components did not adversely affect important cell health markers.</w:t>
      </w:r>
    </w:p>
    <w:p>
      <w:pPr>
        <w:spacing w:after="0" w:line="195"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target engagement assays, as well as enabled X-ray crystallography, to discover and develop FTX-6058, a novel small molecule inhibitor of the HbF drug target.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FTX-6058</w:t>
      </w:r>
    </w:p>
    <w:p>
      <w:pPr>
        <w:spacing w:after="0" w:line="117" w:lineRule="exact"/>
        <w:rPr>
          <w:sz w:val="20"/>
          <w:szCs w:val="20"/>
          <w:color w:val="auto"/>
        </w:rPr>
      </w:pPr>
    </w:p>
    <w:p>
      <w:pPr>
        <w:ind w:right="140" w:firstLine="546"/>
        <w:spacing w:after="0" w:line="255" w:lineRule="auto"/>
        <w:rPr>
          <w:sz w:val="20"/>
          <w:szCs w:val="20"/>
          <w:color w:val="auto"/>
        </w:rPr>
      </w:pPr>
      <w:r>
        <w:rPr>
          <w:rFonts w:ascii="Arial" w:cs="Arial" w:eastAsia="Arial" w:hAnsi="Arial"/>
          <w:sz w:val="18"/>
          <w:szCs w:val="18"/>
          <w:color w:val="auto"/>
        </w:rPr>
        <w:t xml:space="preserve">FTX-6058 is our novel small molecule designed to bind EED and inhibit the transcriptional silencing activity of PRC2. FTX-6058 exhibits fetal hemoglobin induction and possesses properties that we believe are well aligned with preferred parameters for oral drug delivery. We studied the cellular potency and the PK data of FTX-6058 in preclinical animal models and observed that its profile supports once daily oral administration. We have not observed any off-target concerns in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profiling studies, and we have completed GLP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to evaluate FTX-6058. We initiated our Phase 1 clinical trial of FTX-6058 in healthy adult volunteers in the fourth quarter of 2020. In addition, we anticipate initiating a clinical trial of FTX-6058 in patients with SCD in the second half of 2021.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 xml:space="preserve">We have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activation of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in preclinical studies with FTX-6058. We observed that FTX-6058 elevated levels of fetal hemoglobin with minimal adverse effects on important cellular health markers. As depicted in the graphic below, we also observed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upregulation of fetal hemoglobin in primary human CD34+ cells differentiated into RBCs from five different healthy human donors and one SCD donor after seven days of drug treatment. FTX-6058 showed a significant elevation of fetal hemoglobin over baseline in each of these six donor cell lines. We have conducted additional preclinical profiling in CD34+ derived cells and observed that treatment with FTX-6058 increased HbF levels to approximately 30% of total hemoglobin, as measured by mass spectrometry, high performance liquid chromatography, and fast protein liquid chromatography techniques. The elevation of HbF observed with FTX-6058 was significantly greater than we observed with hydroxyurea in these cell models.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Effect of FTX-6058 treatment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160020</wp:posOffset>
            </wp:positionV>
            <wp:extent cx="4852035" cy="2211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5203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3" w:name="page34"/>
    <w:bookmarkEnd w:id="33"/>
    <w:p>
      <w:pPr>
        <w:ind w:right="340" w:firstLine="546"/>
        <w:spacing w:after="0" w:line="286" w:lineRule="auto"/>
        <w:rPr>
          <w:sz w:val="20"/>
          <w:szCs w:val="20"/>
          <w:color w:val="auto"/>
        </w:rPr>
      </w:pPr>
      <w:r>
        <w:rPr>
          <w:rFonts w:ascii="Arial" w:cs="Arial" w:eastAsia="Arial" w:hAnsi="Arial"/>
          <w:sz w:val="17"/>
          <w:szCs w:val="17"/>
          <w:color w:val="auto"/>
        </w:rPr>
        <w:t>Additionally, we compared the effect of FTX-6058 in CD34+ derived cells relative to that of hydroxyurea. We observed that hydroxyurea had a minimal impact on fetal hemoglobin elevation, whereas we observed that FTX-6058 significantly elevated fetal hemoglobin. In cells treated with the combination of FTX-6058 and hydroxyurea, we observed an increased effect relative to either compound alone.</w:t>
      </w:r>
    </w:p>
    <w:p>
      <w:pPr>
        <w:spacing w:after="0" w:line="165"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 xml:space="preserve">In preclinical PK/PD studies in mice, we observed that blood cells had dose-dependent drug target engagement after 4.5 days of oral treatment of FTX-6058. FTX-6058 inhibited activity of PRC2, which is responsible for catalyzing tri-methylation of lysine 27 on histone H3 (H3K27me3). As a result, target engagement was assessed by quantifying H3K27me3 levels. We believe our drug target is conserved between species, which is supported by our observation of a concomitant upregulation of the mouse embryonic globin gene under conditions where we observed drug target engagement. Since mice do not have the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found in humans, we used the mouse embryonic globin gene </w:t>
      </w:r>
      <w:r>
        <w:rPr>
          <w:rFonts w:ascii="Arial" w:cs="Arial" w:eastAsia="Arial" w:hAnsi="Arial"/>
          <w:sz w:val="16"/>
          <w:szCs w:val="16"/>
          <w:i w:val="1"/>
          <w:iCs w:val="1"/>
          <w:color w:val="auto"/>
        </w:rPr>
        <w:t>hbb-bh1</w:t>
      </w:r>
      <w:r>
        <w:rPr>
          <w:rFonts w:ascii="Arial" w:cs="Arial" w:eastAsia="Arial" w:hAnsi="Arial"/>
          <w:sz w:val="16"/>
          <w:szCs w:val="16"/>
          <w:color w:val="auto"/>
        </w:rPr>
        <w:t xml:space="preserve"> as a surrogate for the human </w:t>
      </w:r>
      <w:r>
        <w:rPr>
          <w:rFonts w:ascii="Arial" w:cs="Arial" w:eastAsia="Arial" w:hAnsi="Arial"/>
          <w:sz w:val="16"/>
          <w:szCs w:val="16"/>
          <w:i w:val="1"/>
          <w:iCs w:val="1"/>
          <w:color w:val="auto"/>
        </w:rPr>
        <w:t>HBG1/2</w:t>
      </w:r>
      <w:r>
        <w:rPr>
          <w:rFonts w:ascii="Arial" w:cs="Arial" w:eastAsia="Arial" w:hAnsi="Arial"/>
          <w:sz w:val="16"/>
          <w:szCs w:val="16"/>
          <w:color w:val="auto"/>
        </w:rPr>
        <w:t xml:space="preserve"> genes. We measured the target engagement in the mouse from whole blood. We concluded from the data that FTX-6058 engaged the drug target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and modulated the endogenous mouse globin gene expression program. The results of this study are depicted below.</w:t>
      </w:r>
    </w:p>
    <w:p>
      <w:pPr>
        <w:sectPr>
          <w:pgSz w:w="11900" w:h="16838" w:orient="portrait"/>
          <w:cols w:equalWidth="0" w:num="1">
            <w:col w:w="11240"/>
          </w:cols>
          <w:pgMar w:left="320" w:top="584" w:right="339" w:bottom="1440" w:gutter="0" w:footer="0" w:header="0"/>
        </w:sectPr>
      </w:pPr>
    </w:p>
    <w:p>
      <w:pPr>
        <w:spacing w:after="0" w:line="189"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auto"/>
        </w:rPr>
        <w:t>Target engagement modification in</w:t>
      </w:r>
    </w:p>
    <w:p>
      <w:pPr>
        <w:spacing w:after="0" w:line="50"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mouse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382905</wp:posOffset>
            </wp:positionV>
            <wp:extent cx="2288540" cy="32486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88540" cy="3248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Mouse embryonic globin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wp:posOffset>
            </wp:positionH>
            <wp:positionV relativeFrom="paragraph">
              <wp:posOffset>323215</wp:posOffset>
            </wp:positionV>
            <wp:extent cx="3034665" cy="3472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34665" cy="3472180"/>
                    </a:xfrm>
                    <a:prstGeom prst="rect">
                      <a:avLst/>
                    </a:prstGeom>
                    <a:noFill/>
                  </pic:spPr>
                </pic:pic>
              </a:graphicData>
            </a:graphic>
          </wp:anchor>
        </w:drawing>
      </w:r>
    </w:p>
    <w:p>
      <w:pPr>
        <w:spacing w:after="0" w:line="457" w:lineRule="exact"/>
        <w:rPr>
          <w:sz w:val="20"/>
          <w:szCs w:val="20"/>
          <w:color w:val="auto"/>
        </w:rPr>
      </w:pPr>
    </w:p>
    <w:p>
      <w:pPr>
        <w:sectPr>
          <w:pgSz w:w="11900" w:h="16838" w:orient="portrait"/>
          <w:cols w:equalWidth="0" w:num="2">
            <w:col w:w="5220" w:space="720"/>
            <w:col w:w="5300"/>
          </w:cols>
          <w:pgMar w:left="32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In the graphic on the left, we measured the amount of drug target engagement modification in mouse blood cells after five days of treatment. In the vehicle-treated mice, we observed maximum levels of protein modification, whereas in the FTX-6058 treated mice, we observed significantly lower levels of modification, which indicates significant target engagement. Each point represents the value for a different mouse, shown as a percent of the average vehicle-treated value. In the graphic on the right, we determined the level of mouse embryonic globin mRNA levels in mouse blood after five days of treatment. The data is from an average of four or five mice per treatment. In these studies, we used a conventional method of assessing statistical significance known as a two-tailed test. The p-value for each of the studies depicted above was 0.0005. A p-value is a conventional statistical method for measuring the statistical significance of experimental results. A p-value of less than 0.05 is generally considered to represent statistical significance, meaning that there is a less than five percent likelihood that the observed results occurred by chance.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4" w:name="page35"/>
    <w:bookmarkEnd w:id="34"/>
    <w:p>
      <w:pPr>
        <w:ind w:right="200" w:firstLine="546"/>
        <w:spacing w:after="0" w:line="257" w:lineRule="auto"/>
        <w:rPr>
          <w:sz w:val="20"/>
          <w:szCs w:val="20"/>
          <w:color w:val="auto"/>
        </w:rPr>
      </w:pPr>
      <w:r>
        <w:rPr>
          <w:rFonts w:ascii="Arial" w:cs="Arial" w:eastAsia="Arial" w:hAnsi="Arial"/>
          <w:sz w:val="18"/>
          <w:szCs w:val="18"/>
          <w:color w:val="auto"/>
        </w:rPr>
        <w:t>Additionally, we studied FTX-6058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FTX-6058 resulted in a significant increase in fetal hemoglobin expressing cells, or F-cells, and HbF protein levels after 13 days of dosing at 5 mg/kg once per day whereas hydroxyurea resulted in modest increases in F-cells and HbF.</w:t>
      </w:r>
    </w:p>
    <w:p>
      <w:pPr>
        <w:sectPr>
          <w:pgSz w:w="11900" w:h="16838" w:orient="portrait"/>
          <w:cols w:equalWidth="0" w:num="1">
            <w:col w:w="11200"/>
          </w:cols>
          <w:pgMar w:left="320" w:top="557" w:right="379" w:bottom="1440" w:gutter="0" w:footer="0" w:header="0"/>
        </w:sectPr>
      </w:pPr>
    </w:p>
    <w:p>
      <w:pPr>
        <w:spacing w:after="0" w:line="211" w:lineRule="exact"/>
        <w:rPr>
          <w:sz w:val="20"/>
          <w:szCs w:val="20"/>
          <w:color w:val="auto"/>
        </w:rPr>
      </w:pPr>
    </w:p>
    <w:p>
      <w:pPr>
        <w:jc w:val="center"/>
        <w:ind w:right="620"/>
        <w:spacing w:after="0"/>
        <w:rPr>
          <w:sz w:val="20"/>
          <w:szCs w:val="20"/>
          <w:color w:val="auto"/>
        </w:rPr>
      </w:pPr>
      <w:r>
        <w:rPr>
          <w:rFonts w:ascii="Arial" w:cs="Arial" w:eastAsia="Arial" w:hAnsi="Arial"/>
          <w:sz w:val="15"/>
          <w:szCs w:val="15"/>
          <w:b w:val="1"/>
          <w:bCs w:val="1"/>
          <w:color w:val="auto"/>
        </w:rPr>
        <w:t>Percentage of F-cells in Townes mice</w:t>
      </w:r>
    </w:p>
    <w:p>
      <w:pPr>
        <w:spacing w:after="0" w:line="62" w:lineRule="exact"/>
        <w:rPr>
          <w:sz w:val="20"/>
          <w:szCs w:val="20"/>
          <w:color w:val="auto"/>
        </w:rPr>
      </w:pPr>
    </w:p>
    <w:p>
      <w:pPr>
        <w:jc w:val="center"/>
        <w:ind w:right="620"/>
        <w:spacing w:after="0"/>
        <w:rPr>
          <w:sz w:val="20"/>
          <w:szCs w:val="20"/>
          <w:color w:val="auto"/>
        </w:rPr>
      </w:pPr>
      <w:r>
        <w:rPr>
          <w:rFonts w:ascii="Arial" w:cs="Arial" w:eastAsia="Arial" w:hAnsi="Arial"/>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168910</wp:posOffset>
            </wp:positionV>
            <wp:extent cx="3017520" cy="1568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017520" cy="1568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HbF protein levels in Townes mice</w:t>
      </w:r>
    </w:p>
    <w:p>
      <w:pPr>
        <w:spacing w:after="0" w:line="50"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treated with FTX-6058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168910</wp:posOffset>
            </wp:positionV>
            <wp:extent cx="2366010" cy="1568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66010" cy="1568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40" w:space="720"/>
            <w:col w:w="3940"/>
          </w:cols>
          <w:pgMar w:left="320" w:top="55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In the graphic on the left, we quantified the percentage of F-cells as a percentage of total cells (%F-cells) for the three treatment conditions from mouse blood, shown as a percentage of vehicle-alone-treated SCD mice. In the graphic on the right, we determined the level of human HbF protein for the three treatment conditions, quantifying HbF protein as a percentage of total hemoglobin. Each value represents the mean value from eight mice per treatment after 13 days of treatment. In these studies, we used a conventional method of assessing statistical significance known as a one-way analysis of variance, or ANOVA. The p-value for FTX-6058 was less than 0.001 for both studies and the p-value for hydroxyurea in the study depicted on the right was less than 0.01.</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Development Plan for FTX-6058</w:t>
      </w:r>
    </w:p>
    <w:p>
      <w:pPr>
        <w:spacing w:after="0" w:line="11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We initiated a Phase 1 clinical trial of FTX-6058 in the fourth quarter of 2020 to evaluate the safety, tolerability and pharmacokinetics of FTX-6058 in healthy adult volunteers.</w:t>
      </w:r>
    </w:p>
    <w:p>
      <w:pPr>
        <w:spacing w:after="0" w:line="170"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The Phase 1 clinical trial of FTX-6058 in healthy adult volunteers is comprised of four parts. Part A is a randomized, double-blind, placebo-controlled, single ascending dose study in up to six cohorts. Part B is a randomized, double-blind, placebo-controlled, multiple ascending dose study in up to four cohorts dosed once daily for 14 days. Part C is an open label pilot food effect study in subjects randomized to take FTX-6058 with and without a high-fat meal, and Part D is an open label study to evaluate the potential of FTX-6058 to induce a liver enzyme known as CYP3A, which is involved in drug metabolism. We expect to present data from the Phase 1 clinical trial in mid-2021.</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anticipate initiating a clinical trial of FTX-6058 in patients with SCD in the second half of 2021.</w:t>
      </w:r>
    </w:p>
    <w:p>
      <w:pPr>
        <w:spacing w:after="0" w:line="225" w:lineRule="exact"/>
        <w:rPr>
          <w:sz w:val="20"/>
          <w:szCs w:val="20"/>
          <w:color w:val="auto"/>
        </w:rPr>
      </w:pPr>
    </w:p>
    <w:p>
      <w:pPr>
        <w:ind w:right="260" w:firstLine="546"/>
        <w:spacing w:after="0" w:line="342" w:lineRule="auto"/>
        <w:rPr>
          <w:sz w:val="20"/>
          <w:szCs w:val="20"/>
          <w:color w:val="auto"/>
        </w:rPr>
      </w:pPr>
      <w:r>
        <w:rPr>
          <w:rFonts w:ascii="Arial" w:cs="Arial" w:eastAsia="Arial" w:hAnsi="Arial"/>
          <w:sz w:val="16"/>
          <w:szCs w:val="16"/>
          <w:color w:val="auto"/>
        </w:rPr>
        <w:t>We expect that our target SCD patient population will be SCD patients with inadequate disease control and that concomitant use of hydroxyurea and/or L-glutamine will be allowed when available. We also expect to evaluate FTX-6058 in clinical trials for the treatment of ß-thalassemia.</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Discovery Screening Programs</w:t>
      </w:r>
    </w:p>
    <w:p>
      <w:pPr>
        <w:spacing w:after="0" w:line="12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We have leveraged our proprietary product engine to discover targets that we are pursuing with small molecules for FSHD, SCD and ß-thalassemia. We are leveraging the broad applicability of our product engine to discover drug targets for other rare, genetically defined diseases across neuromuscular, muscular, hematologic and CNS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142875</wp:posOffset>
            </wp:positionV>
            <wp:extent cx="5666105" cy="1714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6610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Our target identification strategy and approach continue to evolve. In addition to conducting screens to identify targets that modulate the expression of a single root cause gene, we are able to simultaneously interrogate multiple (approximately 10) root cause genes and to monitor effects on cell health all in a single screen (i.e., multiplexed screening). We believe that this new approach provides significant efficiencies in productivity and allows us to test multiple hypotheses in parallel. Importantly, the expansion of FulcrumSeek with the use of high content molecular profiling, including RNAseq and cellular imaging, allows us to simultaneously measure the expression of 8,000-10,000 genes and integrate key measures related to cell health and biology, which enables us to scale our screening capacity and productivity. With the use of our small molecule probe library and our functional genomics capabilities, we aim to conduct target identification at a significantly increased scale and with cost-effectiveness. Moreover, we are using our product engine in hypothesis testing mode and in hypothesis generation mode, which we expect to increase the probability of identifying attractive targets to advance in our portfolio or in collaboration with partners.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Reference and License Agreement with GlaxoSmithKline</w:t>
      </w:r>
    </w:p>
    <w:p>
      <w:pPr>
        <w:spacing w:after="0" w:line="121"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In February 2019, we entered into a right of reference and license agreement with affiliates of GSK, as amended in September 2020,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164" w:lineRule="exact"/>
        <w:rPr>
          <w:sz w:val="20"/>
          <w:szCs w:val="20"/>
          <w:color w:val="auto"/>
        </w:rPr>
      </w:pPr>
    </w:p>
    <w:p>
      <w:pPr>
        <w:jc w:val="both"/>
        <w:ind w:right="40" w:firstLine="546"/>
        <w:spacing w:after="0" w:line="275" w:lineRule="auto"/>
        <w:rPr>
          <w:sz w:val="20"/>
          <w:szCs w:val="20"/>
          <w:color w:val="auto"/>
        </w:rPr>
      </w:pPr>
      <w:r>
        <w:rPr>
          <w:rFonts w:ascii="Arial" w:cs="Arial" w:eastAsia="Arial" w:hAnsi="Arial"/>
          <w:sz w:val="17"/>
          <w:szCs w:val="17"/>
          <w:color w:val="auto"/>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176"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Under the agreement, we will be obligated to make milestone payments to GSK aggregating up to $37.5 million upon the achievement of specified clinical and regulatory milestones with respect to the first licensed product to achieve such milestones, including a $2.5 million milestone payment we made to GSK during the year ended December 31, 2019 upon the imitation of a Phase 2 clinical trial, and up to $60.0 million upon the achievement of one-time aggregate annual worldwide net sales milestones. We will also be obligated to pay royalties ranging from a mid single-digit percentage to a low double-digit, but less than teens, percentage to GSK based on our, and any of our affiliates’ and sublicensees’, annual net sales of licensed products. The royalties are payable on a product-by-product and country-by-country basis, and may be reduced in specified circumstances.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6" w:name="page37"/>
    <w:bookmarkEnd w:id="36"/>
    <w:p>
      <w:pPr>
        <w:ind w:firstLine="546"/>
        <w:spacing w:after="0" w:line="272" w:lineRule="auto"/>
        <w:rPr>
          <w:sz w:val="20"/>
          <w:szCs w:val="20"/>
          <w:color w:val="auto"/>
        </w:rPr>
      </w:pPr>
      <w:r>
        <w:rPr>
          <w:rFonts w:ascii="Arial" w:cs="Arial" w:eastAsia="Arial" w:hAnsi="Arial"/>
          <w:sz w:val="17"/>
          <w:szCs w:val="17"/>
          <w:color w:val="auto"/>
        </w:rPr>
        <w:t>Our obligation to make royalty payments extends with respect to a licensed product in a country until the earlier of the approval of a generic version of such licensed product by the applicable regulatory agency 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177"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If, prior to our completion of the first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188" w:lineRule="exact"/>
        <w:rPr>
          <w:sz w:val="20"/>
          <w:szCs w:val="20"/>
          <w:color w:val="auto"/>
        </w:rPr>
      </w:pPr>
    </w:p>
    <w:p>
      <w:pPr>
        <w:ind w:right="200" w:firstLine="546"/>
        <w:spacing w:after="0" w:line="257" w:lineRule="auto"/>
        <w:rPr>
          <w:sz w:val="20"/>
          <w:szCs w:val="20"/>
          <w:color w:val="auto"/>
        </w:rPr>
      </w:pPr>
      <w:r>
        <w:rPr>
          <w:rFonts w:ascii="Arial" w:cs="Arial" w:eastAsia="Arial" w:hAnsi="Arial"/>
          <w:sz w:val="18"/>
          <w:szCs w:val="18"/>
          <w:color w:val="auto"/>
        </w:rPr>
        <w:t>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Acceleron</w:t>
      </w:r>
    </w:p>
    <w:p>
      <w:pPr>
        <w:spacing w:after="0" w:line="121"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In December 2019, we entered into a collaboration and license agreement with Acceleron to identify biological targets to modulate specific pathways associated with a targeted indication within the pulmonary disease space. Under the terms of the collaboration and license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 prophylaxis, or diagnosis of a targeted indication within the pulmonary disease space, or the Indication.</w:t>
      </w:r>
    </w:p>
    <w:p>
      <w:pPr>
        <w:spacing w:after="0" w:line="16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Pursuant to a mutually agreed research plan, we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we will deliver a data package to Acceleron with respect to the biological targets identified by us in the conduct of the research activities for the treatment, prophylaxis, or diagnosis of the Indication. Within a designated period of receipt of the data package, Acceleron will have the right to designate a specified number of the biological targets identified by us for Acceleron’s research, development, manufacture and commercialization of products or molecules directed to such targets for the treatment, prophylaxis, or diagnosis of the Indication, or the Targets. If Acceleron does not designate any Targets during the designated period, then the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5"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While we are performing the research activities pursuant to the research plan and for a specified period thereafter, we may not research, develop, manufacture, commercialize, use, or otherwise exploit any compound or product for the treatment, prophylaxis, or diagnosis of the Indication other than for Acceleron. While we are performing the research activities pursuant to the research plan and for a specified period thereafter, other than for Acceleron, we may not research, develop, manufacture, commercialize, use, or otherwise exploit any compound or product for the treatment, prophylaxis, or diagnosis of the Indication that is directed against certain specified biological targets identified by us in the performance of the research activities.</w:t>
      </w:r>
    </w:p>
    <w:p>
      <w:pPr>
        <w:spacing w:after="0" w:line="161" w:lineRule="exact"/>
        <w:rPr>
          <w:sz w:val="20"/>
          <w:szCs w:val="20"/>
          <w:color w:val="auto"/>
        </w:rPr>
      </w:pPr>
    </w:p>
    <w:p>
      <w:pPr>
        <w:jc w:val="both"/>
        <w:ind w:right="140" w:firstLine="546"/>
        <w:spacing w:after="0" w:line="311" w:lineRule="auto"/>
        <w:rPr>
          <w:sz w:val="20"/>
          <w:szCs w:val="20"/>
          <w:color w:val="auto"/>
        </w:rPr>
      </w:pPr>
      <w:r>
        <w:rPr>
          <w:rFonts w:ascii="Arial" w:cs="Arial" w:eastAsia="Arial" w:hAnsi="Arial"/>
          <w:sz w:val="16"/>
          <w:szCs w:val="16"/>
          <w:color w:val="auto"/>
        </w:rPr>
        <w:t>Acceleron may also request that we perform medicinal chemistry services related to the generation and optimization of molecules directed against or expressing biological targets for the treatment, prophylaxis, or diagnosis of the Indication beyond the scope of the research plan. If we agree to provide such medicinal chemistry services, we and Acceleron will negotiate to determine the scope, timeline and budget for such medicinal chemistry services.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left="560"/>
        <w:spacing w:after="0"/>
        <w:rPr>
          <w:sz w:val="20"/>
          <w:szCs w:val="20"/>
          <w:color w:val="auto"/>
        </w:rPr>
      </w:pPr>
      <w:r>
        <w:rPr>
          <w:rFonts w:ascii="Arial" w:cs="Arial" w:eastAsia="Arial" w:hAnsi="Arial"/>
          <w:sz w:val="17"/>
          <w:szCs w:val="17"/>
          <w:color w:val="auto"/>
        </w:rPr>
        <w:t>Under the agreement, Acceleron made a $10.0 million upfront payment to us. We will be entitled to research milestone payments of up to</w:t>
      </w:r>
    </w:p>
    <w:p>
      <w:pPr>
        <w:spacing w:after="0" w:line="3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$18.5 million in the aggregate upon achievement of specified research milestones. Additionally, we will be entitled to development milestone payments of up to $135.0 million in the aggregate upon the first achievement of specified clinical and regulatory milestones by a product directed to a Target, and up to $67.5 million in the aggregate upon the second achievement of specified clinical and regulatory milestones by a product directed to a Target. We will also be entitled to sales milestone payments of up to $145.0 million in the aggregate upon the achievement of one-time aggregate annual worldwide net sales milestones for the first product directed to a Target to achieve such milestones, and up to $72.5 million in the aggregate upon the achievement of one-time aggregate annual worldwide net sales milestones for the second product directed to a Target to achieve such milestones. To date, we have achieved $2.0 million of specified research milestones. Acceleron will also pay us tiered royalties ranging from a mid single-digit percentage to a low double-digit percentage based on Acceleron’s, and any of its affiliates’ and sublicensees’, annual worldwide net sales of products directed to any Target. The royalties are payable on a product-by-product basis during a specified royalty term, and may be reduced in specified circumstances.</w:t>
      </w:r>
    </w:p>
    <w:p>
      <w:pPr>
        <w:spacing w:after="0" w:line="172" w:lineRule="exact"/>
        <w:rPr>
          <w:sz w:val="20"/>
          <w:szCs w:val="20"/>
          <w:color w:val="auto"/>
        </w:rPr>
      </w:pPr>
    </w:p>
    <w:p>
      <w:pPr>
        <w:ind w:right="280" w:firstLine="546"/>
        <w:spacing w:after="0" w:line="257" w:lineRule="auto"/>
        <w:rPr>
          <w:sz w:val="20"/>
          <w:szCs w:val="20"/>
          <w:color w:val="auto"/>
        </w:rPr>
      </w:pPr>
      <w:r>
        <w:rPr>
          <w:rFonts w:ascii="Arial" w:cs="Arial" w:eastAsia="Arial" w:hAnsi="Arial"/>
          <w:sz w:val="18"/>
          <w:szCs w:val="18"/>
          <w:color w:val="auto"/>
        </w:rPr>
        <w:t>The agreement continues on a country-by-country and Target-by-Target basis until the last to expire royalty term for a product directed to such Target, at which time the agreement expires with respect to such Target in such country. Either party has the right to terminate the agreement if the other party has materially breached in the performance of its obligations under the agreement and such breach has not been cured within the applicable cure period. Acceleron also has the right to terminate the agreement for convenience in its entirety or on a Target-by-Target and molecule-by-molecule basis with respect to any molecule directed against a Target.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and License Agreement with MyoKardia, a wholly owned subsidiary of Bristol-Myers Squibb Company</w:t>
      </w:r>
    </w:p>
    <w:p>
      <w:pPr>
        <w:spacing w:after="0" w:line="121"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In July 2019, we entered into a collaboration and license agreement with MyoKardia, or the MyoKardia Collaboration Agreement, to identify biological targets that are capable of modulating genes of interest with relevance to certain genetically defined cardiomyopathies. Under the terms of the MyoKardia Collaboration Agreement, we granted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certain genes of interest with relevance to certain genetically defined cardiomyopathies.</w:t>
      </w:r>
    </w:p>
    <w:p>
      <w:pPr>
        <w:spacing w:after="0" w:line="164"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Pursuant to a mutually agreed research plan, we will perform assay screening and related research activities to identify and validate up to a specified number of potential cardiomyopathy gene targets, or the Identified Targets, for further research, development, manufacture and commercialization by MyoKardia. We and MyoKardia will work together to determine how best to advance at each stage of the research activities under the research plan and to identify which of the Identified Targets, if any, meet the criteria set forth in the research plan, or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or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During the period in which we are performing the research activities pursuant to the research plan, or the Research Term and for a specified period beyond the Research Term if MyoKardia designates a Cardiomyopathy Target, we may only use the data generated from such research activities for MyoKardia in accordance with the MyoKardia Collaboration Agreement. During the Research Term and for a specified period thereafter, we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95"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Under the MyoKardia Collaboration Agreement, MyoKardia made a $10.0 million upfront payment and a $2.5 million payment as prepaid research funding to us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ind w:right="60"/>
        <w:spacing w:after="0" w:line="301" w:lineRule="auto"/>
        <w:rPr>
          <w:sz w:val="20"/>
          <w:szCs w:val="20"/>
          <w:color w:val="auto"/>
        </w:rPr>
      </w:pPr>
      <w:r>
        <w:rPr>
          <w:rFonts w:ascii="Arial" w:cs="Arial" w:eastAsia="Arial" w:hAnsi="Arial"/>
          <w:sz w:val="16"/>
          <w:szCs w:val="16"/>
          <w:color w:val="auto"/>
        </w:rPr>
        <w:t>million in the aggregate per target for certain Identified Targets, and of up to $150.0 million in the aggregate per target for certain other Identified Targets.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57"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187"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176"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 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181" w:lineRule="exact"/>
        <w:rPr>
          <w:sz w:val="20"/>
          <w:szCs w:val="20"/>
          <w:color w:val="auto"/>
        </w:rPr>
      </w:pPr>
    </w:p>
    <w:p>
      <w:pPr>
        <w:ind w:right="60" w:firstLine="546"/>
        <w:spacing w:after="0" w:line="286" w:lineRule="auto"/>
        <w:rPr>
          <w:sz w:val="20"/>
          <w:szCs w:val="20"/>
          <w:color w:val="auto"/>
        </w:rPr>
      </w:pPr>
      <w:r>
        <w:rPr>
          <w:rFonts w:ascii="Arial" w:cs="Arial" w:eastAsia="Arial" w:hAnsi="Arial"/>
          <w:sz w:val="17"/>
          <w:szCs w:val="17"/>
          <w:color w:val="auto"/>
        </w:rPr>
        <w:t>We generally file patent applications directed to our key programs in an effort to secure our intellectual property positions vis-a-vis these programs. As of February 25, 2021, we owned or in-licensed eight U.S. patents, three U.S. pending non-provisional patent applications and related pending foreign patent applications, two pending Patent Cooperation Treaty, or PCT, applications and two U.S. provisional patent applications.</w:t>
      </w:r>
    </w:p>
    <w:p>
      <w:pPr>
        <w:spacing w:after="0" w:line="165" w:lineRule="exact"/>
        <w:rPr>
          <w:sz w:val="20"/>
          <w:szCs w:val="20"/>
          <w:color w:val="auto"/>
        </w:rPr>
      </w:pPr>
    </w:p>
    <w:p>
      <w:pPr>
        <w:ind w:right="20" w:firstLine="546"/>
        <w:spacing w:after="0" w:line="286" w:lineRule="auto"/>
        <w:rPr>
          <w:sz w:val="20"/>
          <w:szCs w:val="20"/>
          <w:color w:val="auto"/>
        </w:rPr>
      </w:pPr>
      <w:r>
        <w:rPr>
          <w:rFonts w:ascii="Arial" w:cs="Arial" w:eastAsia="Arial" w:hAnsi="Arial"/>
          <w:sz w:val="17"/>
          <w:szCs w:val="17"/>
          <w:color w:val="auto"/>
        </w:rPr>
        <w:t>The intellectual property portfolio for our most advanced programs as of February 25, 2021,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Losmapimod and Derivatives</w:t>
      </w:r>
    </w:p>
    <w:p>
      <w:pPr>
        <w:spacing w:after="0" w:line="117" w:lineRule="exact"/>
        <w:rPr>
          <w:sz w:val="20"/>
          <w:szCs w:val="20"/>
          <w:color w:val="auto"/>
        </w:rPr>
      </w:pPr>
    </w:p>
    <w:p>
      <w:pPr>
        <w:ind w:right="80" w:firstLine="546"/>
        <w:spacing w:after="0" w:line="296" w:lineRule="auto"/>
        <w:rPr>
          <w:sz w:val="20"/>
          <w:szCs w:val="20"/>
          <w:color w:val="auto"/>
        </w:rPr>
      </w:pPr>
      <w:r>
        <w:rPr>
          <w:rFonts w:ascii="Arial" w:cs="Arial" w:eastAsia="Arial" w:hAnsi="Arial"/>
          <w:sz w:val="16"/>
          <w:szCs w:val="16"/>
          <w:color w:val="auto"/>
        </w:rPr>
        <w:t>The patent portfolio for losmapimod is based upon Fulcrum-owned patents, patent applications and in-licensed patents directed to new methods of using losmapimod and other p38 inhibitors to treat FSHD, pharmaceutical compositions generically and specifically covering p38 inhibitors, and methods for identifying novel compositions to treat FSHD. As of February 25, 2021, we owned two U.S. patents, two U.S. pending non-provisional patent applications and related foreign patent applications, and one U.S. pending provisional application that relate to our p38α/ß program, relating to methods of using losmapimod and certain other p38 inhibitors for the treatment of FSHD. These patents and patent applications are expected to expire in 2038.</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9" w:name="page40"/>
    <w:bookmarkEnd w:id="39"/>
    <w:p>
      <w:pPr>
        <w:ind w:firstLine="546"/>
        <w:spacing w:after="0" w:line="259" w:lineRule="auto"/>
        <w:rPr>
          <w:sz w:val="20"/>
          <w:szCs w:val="20"/>
          <w:color w:val="auto"/>
        </w:rPr>
      </w:pPr>
      <w:r>
        <w:rPr>
          <w:rFonts w:ascii="Arial" w:cs="Arial" w:eastAsia="Arial" w:hAnsi="Arial"/>
          <w:sz w:val="18"/>
          <w:szCs w:val="18"/>
          <w:color w:val="auto"/>
        </w:rPr>
        <w:t>Losmapimod is also currently protected by patents owned by GSK (as a composition of matter and certain uses which do not include FSHD) and certain of these patents are licensed to us. As of February 25, 2021, we control through our exclusive licensing agreement with GSK six issued U.S. patents and related foreign patents and patent applications, all relating to losmapimod and its pharmaceutical compositions. The U.S. patents and related foreign patents directed to losmapimod composition of matter are expected to expire in 2023.</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FTX-6058</w:t>
      </w:r>
    </w:p>
    <w:p>
      <w:pPr>
        <w:spacing w:after="0" w:line="117" w:lineRule="exact"/>
        <w:rPr>
          <w:sz w:val="20"/>
          <w:szCs w:val="20"/>
          <w:color w:val="auto"/>
        </w:rPr>
      </w:pPr>
    </w:p>
    <w:p>
      <w:pPr>
        <w:ind w:right="20" w:firstLine="546"/>
        <w:spacing w:after="0" w:line="280" w:lineRule="auto"/>
        <w:rPr>
          <w:sz w:val="20"/>
          <w:szCs w:val="20"/>
          <w:color w:val="auto"/>
        </w:rPr>
      </w:pPr>
      <w:r>
        <w:rPr>
          <w:rFonts w:ascii="Arial" w:cs="Arial" w:eastAsia="Arial" w:hAnsi="Arial"/>
          <w:sz w:val="17"/>
          <w:szCs w:val="17"/>
          <w:color w:val="auto"/>
        </w:rPr>
        <w:t>As of February 25, 2021, the intellectual property portfolio for our FTX-6058 program include two owned PCT applications and two pending U.S. patent applications directed in part to pharmaceutical compositions as well as to methods for using and making these compositions. In order to continue to pursue protection based on PCT applications, we will need to nationalize the international applications into U.S. non-provisional patent applications and ex-U.S. applications prior to the applicable expiration deadline of the PCT applications. If issued, any patents that may issue from the U.S. non-provisional patent applications and/or foreign patent applications would be projected to have statutory expiration dates between 2039 and 2040, excluding any additional term for patent term adjustments or patent term extension, if applicable.</w:t>
      </w:r>
    </w:p>
    <w:p>
      <w:pPr>
        <w:spacing w:after="0" w:line="17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70"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85" w:lineRule="exact"/>
        <w:rPr>
          <w:sz w:val="20"/>
          <w:szCs w:val="20"/>
          <w:color w:val="auto"/>
        </w:rPr>
      </w:pPr>
    </w:p>
    <w:p>
      <w:pPr>
        <w:ind w:right="60" w:firstLine="546"/>
        <w:spacing w:after="0" w:line="287" w:lineRule="auto"/>
        <w:rPr>
          <w:sz w:val="20"/>
          <w:szCs w:val="20"/>
          <w:color w:val="auto"/>
        </w:rPr>
      </w:pPr>
      <w:r>
        <w:rPr>
          <w:rFonts w:ascii="Arial" w:cs="Arial" w:eastAsia="Arial" w:hAnsi="Arial"/>
          <w:sz w:val="16"/>
          <w:szCs w:val="16"/>
          <w:color w:val="auto"/>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jc w:val="both"/>
        <w:ind w:right="60" w:firstLine="546"/>
        <w:spacing w:after="0" w:line="301" w:lineRule="auto"/>
        <w:rPr>
          <w:sz w:val="20"/>
          <w:szCs w:val="20"/>
          <w:color w:val="auto"/>
        </w:rPr>
      </w:pPr>
      <w:r>
        <w:rPr>
          <w:rFonts w:ascii="Arial" w:cs="Arial" w:eastAsia="Arial" w:hAnsi="Arial"/>
          <w:sz w:val="16"/>
          <w:szCs w:val="16"/>
          <w:color w:val="auto"/>
        </w:rPr>
        <w:t>We do not have any manufacturing facilities. We have obtained sufficient losmapimod tablets, or drug product, from GSK to complete our ongoing Phase 2 clinical trials in FSHD. We believe that we have received a sufficient quantity of losmapimod API from GSK to complete further clinical trials in FSHD. We have engaged a contract manufacturing organization to prepare our own API and to manufacture losmapimod tablets. We believe that we have all the necessary information from GSK to enable the required technology transfers to contract manufacturing organizations.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obtained sufficient quantities of FTX-6058 to complete our ongoing Phase 1 clinical trial from a contract manufacturing organization.</w:t>
      </w:r>
    </w:p>
    <w:p>
      <w:pPr>
        <w:spacing w:after="0" w:line="237" w:lineRule="exact"/>
        <w:rPr>
          <w:sz w:val="20"/>
          <w:szCs w:val="20"/>
          <w:color w:val="auto"/>
        </w:rPr>
      </w:pPr>
    </w:p>
    <w:p>
      <w:pPr>
        <w:jc w:val="both"/>
        <w:ind w:right="180" w:firstLine="546"/>
        <w:spacing w:after="0" w:line="263" w:lineRule="auto"/>
        <w:rPr>
          <w:sz w:val="20"/>
          <w:szCs w:val="20"/>
          <w:color w:val="auto"/>
        </w:rPr>
      </w:pPr>
      <w:r>
        <w:rPr>
          <w:rFonts w:ascii="Arial" w:cs="Arial" w:eastAsia="Arial" w:hAnsi="Arial"/>
          <w:sz w:val="18"/>
          <w:szCs w:val="18"/>
          <w:color w:val="auto"/>
        </w:rPr>
        <w:t>We expect to continue to rely on third parties for the manufacture of FTX-6058 for any future clinical trials and for the manufacture of any future product candidates for preclinical and clinical testing, as well as for commercial manufacture if our product candidates receive marketing approval. Our lead product candidates are small molecules and can be manufactured in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0" w:name="page41"/>
    <w:bookmarkEnd w:id="40"/>
    <w:p>
      <w:pPr>
        <w:ind w:right="360"/>
        <w:spacing w:after="0" w:line="277" w:lineRule="auto"/>
        <w:rPr>
          <w:sz w:val="20"/>
          <w:szCs w:val="20"/>
          <w:color w:val="auto"/>
        </w:rPr>
      </w:pPr>
      <w:r>
        <w:rPr>
          <w:rFonts w:ascii="Arial" w:cs="Arial" w:eastAsia="Arial" w:hAnsi="Arial"/>
          <w:sz w:val="18"/>
          <w:szCs w:val="18"/>
          <w:color w:val="auto"/>
        </w:rPr>
        <w:t>reliable and reproducible synthetic processes from readily available starting materials. We expect to continue to develop product candidates that can be produced cost-effectively at contract manufacturing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546"/>
        <w:spacing w:after="0" w:line="27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6"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7" w:lineRule="exact"/>
        <w:rPr>
          <w:sz w:val="20"/>
          <w:szCs w:val="20"/>
          <w:color w:val="auto"/>
        </w:rPr>
      </w:pPr>
    </w:p>
    <w:p>
      <w:pPr>
        <w:ind w:right="380" w:firstLine="546"/>
        <w:spacing w:after="0" w:line="263" w:lineRule="auto"/>
        <w:rPr>
          <w:sz w:val="20"/>
          <w:szCs w:val="20"/>
          <w:color w:val="auto"/>
        </w:rPr>
      </w:pPr>
      <w:r>
        <w:rPr>
          <w:rFonts w:ascii="Arial" w:cs="Arial" w:eastAsia="Arial" w:hAnsi="Arial"/>
          <w:sz w:val="18"/>
          <w:szCs w:val="18"/>
          <w:color w:val="auto"/>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84"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or emergency use authorizations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360" w:firstLine="546"/>
        <w:spacing w:after="0" w:line="277" w:lineRule="auto"/>
        <w:rPr>
          <w:sz w:val="20"/>
          <w:szCs w:val="20"/>
          <w:color w:val="auto"/>
        </w:rPr>
      </w:pPr>
      <w:r>
        <w:rPr>
          <w:rFonts w:ascii="Arial" w:cs="Arial" w:eastAsia="Arial" w:hAnsi="Arial"/>
          <w:sz w:val="18"/>
          <w:szCs w:val="18"/>
          <w:color w:val="auto"/>
        </w:rPr>
        <w:t>If our lead product candidates are approved for the indications for which we are currently undertaking clinical trials, they will compete with the therapies and currently marketed drugs discussed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FSHD</w:t>
      </w:r>
    </w:p>
    <w:p>
      <w:pPr>
        <w:spacing w:after="0" w:line="117" w:lineRule="exact"/>
        <w:rPr>
          <w:sz w:val="20"/>
          <w:szCs w:val="20"/>
          <w:color w:val="auto"/>
        </w:rPr>
      </w:pPr>
    </w:p>
    <w:p>
      <w:pPr>
        <w:ind w:right="200" w:firstLine="546"/>
        <w:spacing w:after="0" w:line="257" w:lineRule="auto"/>
        <w:rPr>
          <w:sz w:val="20"/>
          <w:szCs w:val="20"/>
          <w:color w:val="auto"/>
        </w:rPr>
      </w:pPr>
      <w:r>
        <w:rPr>
          <w:rFonts w:ascii="Arial" w:cs="Arial" w:eastAsia="Arial" w:hAnsi="Arial"/>
          <w:sz w:val="18"/>
          <w:szCs w:val="18"/>
          <w:color w:val="auto"/>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 beneficial effect. Limited range of motion in the shoulder girdle can stem from periscapular muscle weakness, and in such cases surgical scapular fixation can result in some functional improvement for certain patients. There is also no standard practice regarding the use of physical or occupational therapy across countries and sites.</w:t>
      </w:r>
    </w:p>
    <w:p>
      <w:pPr>
        <w:spacing w:after="0" w:line="188"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We are not aware of any product candidate currently in clinical development for FSHD with the same mechanism of action as losmapimod or that is designed to treat the root cause of FSHD.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SCD</w:t>
      </w:r>
    </w:p>
    <w:p>
      <w:pPr>
        <w:spacing w:after="0" w:line="117" w:lineRule="exact"/>
        <w:rPr>
          <w:sz w:val="20"/>
          <w:szCs w:val="20"/>
          <w:color w:val="auto"/>
        </w:rPr>
      </w:pPr>
    </w:p>
    <w:p>
      <w:pPr>
        <w:ind w:right="340" w:firstLine="546"/>
        <w:spacing w:after="0" w:line="293" w:lineRule="auto"/>
        <w:rPr>
          <w:sz w:val="20"/>
          <w:szCs w:val="20"/>
          <w:color w:val="auto"/>
        </w:rPr>
      </w:pPr>
      <w:r>
        <w:rPr>
          <w:rFonts w:ascii="Arial" w:cs="Arial" w:eastAsia="Arial" w:hAnsi="Arial"/>
          <w:sz w:val="16"/>
          <w:szCs w:val="16"/>
          <w:color w:val="auto"/>
        </w:rPr>
        <w:t>Approved drug treatments for SCD focus primarily on the management and reduction of pain episodes, vaso-occlusive crises, and inhibition of hemoglobin S polymerization. The four drug treatments approved in the United States are hydroxyurea, voxelotor, crizanlizumab, and L-glutamine. Hydroxyurea, marketed by Bristol-Myers Squibb Company, is approved for the treatment of anemia related to SCD, to reduce the frequency of painful crises and the need for blood transfusions. Voxelotor, marketed by Global Blood Therapeutics, is approved under accelerated approval as a hemoglobin polymerization inhibitor. Crizanlizumab, marketed by Novartis, is approved for the reduction in the frequency of vasoocclusive crises. L-glutamine, marketed by Emmaus Life Sciences, Inc., is approved to reduce severe complications associated with the disorder.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60" w:firstLine="546"/>
        <w:spacing w:after="0" w:line="275" w:lineRule="auto"/>
        <w:rPr>
          <w:sz w:val="20"/>
          <w:szCs w:val="20"/>
          <w:color w:val="auto"/>
        </w:rPr>
      </w:pPr>
      <w:r>
        <w:rPr>
          <w:rFonts w:ascii="Arial" w:cs="Arial" w:eastAsia="Arial" w:hAnsi="Arial"/>
          <w:sz w:val="17"/>
          <w:szCs w:val="17"/>
          <w:color w:val="auto"/>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176"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FTX-6058 could face competition from a number of different therapeutic approaches in development for patients with SCD. EpiDestiny, Inc., or EpiDestiny, in collaboration with Novo Nordisk A/S, is evaluating EPI01, a small molecule designed to increase production of fetal hemoglobin, which has completed a Phase 1 clinical trial. Imara, Inc. is evaluating IMR-687, a PDE9 inhibitor, in Phase 2a and Phase 2b clinical trials in patients with sickle cell anemia. Agios Pharmaceuticals, Inc., is evaluating mitapivat, a PKR activator, in a Phase 1 clinical trial in patients with SCD. Forma Therapeutics Holdings, Inc., is evaluating FT-4202, a PKR activator, in a Phase 2/3 clinical trial. Takeda Pharmaceutical Company Limited, is evaluating TAK-755, recombinant ADAMTS13 protein, in a Phase 1/2 clinical trial in participants with baseline health SCD and SCD with acute vaso-occlusive crisis. Pfizer, is evaluating PF-07059013, a hemoglobin subunit beta modulator, in a Phase 1 clinical trial. CRISPR Therapeutics AG (in collaboration with Vertex Pharmaceuticals Incorporated, or Vertex), is evaluating CTX001, a gene therapy, in a Phase 1/2 clinical trial. Aruvant Sciences, Inc. is evaluating ARU-1801, a gene therapy, in a Phase 1/2 clinical trial. CSL Behring, is evaluating CSL200 CAL-H, a gene therapy, in a Phase 1 clinical trial. Sangamo Therapeutics Inc., or Sangamo, in collaboration with Bioverativ Inc., or Bioverativ, is developing BIVV-003, a gene editing cell therapy that modifies cells to produce functional RBCs using fetal hemoglobin, in a Phase 1/2 clinical trial. There are also several other gene editing approaches being evaluated by Intellia Therapeutics, Inc. (in collaboration with Novartis) and Editas Medicine, Inc. Pfizer conducted a Phase 1b clinical trial with PF-04447943, a PDE9 inhibitor, in patients with SCD.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ß-thalassemia</w:t>
      </w:r>
    </w:p>
    <w:p>
      <w:pPr>
        <w:spacing w:after="0" w:line="117" w:lineRule="exact"/>
        <w:rPr>
          <w:sz w:val="20"/>
          <w:szCs w:val="20"/>
          <w:color w:val="auto"/>
        </w:rPr>
      </w:pPr>
    </w:p>
    <w:p>
      <w:pPr>
        <w:ind w:right="80" w:firstLine="546"/>
        <w:spacing w:after="0" w:line="270" w:lineRule="auto"/>
        <w:rPr>
          <w:sz w:val="20"/>
          <w:szCs w:val="20"/>
          <w:color w:val="auto"/>
        </w:rPr>
      </w:pPr>
      <w:r>
        <w:rPr>
          <w:rFonts w:ascii="Arial" w:cs="Arial" w:eastAsia="Arial" w:hAnsi="Arial"/>
          <w:sz w:val="17"/>
          <w:szCs w:val="17"/>
          <w:color w:val="auto"/>
        </w:rPr>
        <w:t>The current standard of care for many patients with ß-thalassemia is frequent blood transfusions to manage anemia. The one drug treatment approved in the United States is luspatercept. Luspatercept, marketed by Celgene, is approved as an erythroid maturation agent for the treatment of adult patients with anemia associated with ß-thalassemia and who require regular red blood cell transfusions. The only potentially curative therapy for ß-thalassemia is allogeneic hematopoietic stem cell transplant, which is associated with serious risk and is limited to patients with a suitable donor. The European Commission granted conditional marketing authorization for ZYNTEGLO, a gene therapy developed by bluebird for the treatment of adult and adolescent patients with transfusion-dependent ß-thalassemia and with certain genotypes, in Europe in June 2019. bluebird has initiated a rolling biologics license application, or BLA, submission for betibeglogene autotemcel in the United States, which is expected to be completed in mid-2021. Acceleron in collaboration with Celgene Corp., or Celgene, received FDA and EMA approval for luspatercept, an erythroid maturation agent for the treatment of adult patients with anemia associated with ß-thalassemia and who require frequent transfusions.</w:t>
      </w:r>
    </w:p>
    <w:p>
      <w:pPr>
        <w:spacing w:after="0" w:line="181"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FTX-6058 could face competition from a number of different therapeutic approaches in development for patients with transfusion-dependent ß-thalassemia.</w:t>
      </w:r>
    </w:p>
    <w:p>
      <w:pPr>
        <w:spacing w:after="0" w:line="170"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 xml:space="preserve">Bellicum Pharmaceuticals, Inc. is conducting a Phase 1/2 clinical trial to evaluate a modified donor T cell therapy to be used in conjunction with hematopoietic stem cell transplant. Kiadis Pharma is conducting Phase 2 and Phase 3 clinical trials of an adjunctive T cell immunotherapy treatment in conjunction with hematopoietic stem cell transplant.. Imara, Inc. is evaluating IMR-687, a PDE9 inhibitor, in a Phase 2b clinical trial in patients with ß-thalassemia. Agios Pharmaceuticals, Inc., intends to evaluate mitapivat, a PKR activator, in two Phase 3 clinical trials planned for 2021 in patients with non-transfusion dependent and transfusion-dependent ß-thalassemia. Forma Therapeutics Holdings, Inc., intends to evaluateFT-4202, a PKR activator, in a Phase 2 clinical trial planned for 2021 in non-transfusion and transfusion-dependent ß-thalassemia. Ionis Pharmaceuticals, Inc., is evaluating IONIS TMPRSS6-LRx, an antisense oligonucleotide therapy targeting TMPRSS6, in a Phase 2 clinical trial of non-transfusion dependent β-thalassemia intermedia. Orchard Therapeutics plc is conducting Phase 2 clinical trials of OTL-300, an autologous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for the treatment of transfusion-dependent ß-thalassemia. Sangamo, in collaboration with Bioverativ, is conducting a Phase 1/2 clinical trial of ST-400, which uses a genome-edited cell therapy approach designed to produce functional RBCs using fetal hemoglobin. CRISPR Therapeutics AG, in collaboration with Vertex, is conducting a Phase 1/2 clinical trial of CTX001, which uses a gene editing approach to upregulate the expression of fetal hemoglobin, in patients with transfusion-dependent ß-thalassemia.</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21"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and Regulation of Drugs in the United States</w:t>
      </w:r>
    </w:p>
    <w:p>
      <w:pPr>
        <w:spacing w:after="0" w:line="117" w:lineRule="exact"/>
        <w:rPr>
          <w:sz w:val="20"/>
          <w:szCs w:val="20"/>
          <w:color w:val="auto"/>
        </w:rPr>
      </w:pPr>
    </w:p>
    <w:p>
      <w:pPr>
        <w:ind w:right="280" w:firstLine="546"/>
        <w:spacing w:after="0" w:line="259" w:lineRule="auto"/>
        <w:rPr>
          <w:sz w:val="20"/>
          <w:szCs w:val="20"/>
          <w:color w:val="auto"/>
        </w:rPr>
      </w:pPr>
      <w:r>
        <w:rPr>
          <w:rFonts w:ascii="Arial" w:cs="Arial" w:eastAsia="Arial" w:hAnsi="Arial"/>
          <w:sz w:val="18"/>
          <w:szCs w:val="18"/>
          <w:color w:val="auto"/>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w:t>
      </w:r>
    </w:p>
    <w:p>
      <w:pPr>
        <w:spacing w:after="0" w:line="187"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An applicant seeking approval to market and distribute a new drug in the United States generally must satisfactorily complete each of the following steps before the product candidate will be approved by the FDA:</w:t>
      </w:r>
    </w:p>
    <w:p>
      <w:pPr>
        <w:spacing w:after="0" w:line="62" w:lineRule="exact"/>
        <w:rPr>
          <w:sz w:val="20"/>
          <w:szCs w:val="20"/>
          <w:color w:val="auto"/>
        </w:rPr>
      </w:pPr>
    </w:p>
    <w:p>
      <w:pPr>
        <w:ind w:left="960" w:right="16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or GLP, regulations and standards;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IND for human clinical testing, which must become effective before human clinical trials may begin;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each clinical trial may be initiated;</w:t>
      </w:r>
    </w:p>
    <w:p>
      <w:pPr>
        <w:spacing w:after="0" w:line="155" w:lineRule="exact"/>
        <w:rPr>
          <w:rFonts w:ascii="Arial" w:cs="Arial" w:eastAsia="Arial" w:hAnsi="Arial"/>
          <w:sz w:val="17"/>
          <w:szCs w:val="17"/>
          <w:color w:val="auto"/>
        </w:rPr>
      </w:pPr>
    </w:p>
    <w:p>
      <w:pPr>
        <w:ind w:left="960" w:right="10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potency and purity of the product candidate for each proposed indication, in accordance with current good clinical practices, or GCP;</w:t>
      </w:r>
    </w:p>
    <w:p>
      <w:pPr>
        <w:spacing w:after="0" w:line="62" w:lineRule="exact"/>
        <w:rPr>
          <w:rFonts w:ascii="Arial" w:cs="Arial" w:eastAsia="Arial" w:hAnsi="Arial"/>
          <w:sz w:val="18"/>
          <w:szCs w:val="18"/>
          <w:color w:val="auto"/>
        </w:rPr>
      </w:pPr>
    </w:p>
    <w:p>
      <w:pPr>
        <w:ind w:left="960" w:right="500" w:hanging="412"/>
        <w:spacing w:after="0" w:line="263"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44" w:lineRule="exact"/>
        <w:rPr>
          <w:rFonts w:ascii="Arial" w:cs="Arial" w:eastAsia="Arial" w:hAnsi="Arial"/>
          <w:sz w:val="18"/>
          <w:szCs w:val="18"/>
          <w:color w:val="auto"/>
        </w:rPr>
      </w:pPr>
    </w:p>
    <w:p>
      <w:pPr>
        <w:jc w:val="both"/>
        <w:ind w:left="960" w:right="180" w:hanging="412"/>
        <w:spacing w:after="0" w:line="31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40" w:lineRule="exact"/>
        <w:rPr>
          <w:rFonts w:ascii="Arial" w:cs="Arial" w:eastAsia="Arial" w:hAnsi="Arial"/>
          <w:sz w:val="16"/>
          <w:szCs w:val="16"/>
          <w:color w:val="auto"/>
        </w:rPr>
      </w:pPr>
    </w:p>
    <w:p>
      <w:pPr>
        <w:ind w:left="960" w:right="54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satisfactory completion of any FDA audits of the non-clinical and clinical trial sites to assure compliance with GCP and the integrity of clinical data in support of the NDA;</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user fees and securing FDA approval of the NDA to allow marketing of the new drug product; and</w:t>
      </w:r>
    </w:p>
    <w:p>
      <w:pPr>
        <w:spacing w:after="0" w:line="144"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160" w:firstLine="546"/>
        <w:spacing w:after="0" w:line="273" w:lineRule="auto"/>
        <w:rPr>
          <w:sz w:val="20"/>
          <w:szCs w:val="20"/>
          <w:color w:val="auto"/>
        </w:rPr>
      </w:pPr>
      <w:r>
        <w:rPr>
          <w:rFonts w:ascii="Arial" w:cs="Arial" w:eastAsia="Arial" w:hAnsi="Arial"/>
          <w:sz w:val="17"/>
          <w:szCs w:val="17"/>
          <w:color w:val="auto"/>
        </w:rPr>
        <w:t xml:space="preserve">Before an applicant begins testing a product candidate with potential therapeutic value in humans, the product candidate enters the preclinical testing stage, including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ind w:right="520"/>
        <w:spacing w:after="0" w:line="277" w:lineRule="auto"/>
        <w:rPr>
          <w:sz w:val="20"/>
          <w:szCs w:val="20"/>
          <w:color w:val="auto"/>
        </w:rPr>
      </w:pPr>
      <w:r>
        <w:rPr>
          <w:rFonts w:ascii="Arial" w:cs="Arial" w:eastAsia="Arial" w:hAnsi="Arial"/>
          <w:sz w:val="18"/>
          <w:szCs w:val="18"/>
          <w:color w:val="auto"/>
        </w:rPr>
        <w:t>other things, are submitted to the FDA as part of an IND. Some long-term preclinical testing, such as animal tests of reproductive adverse events and carcinogenicity and long-term toxicity studies may continue after the IND is submitted.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IND and IRB Processes</w:t>
      </w:r>
    </w:p>
    <w:p>
      <w:pPr>
        <w:spacing w:after="0" w:line="117"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76" w:lineRule="exact"/>
        <w:rPr>
          <w:sz w:val="20"/>
          <w:szCs w:val="20"/>
          <w:color w:val="auto"/>
        </w:rPr>
      </w:pPr>
    </w:p>
    <w:p>
      <w:pPr>
        <w:ind w:right="120" w:firstLine="546"/>
        <w:spacing w:after="0" w:line="271"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178" w:lineRule="exact"/>
        <w:rPr>
          <w:sz w:val="20"/>
          <w:szCs w:val="20"/>
          <w:color w:val="auto"/>
        </w:rPr>
      </w:pPr>
    </w:p>
    <w:p>
      <w:pPr>
        <w:ind w:right="60" w:firstLine="546"/>
        <w:spacing w:after="0" w:line="253" w:lineRule="auto"/>
        <w:rPr>
          <w:sz w:val="20"/>
          <w:szCs w:val="20"/>
          <w:color w:val="auto"/>
        </w:rPr>
      </w:pPr>
      <w:r>
        <w:rPr>
          <w:rFonts w:ascii="Arial" w:cs="Arial" w:eastAsia="Arial" w:hAnsi="Arial"/>
          <w:sz w:val="18"/>
          <w:szCs w:val="18"/>
          <w:color w:val="auto"/>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196"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including CGP requirements, of the FDA in order to use the study as support for an IND or application for marketing approval. The 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64"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92"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the competitive environment.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0" w:firstLine="546"/>
        <w:spacing w:after="0" w:line="263" w:lineRule="auto"/>
        <w:rPr>
          <w:sz w:val="20"/>
          <w:szCs w:val="20"/>
          <w:color w:val="auto"/>
        </w:rPr>
      </w:pPr>
      <w:r>
        <w:rPr>
          <w:rFonts w:ascii="Arial" w:cs="Arial" w:eastAsia="Arial" w:hAnsi="Arial"/>
          <w:sz w:val="18"/>
          <w:szCs w:val="18"/>
          <w:color w:val="auto"/>
        </w:rPr>
        <w:t>Information about clinical trials must be submitted within specific timeframes to the NIH for public dissemination on its ClinicalTrials.gov website. Similar requirements for posting clinical trial information are present in the European Union (EudraCT) website: https://eudract.ema.europa.eu/ and other countries, as well.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Expanded Access to an Investigational Drug for Treatment Use</w:t>
      </w:r>
    </w:p>
    <w:p>
      <w:pPr>
        <w:spacing w:after="0" w:line="117"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64" w:lineRule="exact"/>
        <w:rPr>
          <w:sz w:val="20"/>
          <w:szCs w:val="20"/>
          <w:color w:val="auto"/>
        </w:rPr>
      </w:pPr>
    </w:p>
    <w:p>
      <w:pPr>
        <w:ind w:right="20" w:firstLine="546"/>
        <w:spacing w:after="0" w:line="293" w:lineRule="auto"/>
        <w:rPr>
          <w:sz w:val="20"/>
          <w:szCs w:val="20"/>
          <w:color w:val="auto"/>
        </w:rPr>
      </w:pPr>
      <w:r>
        <w:rPr>
          <w:rFonts w:ascii="Arial" w:cs="Arial" w:eastAsia="Arial" w:hAnsi="Arial"/>
          <w:sz w:val="16"/>
          <w:szCs w:val="16"/>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64" w:lineRule="exact"/>
        <w:rPr>
          <w:sz w:val="20"/>
          <w:szCs w:val="20"/>
          <w:color w:val="auto"/>
        </w:rPr>
      </w:pPr>
    </w:p>
    <w:p>
      <w:pPr>
        <w:ind w:firstLine="546"/>
        <w:spacing w:after="0" w:line="286" w:lineRule="auto"/>
        <w:rPr>
          <w:sz w:val="20"/>
          <w:szCs w:val="20"/>
          <w:color w:val="auto"/>
        </w:rPr>
      </w:pPr>
      <w:r>
        <w:rPr>
          <w:rFonts w:ascii="Arial" w:cs="Arial" w:eastAsia="Arial" w:hAnsi="Arial"/>
          <w:sz w:val="17"/>
          <w:szCs w:val="17"/>
          <w:color w:val="auto"/>
        </w:rPr>
        <w:t>There is no obligation for a sponsor to make its drug products available for expanded access. If a sponsor has a policy regarding how it responds to expanded access requests, it must make such policy publicly available upon the earlier of initiation of a Phase 2 or Phase 3 clinical trial; or 15 days after the drug or biologic receives designation as a breakthrough therapy, fast track product, or regenerative medicine advanced therapy.</w:t>
      </w:r>
    </w:p>
    <w:p>
      <w:pPr>
        <w:spacing w:after="0" w:line="165"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In addition to and separate from expanded access,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Human Clinical Trials in Support of an NDA</w:t>
      </w:r>
    </w:p>
    <w:p>
      <w:pPr>
        <w:spacing w:after="0" w:line="117" w:lineRule="exact"/>
        <w:rPr>
          <w:sz w:val="20"/>
          <w:szCs w:val="20"/>
          <w:color w:val="auto"/>
        </w:rPr>
      </w:pPr>
    </w:p>
    <w:p>
      <w:pPr>
        <w:ind w:right="20" w:firstLine="546"/>
        <w:spacing w:after="0" w:line="301" w:lineRule="auto"/>
        <w:rPr>
          <w:sz w:val="20"/>
          <w:szCs w:val="20"/>
          <w:color w:val="auto"/>
        </w:rPr>
      </w:pPr>
      <w:r>
        <w:rPr>
          <w:rFonts w:ascii="Arial" w:cs="Arial" w:eastAsia="Arial" w:hAnsi="Arial"/>
          <w:sz w:val="16"/>
          <w:szCs w:val="16"/>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57"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approval.</w:t>
      </w:r>
    </w:p>
    <w:p>
      <w:pPr>
        <w:spacing w:after="0" w:line="170"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clinical trials are initially conducted in a limited population to test the product candidate for safety, including adverse effects, dose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87"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clinical trials are generally conducted in a limited patient population to identify possible adverse effects and safety risks,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87"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clinical trials proceed if the Phase 2 clinical trials demonstrate that a dose range of the product candidate is potentially effective and has an</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safety profile. Phase 3 clinical trials are undertaken within an expanded patient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180"/>
        <w:spacing w:after="0" w:line="259" w:lineRule="auto"/>
        <w:rPr>
          <w:sz w:val="20"/>
          <w:szCs w:val="20"/>
          <w:color w:val="auto"/>
        </w:rPr>
      </w:pPr>
      <w:r>
        <w:rPr>
          <w:rFonts w:ascii="Arial" w:cs="Arial" w:eastAsia="Arial" w:hAnsi="Arial"/>
          <w:sz w:val="18"/>
          <w:szCs w:val="18"/>
          <w:color w:val="auto"/>
        </w:rPr>
        <w:t>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8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88"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78" w:lineRule="exact"/>
        <w:rPr>
          <w:sz w:val="20"/>
          <w:szCs w:val="20"/>
          <w:color w:val="auto"/>
        </w:rPr>
      </w:pPr>
    </w:p>
    <w:p>
      <w:pPr>
        <w:ind w:right="100" w:firstLine="546"/>
        <w:spacing w:after="0" w:line="296" w:lineRule="auto"/>
        <w:rPr>
          <w:sz w:val="20"/>
          <w:szCs w:val="20"/>
          <w:color w:val="auto"/>
        </w:rPr>
      </w:pPr>
      <w:r>
        <w:rPr>
          <w:rFonts w:ascii="Arial" w:cs="Arial" w:eastAsia="Arial" w:hAnsi="Arial"/>
          <w:sz w:val="16"/>
          <w:szCs w:val="16"/>
          <w:color w:val="auto"/>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w:t>
      </w:r>
    </w:p>
    <w:p>
      <w:pPr>
        <w:spacing w:after="0" w:line="117"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Under the Pediatric Research Equity Act of 2003, or PREA,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64" w:lineRule="exact"/>
        <w:rPr>
          <w:sz w:val="20"/>
          <w:szCs w:val="20"/>
          <w:color w:val="auto"/>
        </w:rPr>
      </w:pPr>
    </w:p>
    <w:p>
      <w:pPr>
        <w:ind w:right="100" w:firstLine="546"/>
        <w:spacing w:after="0" w:line="279" w:lineRule="auto"/>
        <w:rPr>
          <w:sz w:val="20"/>
          <w:szCs w:val="20"/>
          <w:color w:val="auto"/>
        </w:rPr>
      </w:pPr>
      <w:r>
        <w:rPr>
          <w:rFonts w:ascii="Arial" w:cs="Arial" w:eastAsia="Arial" w:hAnsi="Arial"/>
          <w:sz w:val="17"/>
          <w:szCs w:val="17"/>
          <w:color w:val="auto"/>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71"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in 2012. The FDA maintains a list of diseases that are exempt from the requirements of PREA, due to low prevalence of disease in the pediatric population. Under the amended section 505B of the FDA Reauthorization Act of 2017, or FDARA, beginning on August 18, 2020, the submission of a pediatric assessment, waiver or deferral will be required for certain molecularly targeted cancer indications with the submission of an NDA application or supplement to an NDA application. Previously, drugs that had been granted orphan drug designation were exempt from the requirements of the PREA.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Approval of an NDA</w:t>
      </w:r>
    </w:p>
    <w:p>
      <w:pPr>
        <w:spacing w:after="0" w:line="117"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6" w:name="page47"/>
    <w:bookmarkEnd w:id="46"/>
    <w:p>
      <w:pPr>
        <w:jc w:val="both"/>
        <w:ind w:right="140"/>
        <w:spacing w:after="0" w:line="259" w:lineRule="auto"/>
        <w:rPr>
          <w:sz w:val="20"/>
          <w:szCs w:val="20"/>
          <w:color w:val="auto"/>
        </w:rPr>
      </w:pPr>
      <w:r>
        <w:rPr>
          <w:rFonts w:ascii="Arial" w:cs="Arial" w:eastAsia="Arial" w:hAnsi="Arial"/>
          <w:sz w:val="18"/>
          <w:szCs w:val="18"/>
          <w:color w:val="auto"/>
        </w:rPr>
        <w:t>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187"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The NDA is a vehicle through which applicants formally propose that the FDA approve a new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2021 is $2,875,842 for an application requiring clinical data. The sponsor of an approved NDA is also subject to an annual program fee, which for fiscal year 2021 is $336,432. Certain exceptions and waivers are available for some of these 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7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81"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66" w:lineRule="exact"/>
        <w:rPr>
          <w:sz w:val="20"/>
          <w:szCs w:val="20"/>
          <w:color w:val="auto"/>
        </w:rPr>
      </w:pPr>
    </w:p>
    <w:p>
      <w:pPr>
        <w:ind w:right="200" w:firstLine="546"/>
        <w:spacing w:after="0" w:line="279" w:lineRule="auto"/>
        <w:rPr>
          <w:sz w:val="20"/>
          <w:szCs w:val="20"/>
          <w:color w:val="auto"/>
        </w:rPr>
      </w:pPr>
      <w:r>
        <w:rPr>
          <w:rFonts w:ascii="Arial" w:cs="Arial" w:eastAsia="Arial" w:hAnsi="Arial"/>
          <w:sz w:val="17"/>
          <w:szCs w:val="17"/>
          <w:color w:val="auto"/>
        </w:rPr>
        <w:t>In addition, as a condition of approval, the FDA may require an applicant to develop a REMS. A REMS uses risk-minimization strategies beyond the professional labeling to ensure that the benefits of the product outweigh the potential risks. To determine whether a REMS is needed, the FDA will consider the size of the population likely to use the product, the seriousness of the disease, the expected benefit of the product, the expected duration of treatment, the seriousness of known or potential adverse events and whether the product is a new molecular entity.</w:t>
      </w:r>
    </w:p>
    <w:p>
      <w:pPr>
        <w:spacing w:after="0" w:line="171"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Breakthrough Therapy, Priority Review and Regenerative Advanced Therapy Designations</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84" w:lineRule="exact"/>
        <w:rPr>
          <w:sz w:val="20"/>
          <w:szCs w:val="20"/>
          <w:color w:val="auto"/>
        </w:rPr>
      </w:pPr>
    </w:p>
    <w:p>
      <w:pPr>
        <w:ind w:right="100" w:firstLine="546"/>
        <w:spacing w:after="0" w:line="273" w:lineRule="auto"/>
        <w:rPr>
          <w:sz w:val="20"/>
          <w:szCs w:val="20"/>
          <w:color w:val="auto"/>
        </w:rPr>
      </w:pPr>
      <w:r>
        <w:rPr>
          <w:rFonts w:ascii="Arial" w:cs="Arial" w:eastAsia="Arial" w:hAnsi="Arial"/>
          <w:sz w:val="17"/>
          <w:szCs w:val="17"/>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18"/>
          <w:szCs w:val="18"/>
          <w:color w:val="auto"/>
        </w:rPr>
        <w:t>However, the FDA’s time-period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4"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4"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color w:val="auto"/>
        </w:rPr>
        <w:t>Third, 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if preliminary clinical evidence indicates that the product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Approval Pathway</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95"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efficacy biomarker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7" w:lineRule="exact"/>
        <w:rPr>
          <w:sz w:val="20"/>
          <w:szCs w:val="20"/>
          <w:color w:val="auto"/>
        </w:rPr>
      </w:pPr>
    </w:p>
    <w:p>
      <w:pPr>
        <w:ind w:right="140" w:firstLine="546"/>
        <w:spacing w:after="0" w:line="279" w:lineRule="auto"/>
        <w:rPr>
          <w:sz w:val="20"/>
          <w:szCs w:val="20"/>
          <w:color w:val="auto"/>
        </w:rPr>
      </w:pPr>
      <w:r>
        <w:rPr>
          <w:rFonts w:ascii="Arial" w:cs="Arial" w:eastAsia="Arial" w:hAnsi="Arial"/>
          <w:sz w:val="17"/>
          <w:szCs w:val="17"/>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71" w:lineRule="exact"/>
        <w:rPr>
          <w:sz w:val="20"/>
          <w:szCs w:val="20"/>
          <w:color w:val="auto"/>
        </w:rPr>
      </w:pPr>
    </w:p>
    <w:p>
      <w:pPr>
        <w:ind w:right="80" w:firstLine="546"/>
        <w:spacing w:after="0" w:line="301" w:lineRule="auto"/>
        <w:rPr>
          <w:sz w:val="20"/>
          <w:szCs w:val="20"/>
          <w:color w:val="auto"/>
        </w:rPr>
      </w:pPr>
      <w:r>
        <w:rPr>
          <w:rFonts w:ascii="Arial" w:cs="Arial" w:eastAsia="Arial" w:hAnsi="Arial"/>
          <w:sz w:val="16"/>
          <w:szCs w:val="16"/>
          <w:color w:val="auto"/>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240"/>
        <w:spacing w:after="0" w:line="277" w:lineRule="auto"/>
        <w:rPr>
          <w:sz w:val="20"/>
          <w:szCs w:val="20"/>
          <w:color w:val="auto"/>
        </w:rPr>
      </w:pPr>
      <w:r>
        <w:rPr>
          <w:rFonts w:ascii="Arial" w:cs="Arial" w:eastAsia="Arial" w:hAnsi="Arial"/>
          <w:sz w:val="18"/>
          <w:szCs w:val="18"/>
          <w:color w:val="auto"/>
        </w:rPr>
        <w:t>proceedings to withdraw approval of the product. All promotional materials for product candidates approved under accelerated regulations are subject to prior review by the FDA.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FDA’s Decision on an NDA</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7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Regulation</w:t>
      </w:r>
    </w:p>
    <w:p>
      <w:pPr>
        <w:spacing w:after="0" w:line="117"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66"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to the FDA samples of each lot,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Finally, the FDA will conduct laboratory research related to the safety, purity, potency and effectiveness of pharmaceutical products.</w:t>
      </w:r>
    </w:p>
    <w:p>
      <w:pPr>
        <w:spacing w:after="0" w:line="176"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80" w:lineRule="exact"/>
        <w:rPr>
          <w:sz w:val="20"/>
          <w:szCs w:val="20"/>
          <w:color w:val="auto"/>
        </w:rPr>
      </w:pPr>
    </w:p>
    <w:p>
      <w:pPr>
        <w:ind w:left="960" w:hanging="412"/>
        <w:spacing w:after="0"/>
        <w:tabs>
          <w:tab w:leader="none" w:pos="9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44" w:lineRule="exact"/>
        <w:rPr>
          <w:rFonts w:ascii="Arial" w:cs="Arial" w:eastAsia="Arial" w:hAnsi="Arial"/>
          <w:sz w:val="18"/>
          <w:szCs w:val="18"/>
          <w:color w:val="auto"/>
        </w:rPr>
      </w:pPr>
    </w:p>
    <w:p>
      <w:pPr>
        <w:ind w:left="960" w:right="200" w:hanging="41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9" w:name="page50"/>
    <w:bookmarkEnd w:id="49"/>
    <w:p>
      <w:pPr>
        <w:ind w:left="960" w:hanging="41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81"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505(b)(2) NDAs</w:t>
      </w:r>
    </w:p>
    <w:p>
      <w:pPr>
        <w:spacing w:after="0" w:line="117"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95"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117"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known as the reference listed drugs, or RLDs. Abbreviated new drug applications, or ANDAs, generally do not include preclinical and clinical data to demonstrate safety and effectiveness. Instead, the applicant may rely on the preclinical and clinical testing previously conducted for the RLD.</w:t>
      </w:r>
    </w:p>
    <w:p>
      <w:pPr>
        <w:spacing w:after="0" w:line="188" w:lineRule="exact"/>
        <w:rPr>
          <w:sz w:val="20"/>
          <w:szCs w:val="20"/>
          <w:color w:val="auto"/>
        </w:rPr>
      </w:pPr>
    </w:p>
    <w:p>
      <w:pPr>
        <w:jc w:val="both"/>
        <w:ind w:right="880" w:firstLine="546"/>
        <w:spacing w:after="0" w:line="263" w:lineRule="auto"/>
        <w:rPr>
          <w:sz w:val="20"/>
          <w:szCs w:val="20"/>
          <w:color w:val="auto"/>
        </w:rPr>
      </w:pPr>
      <w:r>
        <w:rPr>
          <w:rFonts w:ascii="Arial" w:cs="Arial" w:eastAsia="Arial" w:hAnsi="Arial"/>
          <w:sz w:val="18"/>
          <w:szCs w:val="18"/>
          <w:color w:val="auto"/>
        </w:rPr>
        <w:t>To approve an ANDA, the FDA must find that the generic version is identical to the RLD with respect to the active ingredients, route of administration, dosage form, strength and conditions of use of the drug. At the same time, the FDA must also determine that the generic drug is bioequivalent to the RLD. Under the statute, a generic drug is bioequivalent to a RLD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ind w:right="120"/>
        <w:spacing w:after="0" w:line="259" w:lineRule="auto"/>
        <w:rPr>
          <w:sz w:val="20"/>
          <w:szCs w:val="20"/>
          <w:color w:val="auto"/>
        </w:rPr>
      </w:pPr>
      <w:r>
        <w:rPr>
          <w:rFonts w:ascii="Arial" w:cs="Arial" w:eastAsia="Arial" w:hAnsi="Arial"/>
          <w:sz w:val="18"/>
          <w:szCs w:val="18"/>
          <w:color w:val="auto"/>
        </w:rPr>
        <w:t>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spacing w:after="0" w:line="18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117"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1" w:lineRule="exact"/>
        <w:rPr>
          <w:sz w:val="20"/>
          <w:szCs w:val="20"/>
          <w:color w:val="auto"/>
        </w:rPr>
      </w:pPr>
    </w:p>
    <w:p>
      <w:pPr>
        <w:ind w:right="160" w:firstLine="8"/>
        <w:spacing w:after="0" w:line="260"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117" w:lineRule="exact"/>
        <w:rPr>
          <w:sz w:val="20"/>
          <w:szCs w:val="20"/>
          <w:color w:val="auto"/>
        </w:rPr>
      </w:pPr>
    </w:p>
    <w:p>
      <w:pPr>
        <w:ind w:left="960" w:hanging="41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252"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87"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the expiration of the patent, or a decision in the infringement case that is favorable to the ANDA applicant.</w:t>
      </w:r>
    </w:p>
    <w:p>
      <w:pPr>
        <w:spacing w:after="0" w:line="176"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Exclusivity</w:t>
      </w:r>
    </w:p>
    <w:p>
      <w:pPr>
        <w:spacing w:after="0" w:line="117"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spacing w:after="0" w:line="272" w:lineRule="auto"/>
        <w:rPr>
          <w:sz w:val="20"/>
          <w:szCs w:val="20"/>
          <w:color w:val="auto"/>
        </w:rPr>
      </w:pPr>
      <w:r>
        <w:rPr>
          <w:rFonts w:ascii="Arial" w:cs="Arial" w:eastAsia="Arial" w:hAnsi="Arial"/>
          <w:sz w:val="17"/>
          <w:szCs w:val="17"/>
          <w:color w:val="auto"/>
        </w:rPr>
        <w:t>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 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right="20" w:firstLine="546"/>
        <w:spacing w:after="0" w:line="293" w:lineRule="auto"/>
        <w:rPr>
          <w:sz w:val="20"/>
          <w:szCs w:val="20"/>
          <w:color w:val="auto"/>
        </w:rPr>
      </w:pPr>
      <w:r>
        <w:rPr>
          <w:rFonts w:ascii="Arial" w:cs="Arial" w:eastAsia="Arial" w:hAnsi="Arial"/>
          <w:sz w:val="16"/>
          <w:szCs w:val="16"/>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64" w:lineRule="exact"/>
        <w:rPr>
          <w:sz w:val="20"/>
          <w:szCs w:val="20"/>
          <w:color w:val="auto"/>
        </w:rPr>
      </w:pPr>
    </w:p>
    <w:p>
      <w:pPr>
        <w:ind w:right="80" w:firstLine="546"/>
        <w:spacing w:after="0" w:line="268" w:lineRule="auto"/>
        <w:rPr>
          <w:sz w:val="20"/>
          <w:szCs w:val="20"/>
          <w:color w:val="auto"/>
        </w:rPr>
      </w:pPr>
      <w:r>
        <w:rPr>
          <w:rFonts w:ascii="Arial" w:cs="Arial" w:eastAsia="Arial" w:hAnsi="Arial"/>
          <w:sz w:val="17"/>
          <w:szCs w:val="17"/>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 Under Omnibus legislation signed by President Trump on December 27, 2020, the requirement for a subsequent product to show clinical superiority in order to break the previous product’s orphan drug exclusivity applies to drugs and biologics that received orphan drug designation before enactment of FDARA in 2017, but have not yet been approved or licensed by FDA.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 and Extension</w:t>
      </w:r>
    </w:p>
    <w:p>
      <w:pPr>
        <w:spacing w:after="0" w:line="117"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Law and Regulation</w:t>
      </w:r>
    </w:p>
    <w:p>
      <w:pPr>
        <w:spacing w:after="0" w:line="117" w:lineRule="exact"/>
        <w:rPr>
          <w:sz w:val="20"/>
          <w:szCs w:val="20"/>
          <w:color w:val="auto"/>
        </w:rPr>
      </w:pPr>
    </w:p>
    <w:p>
      <w:pPr>
        <w:ind w:right="260" w:firstLine="546"/>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63" w:lineRule="exact"/>
        <w:rPr>
          <w:sz w:val="20"/>
          <w:szCs w:val="20"/>
          <w:color w:val="auto"/>
        </w:rPr>
      </w:pPr>
    </w:p>
    <w:p>
      <w:pPr>
        <w:ind w:left="960" w:right="40" w:hanging="41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 indirectly, in cash or in kind,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left="960" w:right="500"/>
        <w:spacing w:after="0" w:line="308" w:lineRule="auto"/>
        <w:rPr>
          <w:sz w:val="20"/>
          <w:szCs w:val="20"/>
          <w:color w:val="auto"/>
        </w:rPr>
      </w:pPr>
      <w:r>
        <w:rPr>
          <w:rFonts w:ascii="Arial" w:cs="Arial" w:eastAsia="Arial" w:hAnsi="Arial"/>
          <w:sz w:val="17"/>
          <w:szCs w:val="17"/>
          <w:color w:val="auto"/>
        </w:rPr>
        <w:t>to induce or reward either the referral of an individual for, or the purchase, order or recommendation of, any good or service, for which payment may be made, in whole or in part, under a federal health care program such as Medicare and Medicaid;</w:t>
      </w:r>
    </w:p>
    <w:p>
      <w:pPr>
        <w:spacing w:after="0" w:line="38" w:lineRule="exact"/>
        <w:rPr>
          <w:sz w:val="20"/>
          <w:szCs w:val="20"/>
          <w:color w:val="auto"/>
        </w:rPr>
      </w:pPr>
    </w:p>
    <w:p>
      <w:pPr>
        <w:ind w:left="960" w:right="260" w:hanging="412"/>
        <w:spacing w:after="0" w:line="259"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78" w:lineRule="exact"/>
        <w:rPr>
          <w:rFonts w:ascii="Arial" w:cs="Arial" w:eastAsia="Arial" w:hAnsi="Arial"/>
          <w:sz w:val="18"/>
          <w:szCs w:val="18"/>
          <w:color w:val="auto"/>
        </w:rPr>
      </w:pPr>
    </w:p>
    <w:p>
      <w:pPr>
        <w:jc w:val="both"/>
        <w:ind w:left="960" w:right="520" w:hanging="412"/>
        <w:spacing w:after="0" w:line="263"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75" w:lineRule="exact"/>
        <w:rPr>
          <w:rFonts w:ascii="Arial" w:cs="Arial" w:eastAsia="Arial" w:hAnsi="Arial"/>
          <w:sz w:val="18"/>
          <w:szCs w:val="18"/>
          <w:color w:val="auto"/>
        </w:rPr>
      </w:pPr>
    </w:p>
    <w:p>
      <w:pPr>
        <w:ind w:left="960" w:right="100" w:hanging="412"/>
        <w:spacing w:after="0" w:line="286"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57" w:lineRule="exact"/>
        <w:rPr>
          <w:rFonts w:ascii="Arial" w:cs="Arial" w:eastAsia="Arial" w:hAnsi="Arial"/>
          <w:sz w:val="17"/>
          <w:szCs w:val="17"/>
          <w:color w:val="auto"/>
        </w:rPr>
      </w:pPr>
    </w:p>
    <w:p>
      <w:pPr>
        <w:ind w:left="960" w:right="200" w:hanging="412"/>
        <w:spacing w:after="0" w:line="308"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38" w:lineRule="exact"/>
        <w:rPr>
          <w:rFonts w:ascii="Arial" w:cs="Arial" w:eastAsia="Arial" w:hAnsi="Arial"/>
          <w:sz w:val="17"/>
          <w:szCs w:val="17"/>
          <w:color w:val="auto"/>
        </w:rPr>
      </w:pPr>
    </w:p>
    <w:p>
      <w:pPr>
        <w:jc w:val="both"/>
        <w:ind w:left="960" w:right="260" w:hanging="412"/>
        <w:spacing w:after="0" w:line="342"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 w:lineRule="exact"/>
        <w:rPr>
          <w:rFonts w:ascii="Arial" w:cs="Arial" w:eastAsia="Arial" w:hAnsi="Arial"/>
          <w:sz w:val="16"/>
          <w:szCs w:val="16"/>
          <w:color w:val="auto"/>
        </w:rPr>
      </w:pPr>
    </w:p>
    <w:p>
      <w:pPr>
        <w:ind w:left="960" w:hanging="412"/>
        <w:spacing w:after="0" w:line="296"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53" w:lineRule="exact"/>
        <w:rPr>
          <w:rFonts w:ascii="Arial" w:cs="Arial" w:eastAsia="Arial" w:hAnsi="Arial"/>
          <w:sz w:val="16"/>
          <w:szCs w:val="16"/>
          <w:color w:val="auto"/>
        </w:rPr>
      </w:pPr>
    </w:p>
    <w:p>
      <w:pPr>
        <w:ind w:left="960" w:right="160" w:hanging="412"/>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70" w:lineRule="exact"/>
        <w:rPr>
          <w:sz w:val="20"/>
          <w:szCs w:val="20"/>
          <w:color w:val="auto"/>
        </w:rPr>
      </w:pPr>
    </w:p>
    <w:p>
      <w:pPr>
        <w:ind w:right="100" w:firstLine="546"/>
        <w:spacing w:after="0" w:line="296" w:lineRule="auto"/>
        <w:rPr>
          <w:sz w:val="20"/>
          <w:szCs w:val="20"/>
          <w:color w:val="auto"/>
        </w:rPr>
      </w:pPr>
      <w:r>
        <w:rPr>
          <w:rFonts w:ascii="Arial" w:cs="Arial" w:eastAsia="Arial" w:hAnsi="Arial"/>
          <w:sz w:val="16"/>
          <w:szCs w:val="16"/>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Pharmaceutical Insurance Coverage and Health Care Reform</w:t>
      </w:r>
    </w:p>
    <w:p>
      <w:pPr>
        <w:spacing w:after="0" w:line="117"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5" w:lineRule="exact"/>
        <w:rPr>
          <w:sz w:val="20"/>
          <w:szCs w:val="20"/>
          <w:color w:val="auto"/>
        </w:rPr>
      </w:pPr>
    </w:p>
    <w:p>
      <w:pPr>
        <w:ind w:right="180" w:firstLine="546"/>
        <w:spacing w:after="0" w:line="291" w:lineRule="auto"/>
        <w:rPr>
          <w:sz w:val="20"/>
          <w:szCs w:val="20"/>
          <w:color w:val="auto"/>
        </w:rPr>
      </w:pPr>
      <w:r>
        <w:rPr>
          <w:rFonts w:ascii="Arial" w:cs="Arial" w:eastAsia="Arial" w:hAnsi="Arial"/>
          <w:sz w:val="16"/>
          <w:szCs w:val="16"/>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66"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95"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84" w:lineRule="exact"/>
        <w:rPr>
          <w:sz w:val="20"/>
          <w:szCs w:val="20"/>
          <w:color w:val="auto"/>
        </w:rPr>
      </w:pPr>
    </w:p>
    <w:p>
      <w:pPr>
        <w:ind w:right="200" w:firstLine="546"/>
        <w:spacing w:after="0" w:line="342" w:lineRule="auto"/>
        <w:rPr>
          <w:sz w:val="20"/>
          <w:szCs w:val="20"/>
          <w:color w:val="auto"/>
        </w:rPr>
      </w:pPr>
      <w:r>
        <w:rPr>
          <w:rFonts w:ascii="Arial" w:cs="Arial" w:eastAsia="Arial" w:hAnsi="Arial"/>
          <w:sz w:val="16"/>
          <w:szCs w:val="16"/>
          <w:color w:val="auto"/>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16" w:lineRule="exact"/>
        <w:rPr>
          <w:sz w:val="20"/>
          <w:szCs w:val="20"/>
          <w:color w:val="auto"/>
        </w:rPr>
      </w:pPr>
    </w:p>
    <w:p>
      <w:pPr>
        <w:ind w:left="960" w:right="20" w:hanging="41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960" w:right="500" w:hanging="412"/>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5" w:lineRule="exact"/>
        <w:rPr>
          <w:rFonts w:ascii="Arial" w:cs="Arial" w:eastAsia="Arial" w:hAnsi="Arial"/>
          <w:sz w:val="18"/>
          <w:szCs w:val="18"/>
          <w:color w:val="auto"/>
        </w:rPr>
      </w:pPr>
    </w:p>
    <w:p>
      <w:pPr>
        <w:jc w:val="both"/>
        <w:ind w:left="960" w:right="220" w:hanging="412"/>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75" w:lineRule="exact"/>
        <w:rPr>
          <w:rFonts w:ascii="Arial" w:cs="Arial" w:eastAsia="Arial" w:hAnsi="Arial"/>
          <w:sz w:val="18"/>
          <w:szCs w:val="18"/>
          <w:color w:val="auto"/>
        </w:rPr>
      </w:pPr>
    </w:p>
    <w:p>
      <w:pPr>
        <w:ind w:left="960" w:right="260" w:hanging="41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addressed 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44" w:lineRule="exact"/>
        <w:rPr>
          <w:rFonts w:ascii="Arial" w:cs="Arial" w:eastAsia="Arial" w:hAnsi="Arial"/>
          <w:sz w:val="18"/>
          <w:szCs w:val="18"/>
          <w:color w:val="auto"/>
        </w:rPr>
      </w:pPr>
    </w:p>
    <w:p>
      <w:pPr>
        <w:ind w:left="960" w:right="200" w:hanging="412"/>
        <w:spacing w:after="0" w:line="26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75"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4" w:name="page55"/>
    <w:bookmarkEnd w:id="54"/>
    <w:p>
      <w:pPr>
        <w:ind w:firstLine="546"/>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2030 pursuant to the Coronavirus Aid, Relief, and Economic Security Act, or the CARES Act.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85"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is effective as of 2019. Additionally, the 2020 federal spending package permanently eliminated, effective January 1, 2020, the ACA-mandated “Cadillac” tax on high-cost employer-sponsored health coverage and medical device tax and, effective January 1, 2021, also eliminated the health insurer tax. Further, the Bipartisan Budget Act of 2018, among other things, amended the ACA, effective January 1, 2019, to increase from 50 percent to 70 percent the point-of-sale discount that is owed by pharmaceutical manufacturers who participate in Medicare Part D and to close the coverage gap in most Medicare drug plans, commonly referred to as the “donut hole”. Congress may consider other legislation to replace elements of the ACA during the next Congressional session.</w:t>
      </w:r>
    </w:p>
    <w:p>
      <w:pPr>
        <w:spacing w:after="0" w:line="165"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6"/>
          <w:szCs w:val="16"/>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January 28, 2021, however, President Biden rescinded those orders and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164"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On November 10, 2020, the Supreme Court heard oral arguments as to whether the individual mandate portion of the ACA is an essential and inseverable feature of the ACA, and therefore because the mandate was repealed as part of the Tax Cuts and Jobs Act, the remaining provisions of the ACA are invalid as well. On February 10, 2021, the Biden Administration withdrew DOJ’s support for this lawsuit. A ruling by the Supreme Court is expected sometime this year. Litigation and legislation over the ACA are likely to continue, with unpredictable and uncertain results.</w:t>
      </w:r>
    </w:p>
    <w:p>
      <w:pPr>
        <w:spacing w:after="0" w:line="171" w:lineRule="exact"/>
        <w:rPr>
          <w:sz w:val="20"/>
          <w:szCs w:val="20"/>
          <w:color w:val="auto"/>
        </w:rPr>
      </w:pPr>
    </w:p>
    <w:p>
      <w:pPr>
        <w:ind w:right="300" w:firstLine="546"/>
        <w:spacing w:after="0" w:line="255" w:lineRule="auto"/>
        <w:rPr>
          <w:sz w:val="20"/>
          <w:szCs w:val="20"/>
          <w:color w:val="auto"/>
        </w:rPr>
      </w:pPr>
      <w:r>
        <w:rPr>
          <w:rFonts w:ascii="Arial" w:cs="Arial" w:eastAsia="Arial" w:hAnsi="Arial"/>
          <w:sz w:val="18"/>
          <w:szCs w:val="18"/>
          <w:color w:val="auto"/>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five Executive Orders intended to lower the costs of prescription drug products but it is unclear whether, and to what extent, these orders will remain in force under the Biden Administration.</w:t>
      </w:r>
    </w:p>
    <w:p>
      <w:pPr>
        <w:spacing w:after="0" w:line="192" w:lineRule="exact"/>
        <w:rPr>
          <w:sz w:val="20"/>
          <w:szCs w:val="20"/>
          <w:color w:val="auto"/>
        </w:rPr>
      </w:pPr>
    </w:p>
    <w:p>
      <w:pPr>
        <w:ind w:right="140" w:firstLine="546"/>
        <w:spacing w:after="0" w:line="301" w:lineRule="auto"/>
        <w:rPr>
          <w:sz w:val="20"/>
          <w:szCs w:val="20"/>
          <w:color w:val="auto"/>
        </w:rPr>
      </w:pPr>
      <w:r>
        <w:rPr>
          <w:rFonts w:ascii="Arial" w:cs="Arial" w:eastAsia="Arial" w:hAnsi="Arial"/>
          <w:sz w:val="16"/>
          <w:szCs w:val="16"/>
          <w:color w:val="auto"/>
        </w:rPr>
        <w:t>Further, on September 24, 2020, the Trump Administration finalized a rulemaking allowing states or certain other non-federal government entities to submit importation program proposals to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57"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5" w:name="page56"/>
    <w:bookmarkEnd w:id="55"/>
    <w:p>
      <w:pPr>
        <w:ind w:right="400"/>
        <w:spacing w:after="0" w:line="308" w:lineRule="auto"/>
        <w:rPr>
          <w:sz w:val="20"/>
          <w:szCs w:val="20"/>
          <w:color w:val="auto"/>
        </w:rPr>
      </w:pPr>
      <w:r>
        <w:rPr>
          <w:rFonts w:ascii="Arial" w:cs="Arial" w:eastAsia="Arial" w:hAnsi="Arial"/>
          <w:sz w:val="17"/>
          <w:szCs w:val="17"/>
          <w:color w:val="auto"/>
        </w:rPr>
        <w:t>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117" w:lineRule="exact"/>
        <w:rPr>
          <w:sz w:val="20"/>
          <w:szCs w:val="20"/>
          <w:color w:val="auto"/>
        </w:rPr>
      </w:pPr>
    </w:p>
    <w:p>
      <w:pPr>
        <w:ind w:right="140" w:firstLine="546"/>
        <w:spacing w:after="0" w:line="287"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Approval</w:t>
      </w:r>
    </w:p>
    <w:p>
      <w:pPr>
        <w:spacing w:after="0" w:line="117" w:lineRule="exact"/>
        <w:rPr>
          <w:sz w:val="20"/>
          <w:szCs w:val="20"/>
          <w:color w:val="auto"/>
        </w:rPr>
      </w:pPr>
    </w:p>
    <w:p>
      <w:pPr>
        <w:ind w:right="100" w:firstLine="546"/>
        <w:spacing w:after="0" w:line="272"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member states of the European Union, or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69" w:lineRule="exact"/>
        <w:rPr>
          <w:sz w:val="20"/>
          <w:szCs w:val="20"/>
          <w:color w:val="auto"/>
        </w:rPr>
      </w:pPr>
    </w:p>
    <w:p>
      <w:pPr>
        <w:ind w:firstLine="546"/>
        <w:spacing w:after="0" w:line="280" w:lineRule="auto"/>
        <w:rPr>
          <w:sz w:val="20"/>
          <w:szCs w:val="20"/>
          <w:color w:val="auto"/>
        </w:rPr>
      </w:pPr>
      <w:r>
        <w:rPr>
          <w:rFonts w:ascii="Arial" w:cs="Arial" w:eastAsia="Arial" w:hAnsi="Arial"/>
          <w:sz w:val="17"/>
          <w:szCs w:val="17"/>
          <w:color w:val="auto"/>
        </w:rPr>
        <w:t>In April 2014, the new Clinical Trials Regulation, (EU) No 536/2014, was adopted, which is set to replace the current Clinical Trials Directive. The Clinical Trials Regulation will be directly applicable in all EU Member States without the need for any national implementing legislation. It will overhaul the current system of approvals for clinical trials in the EU. The new Clinical Trials Regulation aims to simplify and streamline the approval of clinical trials in the EU. Under the new coordinated procedure for the approval of clinical trials, the sponsor of a clinical trial will be required to submit a single application for approval of a clinical trial to a reporting EU Member State through an EU Portal. The submission procedure will be the same irrespective of whether the clinical trial is to be conducted in a single EU Member State or in more than one EU Member State.</w:t>
      </w:r>
    </w:p>
    <w:p>
      <w:pPr>
        <w:spacing w:after="0" w:line="38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The Clinical Trials Regulation has not yet become effective. In January 2020, the website of the European Commission reported that the implementation of the Clinical Trials Regulation was dependent on the development of a fully functional clinical trials portal and database, which would be confirmed by an independent audit which was conducted in December 2020, and that the new legislation would come into effect six months after the European Commission publishes a notice of this confirmation. The Clinical Trials Regulation becomes applicable six months after the European Commission publishes notice of this confirmation and has published an expected system “go live” in December 2021. When the Clinical Trials Regulation becomes applicable, the existing Clinical Trial Directive and national legislation put in place to implement the Directive will be repealed. Following implementation of the Clinical Trials Regulation, a transitional period will be in effect for one year where new clinical trial applications can be submitted either under the existing Clinical Trials Directive or under the new Clinical Trials Regulation.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PRIME Designation in the EU</w:t>
      </w:r>
    </w:p>
    <w:p>
      <w:pPr>
        <w:spacing w:after="0" w:line="117" w:lineRule="exact"/>
        <w:rPr>
          <w:sz w:val="20"/>
          <w:szCs w:val="20"/>
          <w:color w:val="auto"/>
        </w:rPr>
      </w:pPr>
    </w:p>
    <w:p>
      <w:pPr>
        <w:ind w:right="220" w:firstLine="546"/>
        <w:spacing w:after="0" w:line="289" w:lineRule="auto"/>
        <w:rPr>
          <w:sz w:val="20"/>
          <w:szCs w:val="20"/>
          <w:color w:val="auto"/>
        </w:rPr>
      </w:pPr>
      <w:r>
        <w:rPr>
          <w:rFonts w:ascii="Arial" w:cs="Arial" w:eastAsia="Arial" w:hAnsi="Arial"/>
          <w:sz w:val="16"/>
          <w:szCs w:val="16"/>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Committee for Human Medicinal Products, or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Authorization</w:t>
      </w:r>
    </w:p>
    <w:p>
      <w:pPr>
        <w:spacing w:after="0" w:line="117" w:lineRule="exact"/>
        <w:rPr>
          <w:sz w:val="20"/>
          <w:szCs w:val="20"/>
          <w:color w:val="auto"/>
        </w:rPr>
      </w:pPr>
    </w:p>
    <w:p>
      <w:pPr>
        <w:ind w:right="240" w:firstLine="546"/>
        <w:spacing w:after="0" w:line="293" w:lineRule="auto"/>
        <w:rPr>
          <w:sz w:val="20"/>
          <w:szCs w:val="20"/>
          <w:color w:val="auto"/>
        </w:rPr>
      </w:pPr>
      <w:r>
        <w:rPr>
          <w:rFonts w:ascii="Arial" w:cs="Arial" w:eastAsia="Arial" w:hAnsi="Arial"/>
          <w:sz w:val="16"/>
          <w:szCs w:val="16"/>
          <w:color w:val="auto"/>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64"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66" w:lineRule="exact"/>
        <w:rPr>
          <w:sz w:val="20"/>
          <w:szCs w:val="20"/>
          <w:color w:val="auto"/>
        </w:rPr>
      </w:pPr>
    </w:p>
    <w:p>
      <w:pPr>
        <w:ind w:right="20" w:firstLine="546"/>
        <w:spacing w:after="0" w:line="286" w:lineRule="auto"/>
        <w:rPr>
          <w:sz w:val="20"/>
          <w:szCs w:val="20"/>
          <w:color w:val="auto"/>
        </w:rPr>
      </w:pPr>
      <w:r>
        <w:rPr>
          <w:rFonts w:ascii="Arial" w:cs="Arial" w:eastAsia="Arial" w:hAnsi="Arial"/>
          <w:sz w:val="16"/>
          <w:szCs w:val="16"/>
          <w:color w:val="auto"/>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right="20" w:firstLine="546"/>
        <w:spacing w:after="0" w:line="273" w:lineRule="auto"/>
        <w:rPr>
          <w:sz w:val="20"/>
          <w:szCs w:val="20"/>
          <w:color w:val="auto"/>
        </w:rPr>
      </w:pPr>
      <w:r>
        <w:rPr>
          <w:rFonts w:ascii="Arial" w:cs="Arial" w:eastAsia="Arial" w:hAnsi="Arial"/>
          <w:sz w:val="17"/>
          <w:szCs w:val="17"/>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70" w:lineRule="exact"/>
        <w:rPr>
          <w:sz w:val="20"/>
          <w:szCs w:val="20"/>
          <w:color w:val="auto"/>
        </w:rPr>
      </w:pPr>
    </w:p>
    <w:p>
      <w:pPr>
        <w:ind w:left="960" w:right="240" w:hanging="41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62" w:lineRule="exact"/>
        <w:rPr>
          <w:rFonts w:ascii="Arial" w:cs="Arial" w:eastAsia="Arial" w:hAnsi="Arial"/>
          <w:sz w:val="18"/>
          <w:szCs w:val="18"/>
          <w:color w:val="auto"/>
        </w:rPr>
      </w:pPr>
    </w:p>
    <w:p>
      <w:pPr>
        <w:ind w:left="960" w:right="300" w:hanging="412"/>
        <w:spacing w:after="0" w:line="308"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38" w:lineRule="exact"/>
        <w:rPr>
          <w:rFonts w:ascii="Arial" w:cs="Arial" w:eastAsia="Arial" w:hAnsi="Arial"/>
          <w:sz w:val="17"/>
          <w:szCs w:val="17"/>
          <w:color w:val="auto"/>
        </w:rPr>
      </w:pPr>
    </w:p>
    <w:p>
      <w:pPr>
        <w:ind w:left="960" w:right="260" w:hanging="412"/>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right="100" w:firstLine="546"/>
        <w:spacing w:after="0" w:line="255" w:lineRule="auto"/>
        <w:rPr>
          <w:sz w:val="20"/>
          <w:szCs w:val="20"/>
          <w:color w:val="auto"/>
        </w:rPr>
      </w:pPr>
      <w:r>
        <w:rPr>
          <w:rFonts w:ascii="Arial" w:cs="Arial" w:eastAsia="Arial" w:hAnsi="Arial"/>
          <w:sz w:val="18"/>
          <w:szCs w:val="18"/>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92"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85"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87" w:lineRule="exact"/>
        <w:rPr>
          <w:sz w:val="20"/>
          <w:szCs w:val="20"/>
          <w:color w:val="auto"/>
        </w:rPr>
      </w:pPr>
    </w:p>
    <w:p>
      <w:pPr>
        <w:ind w:right="100" w:firstLine="546"/>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66"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Regulatory Data Protection in the EU</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17" w:lineRule="exact"/>
        <w:rPr>
          <w:sz w:val="20"/>
          <w:szCs w:val="20"/>
          <w:color w:val="auto"/>
        </w:rPr>
      </w:pPr>
    </w:p>
    <w:p>
      <w:pPr>
        <w:ind w:right="80" w:firstLine="546"/>
        <w:spacing w:after="0" w:line="290"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Paediatric Studies and Exclusivity</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 and Exclusivity</w:t>
      </w:r>
    </w:p>
    <w:p>
      <w:pPr>
        <w:spacing w:after="0" w:line="117" w:lineRule="exact"/>
        <w:rPr>
          <w:sz w:val="20"/>
          <w:szCs w:val="20"/>
          <w:color w:val="auto"/>
        </w:rPr>
      </w:pPr>
    </w:p>
    <w:p>
      <w:pPr>
        <w:ind w:right="80" w:firstLine="546"/>
        <w:spacing w:after="0" w:line="272"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ind w:firstLine="546"/>
        <w:spacing w:after="0" w:line="253" w:lineRule="auto"/>
        <w:rPr>
          <w:sz w:val="20"/>
          <w:szCs w:val="20"/>
          <w:color w:val="auto"/>
        </w:rPr>
      </w:pPr>
      <w:r>
        <w:rPr>
          <w:rFonts w:ascii="Arial" w:cs="Arial" w:eastAsia="Arial" w:hAnsi="Arial"/>
          <w:sz w:val="18"/>
          <w:szCs w:val="18"/>
          <w:color w:val="auto"/>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Requirements After a Marketing Authorization has been Obtained</w:t>
      </w:r>
    </w:p>
    <w:p>
      <w:pPr>
        <w:spacing w:after="0" w:line="11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62" w:lineRule="exact"/>
        <w:rPr>
          <w:sz w:val="20"/>
          <w:szCs w:val="20"/>
          <w:color w:val="auto"/>
        </w:rPr>
      </w:pPr>
    </w:p>
    <w:p>
      <w:pPr>
        <w:ind w:left="960" w:right="180" w:hanging="412"/>
        <w:spacing w:after="0" w:line="277"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the EU’s stringent pharmacovigilance or safety reporting rules must be ensured. These rules can impose post-authorization studies and additional monitoring obligations.</w:t>
      </w:r>
    </w:p>
    <w:p>
      <w:pPr>
        <w:spacing w:after="0" w:line="62" w:lineRule="exact"/>
        <w:rPr>
          <w:rFonts w:ascii="Arial" w:cs="Arial" w:eastAsia="Arial" w:hAnsi="Arial"/>
          <w:sz w:val="18"/>
          <w:szCs w:val="18"/>
          <w:color w:val="auto"/>
        </w:rPr>
      </w:pPr>
    </w:p>
    <w:p>
      <w:pPr>
        <w:ind w:left="960" w:right="100" w:hanging="412"/>
        <w:spacing w:after="0" w:line="296"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53" w:lineRule="exact"/>
        <w:rPr>
          <w:rFonts w:ascii="Arial" w:cs="Arial" w:eastAsia="Arial" w:hAnsi="Arial"/>
          <w:sz w:val="16"/>
          <w:szCs w:val="16"/>
          <w:color w:val="auto"/>
        </w:rPr>
      </w:pPr>
    </w:p>
    <w:p>
      <w:pPr>
        <w:ind w:left="960" w:hanging="412"/>
        <w:spacing w:after="0" w:line="311"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Data Protection Regulation</w:t>
      </w:r>
    </w:p>
    <w:p>
      <w:pPr>
        <w:spacing w:after="0" w:line="117" w:lineRule="exact"/>
        <w:rPr>
          <w:sz w:val="20"/>
          <w:szCs w:val="20"/>
          <w:color w:val="auto"/>
        </w:rPr>
      </w:pPr>
    </w:p>
    <w:p>
      <w:pPr>
        <w:ind w:right="40" w:firstLine="802"/>
        <w:spacing w:after="0" w:line="269" w:lineRule="auto"/>
        <w:rPr>
          <w:sz w:val="20"/>
          <w:szCs w:val="20"/>
          <w:color w:val="auto"/>
        </w:rPr>
      </w:pPr>
      <w:r>
        <w:rPr>
          <w:rFonts w:ascii="Arial" w:cs="Arial" w:eastAsia="Arial" w:hAnsi="Arial"/>
          <w:sz w:val="17"/>
          <w:szCs w:val="17"/>
          <w:color w:val="auto"/>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117" w:lineRule="exact"/>
        <w:rPr>
          <w:sz w:val="20"/>
          <w:szCs w:val="20"/>
          <w:color w:val="auto"/>
        </w:rPr>
      </w:pPr>
    </w:p>
    <w:p>
      <w:pPr>
        <w:ind w:right="160" w:firstLine="546"/>
        <w:spacing w:after="0" w:line="290" w:lineRule="auto"/>
        <w:rPr>
          <w:sz w:val="20"/>
          <w:szCs w:val="20"/>
          <w:color w:val="auto"/>
        </w:rPr>
      </w:pPr>
      <w:r>
        <w:rPr>
          <w:rFonts w:ascii="Arial" w:cs="Arial" w:eastAsia="Arial" w:hAnsi="Arial"/>
          <w:sz w:val="16"/>
          <w:szCs w:val="16"/>
          <w:color w:val="auto"/>
        </w:rPr>
        <w:t>On June 23, 2016, the electorate in the United Kingdom voted in favor of leaving the EU, commonly referred to as Brexit. Following protracted negotiations, the United Kingdom left the EU on January 31, 2020. On December 24, 2020, the United Kingdom and the European Union entered into a Trade and Cooperation Agreement, which sets out certain procedures for approval and recognition of medical products in each jurisdiction.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 as the United Kingdom legislation now has the potential to diverge from European legislation. It remains to be seen how Brexit will impact regulatory requirements for product candidates and products in the United Kingdom in the long-term. The MHRA has recently published detailed guidance for industry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ind w:right="120"/>
        <w:spacing w:after="0" w:line="277" w:lineRule="auto"/>
        <w:rPr>
          <w:sz w:val="20"/>
          <w:szCs w:val="20"/>
          <w:color w:val="auto"/>
        </w:rPr>
      </w:pPr>
      <w:r>
        <w:rPr>
          <w:rFonts w:ascii="Arial" w:cs="Arial" w:eastAsia="Arial" w:hAnsi="Arial"/>
          <w:sz w:val="18"/>
          <w:szCs w:val="18"/>
          <w:color w:val="auto"/>
        </w:rPr>
        <w:t>organizations to follow from January 1, 2021 now that the transition period is over, which will be updated as the United Kingdom’s regulatory position on medical products evolves over time.</w:t>
      </w:r>
    </w:p>
    <w:p>
      <w:pPr>
        <w:spacing w:after="0" w:line="170"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Furthermore, while the Data Protection Act of 2018 in the United Kingdom that “implements” and complements the EU’s GDPR, is now effective in the United Kingdom, it is still unclear whether transfer of data from the European Economic Area, or EEA, to the United Kingdom will remain lawful under GDPR. The Trade and Cooperation Agreement provides for a transitional period during which the United Kingdom will be treated like an EU Member State in relation to processing and transfers of personal data for four months from January 1, 2021. This may be extended by two further months. After such period, the United Kingdom will be a “third country” under the GDPR unless the European Commission adopts an adequacy decision in respect of transfers of personal data to the United Kingdom. The United Kingdom has already determined that it considers all of the EU and EEA member states to be adequate for the purposes of data protection, ensuring that data flows from the United Kingdom to the EU and EEA remain unaffected.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Decisions for Approved Products</w:t>
      </w:r>
    </w:p>
    <w:p>
      <w:pPr>
        <w:spacing w:after="0" w:line="117"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85"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and Employees</w:t>
      </w:r>
    </w:p>
    <w:p>
      <w:pPr>
        <w:spacing w:after="0" w:line="121" w:lineRule="exact"/>
        <w:rPr>
          <w:sz w:val="20"/>
          <w:szCs w:val="20"/>
          <w:color w:val="auto"/>
        </w:rPr>
      </w:pPr>
    </w:p>
    <w:p>
      <w:pPr>
        <w:ind w:right="480" w:firstLine="546"/>
        <w:spacing w:after="0" w:line="263" w:lineRule="auto"/>
        <w:rPr>
          <w:sz w:val="20"/>
          <w:szCs w:val="20"/>
          <w:color w:val="auto"/>
        </w:rPr>
      </w:pPr>
      <w:r>
        <w:rPr>
          <w:rFonts w:ascii="Arial" w:cs="Arial" w:eastAsia="Arial" w:hAnsi="Arial"/>
          <w:sz w:val="18"/>
          <w:szCs w:val="18"/>
          <w:color w:val="auto"/>
        </w:rPr>
        <w:t>As of February 25, 2021, we had 73 full-time employees, including a total of 26 employees with M.D. or Ph.D. degrees. Of these full-time employees, 50 employees are engaged in research and development. None of our employees are represented by labor unions or covered by collective bargaining agreements. We consider our relationship with our employees to be good.</w:t>
      </w:r>
    </w:p>
    <w:p>
      <w:pPr>
        <w:spacing w:after="0" w:line="76" w:lineRule="exact"/>
        <w:rPr>
          <w:sz w:val="20"/>
          <w:szCs w:val="20"/>
          <w:color w:val="auto"/>
        </w:rPr>
      </w:pPr>
    </w:p>
    <w:p>
      <w:pPr>
        <w:ind w:right="40" w:firstLine="802"/>
        <w:spacing w:after="0" w:line="279" w:lineRule="auto"/>
        <w:rPr>
          <w:sz w:val="20"/>
          <w:szCs w:val="20"/>
          <w:color w:val="auto"/>
        </w:rPr>
      </w:pPr>
      <w:r>
        <w:rPr>
          <w:rFonts w:ascii="Arial" w:cs="Arial" w:eastAsia="Arial" w:hAnsi="Arial"/>
          <w:sz w:val="17"/>
          <w:szCs w:val="17"/>
          <w:color w:val="auto"/>
        </w:rPr>
        <w:t>We believe that our future success is dependent on attracting, motivating and retaining talented employees. We value the health and wellness of our employees and their families. We aim to create an equitable, inclusive and empowering work environment in which our employees can grow and advance their careers, with the overall goal of developing, expanding and retaining our workforce to support our current pipeline and future business goals. Our success also depends on our ability to attract, engage and retain a diverse group of employees.</w:t>
      </w:r>
    </w:p>
    <w:p>
      <w:pPr>
        <w:spacing w:after="0" w:line="63" w:lineRule="exact"/>
        <w:rPr>
          <w:sz w:val="20"/>
          <w:szCs w:val="20"/>
          <w:color w:val="auto"/>
        </w:rPr>
      </w:pPr>
    </w:p>
    <w:p>
      <w:pPr>
        <w:ind w:right="220" w:firstLine="546"/>
        <w:spacing w:after="0" w:line="273"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additional employees. Our efforts to recruit and retain a diverse and passionate workforce include providing competitive compensation, including equity compensation, and benefits packages. The principal purposes of our equity incentive plans are to attract, retain and motivate our employees, consultants and directors through the granting of stock-based compensation awards. We offer a comprehensive benefits program that provides resources to help employees manage their health and well-being, finances, and life outside of work, including health insurance and dental care, vision insurance, disability insurance, paid sick leave, a 401(k) plan, and paid vacation time.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Our principal executive office is located at 26 Landsdowne Street, Cambridge, MA 02139, and our telephone number is 617-651-8851. Our internet website address is www.fulcrumtx.com. The information contained on, or that can be accessed through, our website is not a part of this Annual Report on Form 10-K.</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i w:val="1"/>
          <w:iCs w:val="1"/>
          <w:color w:val="auto"/>
        </w:rPr>
        <w:t>Our future operating results could differ materially from the results described in this Annual Report on Form 10-K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page i of this Annual Report on Form 10-K for a discussion of some of the forward-looking statements that are qualified by these risk factors. Factors that could cause or contribute to such differences include those factors discussed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Since inception, we have incurred significant operating losses. Our net loss was $70.8 million for the year ended December 31, 2020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$82.7 million for the year ended December 31, 2019. As of December 31, 2020, we had an accumulated deficit of $221.6 million. To date, we have funded our operations primarily from the sale of shares of our common stock in public offerings, a private placement, and in “at-the-market” offerings, through issuances of convertible preferred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4" w:lineRule="exact"/>
        <w:rPr>
          <w:sz w:val="20"/>
          <w:szCs w:val="20"/>
          <w:color w:val="auto"/>
        </w:rPr>
      </w:pPr>
    </w:p>
    <w:p>
      <w:pPr>
        <w:ind w:left="960" w:right="200" w:hanging="41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 for the treatment of facioscapulohumeral muscular dystrophy, or FSHD;</w:t>
      </w:r>
    </w:p>
    <w:p>
      <w:pPr>
        <w:spacing w:after="0" w:line="62" w:lineRule="exact"/>
        <w:rPr>
          <w:rFonts w:ascii="Arial" w:cs="Arial" w:eastAsia="Arial" w:hAnsi="Arial"/>
          <w:sz w:val="18"/>
          <w:szCs w:val="18"/>
          <w:color w:val="auto"/>
        </w:rPr>
      </w:pPr>
    </w:p>
    <w:p>
      <w:pPr>
        <w:ind w:left="960" w:right="460" w:hanging="41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our planned clinical trial of FTX-6058 in patients with SCD;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pursue the discovery of drug targets for other rare diseases and the subsequent development of any resulting product candidates;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60" w:right="220" w:hanging="412"/>
        <w:spacing w:after="0" w:line="308"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60" w:right="160" w:hanging="41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3" w:name="page64"/>
    <w:bookmarkEnd w:id="63"/>
    <w:p>
      <w:pPr>
        <w:ind w:right="140" w:firstLine="546"/>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960" w:right="300" w:hanging="412"/>
        <w:spacing w:after="0" w:line="277"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are required by the U.S. Food and Drug Administration, or the FDA, the European Medicines Agency, or the EMA, or other regulatory authorities to perform trials or studies in addition to, or different than, those expected;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or</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Phase 2b and Phase 2 open label clinical trials of losmapimod for the treatment of FSHD, continue our recently initiated Phase 1 clinical trial of FTX-6058 in healthy adult volunteers, prepare for our planned clinical trial of FTX-6058 in patients with SCD,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we will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jc w:val="both"/>
        <w:ind w:left="960" w:right="220" w:hanging="412"/>
        <w:spacing w:after="0" w:line="342"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progress, costs and results of our ongoing Phase 2b and Phase 2 open label clinical trials of losmapimod for the treatment of FSHD, our ongoing Phase 1 clinical trial of FTX-6058 in healthy adult volunteers and our planned clinical trial of FTX-6058 for the treatment of SCD;</w:t>
      </w:r>
    </w:p>
    <w:p>
      <w:pPr>
        <w:spacing w:after="0" w:line="15" w:lineRule="exact"/>
        <w:rPr>
          <w:rFonts w:ascii="Arial" w:cs="Arial" w:eastAsia="Arial" w:hAnsi="Arial"/>
          <w:sz w:val="16"/>
          <w:szCs w:val="16"/>
          <w:color w:val="auto"/>
        </w:rPr>
      </w:pPr>
    </w:p>
    <w:p>
      <w:pPr>
        <w:ind w:left="960" w:right="480" w:hanging="41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60" w:right="160" w:hanging="41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960" w:right="580" w:hanging="41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60" w:right="100" w:hanging="41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4" w:name="page65"/>
    <w:bookmarkEnd w:id="64"/>
    <w:p>
      <w:pPr>
        <w:ind w:left="960" w:right="760" w:hanging="41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52"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As of December 31, 2020, we had cash, cash equivalents, and marketable securities of approximately $112.9 million. We believe that our cash, cash equivalents, and marketable securities as of December 31, 2020, together with the net proceeds from the sale of our shares of common stock in a public offering on January 22, 2021 of $46.4 million, will enable us to fund our operating expenses and capital expenditure requirements into the fourth quarter of 2022.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6"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152"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We commenced activities in 2015 and are an early-stage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conducting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The ongoing COVID-19 pandemic has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165" w:lineRule="exact"/>
        <w:rPr>
          <w:sz w:val="20"/>
          <w:szCs w:val="20"/>
          <w:color w:val="auto"/>
        </w:rPr>
      </w:pPr>
    </w:p>
    <w:p>
      <w:pPr>
        <w:ind w:right="200" w:firstLine="546"/>
        <w:spacing w:after="0" w:line="296" w:lineRule="auto"/>
        <w:rPr>
          <w:sz w:val="20"/>
          <w:szCs w:val="20"/>
          <w:color w:val="auto"/>
        </w:rPr>
      </w:pPr>
      <w:r>
        <w:rPr>
          <w:rFonts w:ascii="Arial" w:cs="Arial" w:eastAsia="Arial" w:hAnsi="Arial"/>
          <w:sz w:val="16"/>
          <w:szCs w:val="16"/>
          <w:color w:val="auto"/>
        </w:rPr>
        <w:t>The ongoing COVID-19 pandemic has caused many governments to implement measures to slow the spread of the outbreak through quarantines, travel restrictions, heightened border scrutiny, and other measures.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6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and our contract manufacturing organizations, or CMOs, and contract research organizations, or CROs, may face disruptions that may affect our ability to initiate and complete preclinical studies or clinical trials, including disruptions in procuring items that are essential for our research and development activities, including, for example, raw materials and API used in the manufacturing of our product candidates, and laboratory supplies for our current and future preclinical studies and clinical trials, in each case, for which there may be shortages because of ongoing efforts to address the outbreak. We and our CMOs and CROs, may face disruptions related to our planned and ongoing clinical trials or future clinical trials arising from delays in IND-enabling studies, manufacturing disruptions, and the ability to obtain necessary institutional review board or other necessary site approvals, as well as enrollment and other delays at clinical trial sites. For example, in the wake of COVID-19, the clinical trial sites for our Phase 2b clinical trial temporarily postponed trial-related activities, impacting our clinical trial execution plans. We may also face difficulties recruiting or retaining patients for our planned and ongoing clinical trials if patients are affected by the virus or are fearful of visiting or traveling to clinical trial sites because of the outbreak. The response to the COVID-19 pandemic may redirect resources with respect to regulatory and intellectual property matters in a way that would adversely impact our ability to progress regulatory approvals and protect our intellectual property. In addition, we may face impediments to regulatory meetings and approvals due to measures intended to limit in-person interactions.</w:t>
      </w:r>
    </w:p>
    <w:p>
      <w:pPr>
        <w:spacing w:after="0" w:line="179"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Additionally, the impact of the COVID-19 outbreak in Massachusetts resulted in a temporary reduction in workforce presence at our Cambridge research facility. While we increased workforce presence at our facilities starting in the second quarter of 2020, not all employees have returned to our facility and we cannot be certain that we will not be required to close our facilities in the future as a result of the COVID-19 outbreak. A closure of our facility may substantially impact our discovery and translational activities and may delay the experimentation needed to identify novel drug targets, prosecute such targets, identify development candidates for such targets and identify biomarkers that inform the potential clinical development paths for such targets. Moreover, discovery and implementation of clinical biomarker assays for ongoing clinical trials may be delayed. Furthermore, any negative impact that the outbreak has on the ability of our CROs to deliver data sets and execute on experimentation could cause substantial delays for our discovery activities and materially impact our ability to fuel our pipeline with new product candidates.</w:t>
      </w:r>
    </w:p>
    <w:p>
      <w:pPr>
        <w:spacing w:after="0" w:line="178"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The pandemic has already caused significant disruptions in the financial markets, and may continue to cause such disruptions, which could impact our ability to raise additional funds through public offerings and may also impact the volatility of our stock price and trading in our stock. Moreover, it is possible the pandemic will significantly impact economies worldwide, which could result in adverse effects on our business and operations. We cannot be certain what the overall impact of the COVID-19 pandemic will be on our business and it has the potential to adversely affect our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Recent changes in tax law may adversely affect our business or financial condition. On December 22, 2017, the U.S. government enacted the Tax Cuts and Jobs Act, or the TCJA, which significantly reformed the U.S. Internal Revenue Code of 1986, as amended, or the Code. The TCJA, among other things, contained significant changes to corporate taxation, including a reduction of the corporate tax rate from a top marginal rate of 35% to a flat rate of 21%, the limitation of the tax deduction for net interest expense to 30% of adjusted taxable income (except for certain small businesses), the limitation of the deduction for net operating losses arising in taxable years beginning after December 31, 2017 to 80% of current year taxable income and elimination of net operating loss carrybacks for losses arising in taxable years ending after December 31, 2017 (though any such net operating losses may be carried forward indefinitely), the imposition of a one-time taxation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6" w:name="page67"/>
    <w:bookmarkEnd w:id="66"/>
    <w:p>
      <w:pPr>
        <w:ind w:right="260"/>
        <w:spacing w:after="0" w:line="263" w:lineRule="auto"/>
        <w:rPr>
          <w:sz w:val="20"/>
          <w:szCs w:val="20"/>
          <w:color w:val="auto"/>
        </w:rPr>
      </w:pPr>
      <w:r>
        <w:rPr>
          <w:rFonts w:ascii="Arial" w:cs="Arial" w:eastAsia="Arial" w:hAnsi="Arial"/>
          <w:sz w:val="18"/>
          <w:szCs w:val="18"/>
          <w:color w:val="auto"/>
        </w:rPr>
        <w:t>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w:t>
      </w:r>
    </w:p>
    <w:p>
      <w:pPr>
        <w:spacing w:after="0" w:line="184"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As part of Congress’ response to the COVID-19 pandemic, the Families First Coronavirus Response Act, or FFCR Act, was enacted on March 18, 2020, the CARES Act was enacted on March 27, 2020 and COVID-19 relief provisions were included in the Consolidated Appropriations Act, 2021, or CAA, which was enacted on December 27, 2020. All contain numerous tax provisions. In particular, the CARES Act retroactively and temporarily (for taxable years beginning before January 1, 2021) suspends application of the 80%-of-income limitation on the use of net operating losses, which was enacted as part of the TCJA. It also provides that net operating losses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66"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Regulatory guidance under the TCJA, the FFCR Act, the CARES Act and the CAA is and continues to be forthcoming, and such guidance could ultimately increase or lessen impact of these laws on our business and financial condition. It is also possible that Congress will enact additional legislation in connection with the COVID-19 pandemic, some of which could have an impact on our company. In addition, it is uncertain if and to what extent various states will conform to the TCJA, the FFCR Act, the CARES Act and the CAA.</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62"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As of December 31, 2020, we had federal and state net operating loss carryforwards of $170.7 million and $170.2 million, respectively, which begin to expire in 2035. Approximately $139.7 million of the federal net operating losses can be carried forward indefinitely. As of December 31, 2020, we also had federal orphan drug credits of $3.0 million, which begin to expire in 2040. As of December 31, 2020, we also had federal and state research and development tax credit carryforwards of $4.6 million and $2.8 million, respectively, which begin to expire in 2035 and 2030, respectively. These net operating loss and tax credit carryforwards could expire unused and be unavailable to offset future income tax liabilities.</w:t>
      </w:r>
    </w:p>
    <w:p>
      <w:pPr>
        <w:spacing w:after="0" w:line="176" w:lineRule="exact"/>
        <w:rPr>
          <w:sz w:val="20"/>
          <w:szCs w:val="20"/>
          <w:color w:val="auto"/>
        </w:rPr>
      </w:pPr>
    </w:p>
    <w:p>
      <w:pPr>
        <w:ind w:right="100" w:firstLine="546"/>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124"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177"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There is also a risk that due to regulatory changes, such as suspensions on the use of net operating losses, or other unforeseen reasons, our existing net operating losses could expire or otherwise become unavailable to offset future income tax liabilities. As described above in “Changes in tax laws or in their implementation or interpretation may adversely affect our business and financial condition,” the TCJA, as amended by the CARES Act, includes changes to U.S. federal tax rates and the rules governing net operating loss carryforwards that may significantly impact our ability to utilize our net operating losses to offset taxable income in the future. In addition, state net operating losses generated in one state cannot be used to offset income generated in another state. For these reasons we may be unable to use a material portion of our net operating losses and other tax attributes.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62" w:lineRule="exact"/>
        <w:rPr>
          <w:sz w:val="20"/>
          <w:szCs w:val="20"/>
          <w:color w:val="auto"/>
        </w:rPr>
      </w:pPr>
    </w:p>
    <w:p>
      <w:pPr>
        <w:ind w:right="160" w:firstLine="546"/>
        <w:spacing w:after="0" w:line="255" w:lineRule="auto"/>
        <w:rPr>
          <w:sz w:val="20"/>
          <w:szCs w:val="20"/>
          <w:color w:val="auto"/>
        </w:rPr>
      </w:pPr>
      <w:r>
        <w:rPr>
          <w:rFonts w:ascii="Arial" w:cs="Arial" w:eastAsia="Arial" w:hAnsi="Arial"/>
          <w:sz w:val="18"/>
          <w:szCs w:val="18"/>
          <w:color w:val="auto"/>
        </w:rPr>
        <w:t>We are early in our development efforts, and we have advanced only two product candidates into clinical trials, losmapimod for the treatment of FSHD, and FTX-6058 in healthy adult volunteers.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84" w:lineRule="exact"/>
        <w:rPr>
          <w:sz w:val="20"/>
          <w:szCs w:val="20"/>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allowance by the FDA or other regulatory agencies of the investigational new drug applications, or INDs, clinical trial applications, or CTAs, or other regulatory filings for losmapimod, FTX-6058 and future product candidates;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117"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collaborations with Acceleron and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8" w:name="page69"/>
    <w:bookmarkEnd w:id="68"/>
    <w:p>
      <w:pPr>
        <w:ind w:right="6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jc w:val="both"/>
        <w:ind w:right="240" w:firstLine="546"/>
        <w:spacing w:after="0" w:line="286" w:lineRule="auto"/>
        <w:rPr>
          <w:sz w:val="20"/>
          <w:szCs w:val="20"/>
          <w:color w:val="auto"/>
        </w:rPr>
      </w:pPr>
      <w:r>
        <w:rPr>
          <w:rFonts w:ascii="Arial" w:cs="Arial" w:eastAsia="Arial" w:hAnsi="Arial"/>
          <w:sz w:val="16"/>
          <w:szCs w:val="16"/>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1"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3"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8"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We have entered into a right of reference and license agreement, or the GSK Agreement, as amended,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ind w:right="120" w:firstLine="546"/>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960" w:right="12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60" w:right="70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60" w:right="28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960" w:right="300" w:hanging="412"/>
        <w:spacing w:after="0" w:line="342"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960" w:right="40" w:hanging="412"/>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960" w:right="40" w:hanging="412"/>
        <w:spacing w:after="0" w:line="308"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960" w:right="14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960" w:right="340" w:hanging="412"/>
        <w:spacing w:after="0" w:line="342"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960" w:right="16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44" w:lineRule="exact"/>
        <w:rPr>
          <w:rFonts w:ascii="Arial" w:cs="Arial" w:eastAsia="Arial" w:hAnsi="Arial"/>
          <w:sz w:val="18"/>
          <w:szCs w:val="18"/>
          <w:color w:val="auto"/>
        </w:rPr>
      </w:pPr>
    </w:p>
    <w:p>
      <w:pPr>
        <w:ind w:left="960" w:right="60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960" w:right="30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960" w:right="20" w:hanging="412"/>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or instability from an outbreak of pandemic or contagious disease, such as the COVID-19 pandemic,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960" w:right="380" w:hanging="41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170" w:lineRule="exact"/>
        <w:rPr>
          <w:sz w:val="20"/>
          <w:szCs w:val="20"/>
          <w:color w:val="auto"/>
        </w:rPr>
      </w:pPr>
    </w:p>
    <w:p>
      <w:pPr>
        <w:ind w:firstLine="546"/>
        <w:spacing w:after="0" w:line="308" w:lineRule="auto"/>
        <w:rPr>
          <w:sz w:val="20"/>
          <w:szCs w:val="20"/>
          <w:color w:val="auto"/>
        </w:rPr>
      </w:pPr>
      <w:r>
        <w:rPr>
          <w:rFonts w:ascii="Arial" w:cs="Arial" w:eastAsia="Arial" w:hAnsi="Arial"/>
          <w:sz w:val="17"/>
          <w:szCs w:val="17"/>
          <w:color w:val="auto"/>
        </w:rPr>
        <w:t>For example, in the wake of COVID-19, the clinical trial sites for our Phase 2b clinical trial temporarily postponed trial-related activities, impacting our clinical trial execution plans, and we cannot be certain that we will not face other postponements or similar difficulties in the future.</w:t>
      </w:r>
    </w:p>
    <w:p>
      <w:pPr>
        <w:spacing w:after="0" w:line="146" w:lineRule="exact"/>
        <w:rPr>
          <w:sz w:val="20"/>
          <w:szCs w:val="20"/>
          <w:color w:val="auto"/>
        </w:rPr>
      </w:pPr>
    </w:p>
    <w:p>
      <w:pPr>
        <w:jc w:val="both"/>
        <w:ind w:right="100" w:firstLine="546"/>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0" w:name="page71"/>
    <w:bookmarkEnd w:id="70"/>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52"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4"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300" w:firstLine="546"/>
        <w:spacing w:after="0" w:line="257" w:lineRule="auto"/>
        <w:rPr>
          <w:sz w:val="20"/>
          <w:szCs w:val="20"/>
          <w:color w:val="auto"/>
        </w:rPr>
      </w:pPr>
      <w:r>
        <w:rPr>
          <w:rFonts w:ascii="Arial" w:cs="Arial" w:eastAsia="Arial" w:hAnsi="Arial"/>
          <w:sz w:val="18"/>
          <w:szCs w:val="18"/>
          <w:color w:val="auto"/>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1" w:name="page72"/>
    <w:bookmarkEnd w:id="71"/>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252"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170"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76"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8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right="320" w:firstLine="546"/>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960" w:hanging="41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2" w:name="page73"/>
    <w:bookmarkEnd w:id="72"/>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52"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3"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are conducting Phase 2b and Phase 2 open label clinical trials of losmapimod in patients with FSHD in Europe and Canada and currently plan to conduct additional clinical trials for our product candidates at sites outside the United States, and the FDA may not accept data from trials conducted in such locations.</w:t>
      </w:r>
    </w:p>
    <w:p>
      <w:pPr>
        <w:spacing w:after="0" w:line="76" w:lineRule="exact"/>
        <w:rPr>
          <w:sz w:val="20"/>
          <w:szCs w:val="20"/>
          <w:color w:val="auto"/>
        </w:rPr>
      </w:pPr>
    </w:p>
    <w:p>
      <w:pPr>
        <w:ind w:right="40" w:firstLine="546"/>
        <w:spacing w:after="0" w:line="253" w:lineRule="auto"/>
        <w:rPr>
          <w:sz w:val="20"/>
          <w:szCs w:val="20"/>
          <w:color w:val="auto"/>
        </w:rPr>
      </w:pPr>
      <w:r>
        <w:rPr>
          <w:rFonts w:ascii="Arial" w:cs="Arial" w:eastAsia="Arial" w:hAnsi="Arial"/>
          <w:sz w:val="18"/>
          <w:szCs w:val="18"/>
          <w:color w:val="auto"/>
        </w:rPr>
        <w:t>We are currently conducting Phase 2b and Phase 2 open label clinical trials of losmapimod in patients with FSHD in Europe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6"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color w:val="auto"/>
        </w:rPr>
        <w:t>revenues and we may not become profitable. The degree of market acceptance of our product candidates, if approved for commercial sale, will depend on a number of factors, including:</w:t>
      </w:r>
    </w:p>
    <w:p>
      <w:pPr>
        <w:spacing w:after="0" w:line="62" w:lineRule="exact"/>
        <w:rPr>
          <w:sz w:val="20"/>
          <w:szCs w:val="20"/>
          <w:color w:val="auto"/>
        </w:rPr>
      </w:pPr>
    </w:p>
    <w:p>
      <w:pPr>
        <w:ind w:left="960" w:hanging="412"/>
        <w:spacing w:after="0"/>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44" w:lineRule="exact"/>
        <w:rPr>
          <w:rFonts w:ascii="Arial" w:cs="Arial" w:eastAsia="Arial" w:hAnsi="Arial"/>
          <w:sz w:val="18"/>
          <w:szCs w:val="18"/>
          <w:color w:val="auto"/>
        </w:rPr>
      </w:pPr>
    </w:p>
    <w:p>
      <w:pPr>
        <w:ind w:left="960" w:right="140" w:hanging="412"/>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52"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 with physicians and payors to better understand the commercial landscape and to assist in our commercial planning with respect to losmapimod for the treatment of FSHD.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9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ind w:right="80" w:firstLine="546"/>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60" w:right="60" w:hanging="41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44"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right="140" w:firstLine="546"/>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8"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For example, we are aware of several product candidates in clinical development that could be competitive with product candidates that we may successfully develop and commercialize. bluebird bio, Inc., Aruvant Sciences, Inc., EpiDestiny, Inc., or EpiDestiny (in collaboration with Novo Nordisk A/S), Imara, Inc., Agios Pharmaceuticals, Inc., Forma Therapeutics Holdings, Inc., Takeda Pharmaceutical Company Limited, Pfizer, Inc., CSL Behring, Intellia Therapeutics, Inc., Editas Medicine, Inc., Sangamo Therapeutics Inc., or Sangamo (in collaboration with Bioverativ Inc.) and CRISPR Therapeutics AG (in collaboration with Vertex Pharmaceuticals, Inc.) are developing therapeutic approaches for patients with sickle cell disease, or SCD. Acceleron (in collaboration with Celgene Corp.), Bellicum Pharmaceuticals, Inc., Kiadis Pharma, Imara Inc., Agios Pharmaceuticals, Inc., Forma Therapeutics Holdings, Inc., Ionis Pharmaceuticals, Inc., Orchard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ind w:right="160"/>
        <w:spacing w:after="0" w:line="277" w:lineRule="auto"/>
        <w:rPr>
          <w:sz w:val="20"/>
          <w:szCs w:val="20"/>
          <w:color w:val="auto"/>
        </w:rPr>
      </w:pPr>
      <w:r>
        <w:rPr>
          <w:rFonts w:ascii="Arial" w:cs="Arial" w:eastAsia="Arial" w:hAnsi="Arial"/>
          <w:sz w:val="18"/>
          <w:szCs w:val="18"/>
          <w:color w:val="auto"/>
        </w:rPr>
        <w:t>Therapeutics plc, Sangamo (in collaboration with Bioverativ, Inc.) and CRISPR Therapeutics AG (in collaboration with Vertex Pharmaceuticals, Inc.) are developing therapeutic approaches for patients with ß-thalassemia.</w:t>
      </w:r>
    </w:p>
    <w:p>
      <w:pPr>
        <w:spacing w:after="0" w:line="170" w:lineRule="exact"/>
        <w:rPr>
          <w:sz w:val="20"/>
          <w:szCs w:val="20"/>
          <w:color w:val="auto"/>
        </w:rPr>
      </w:pPr>
    </w:p>
    <w:p>
      <w:pPr>
        <w:jc w:val="both"/>
        <w:ind w:right="20" w:firstLine="54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78" w:lineRule="exact"/>
        <w:rPr>
          <w:sz w:val="20"/>
          <w:szCs w:val="20"/>
          <w:color w:val="auto"/>
        </w:rPr>
      </w:pPr>
    </w:p>
    <w:p>
      <w:pPr>
        <w:ind w:right="440" w:firstLine="546"/>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84"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23"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that we are evaluating are very small, we may never achieve profitability despite obtaining such significant market share.</w:t>
      </w:r>
    </w:p>
    <w:p>
      <w:pPr>
        <w:spacing w:after="0" w:line="179"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76" w:lineRule="exact"/>
        <w:rPr>
          <w:sz w:val="20"/>
          <w:szCs w:val="20"/>
          <w:color w:val="auto"/>
        </w:rPr>
      </w:pPr>
    </w:p>
    <w:p>
      <w:pPr>
        <w:ind w:right="140" w:firstLine="546"/>
        <w:spacing w:after="0" w:line="290" w:lineRule="auto"/>
        <w:rPr>
          <w:sz w:val="20"/>
          <w:szCs w:val="20"/>
          <w:color w:val="auto"/>
        </w:rPr>
      </w:pPr>
      <w:r>
        <w:rPr>
          <w:rFonts w:ascii="Arial" w:cs="Arial" w:eastAsia="Arial" w:hAnsi="Arial"/>
          <w:sz w:val="16"/>
          <w:szCs w:val="16"/>
          <w:color w:val="auto"/>
        </w:rPr>
        <w:t>We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as well as public health issues (for example, an outbreak of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6" w:name="page77"/>
    <w:bookmarkEnd w:id="76"/>
    <w:p>
      <w:pPr>
        <w:ind w:right="60"/>
        <w:spacing w:after="0" w:line="259" w:lineRule="auto"/>
        <w:rPr>
          <w:sz w:val="20"/>
          <w:szCs w:val="20"/>
          <w:color w:val="auto"/>
        </w:rPr>
      </w:pPr>
      <w:r>
        <w:rPr>
          <w:rFonts w:ascii="Arial" w:cs="Arial" w:eastAsia="Arial" w:hAnsi="Arial"/>
          <w:sz w:val="18"/>
          <w:szCs w:val="18"/>
          <w:color w:val="auto"/>
        </w:rPr>
        <w:t>contagious disease such as COVID-19), or such facilities could face manufacturing issues, such as contamination or regulatory concerns following a regulatory inspection of such facility. In such instances, we may need to locate an appropriate replacement third-party facility and establish a contractual 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87"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71"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79"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right="100"/>
        <w:spacing w:after="0" w:line="259" w:lineRule="auto"/>
        <w:rPr>
          <w:sz w:val="20"/>
          <w:szCs w:val="20"/>
          <w:color w:val="auto"/>
        </w:rPr>
      </w:pPr>
      <w:r>
        <w:rPr>
          <w:rFonts w:ascii="Arial" w:cs="Arial" w:eastAsia="Arial" w:hAnsi="Arial"/>
          <w:sz w:val="18"/>
          <w:szCs w:val="18"/>
          <w:color w:val="auto"/>
        </w:rPr>
        <w:t>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7"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44" w:lineRule="exact"/>
        <w:rPr>
          <w:rFonts w:ascii="Arial" w:cs="Arial" w:eastAsia="Arial" w:hAnsi="Arial"/>
          <w:sz w:val="18"/>
          <w:szCs w:val="18"/>
          <w:color w:val="auto"/>
        </w:rPr>
      </w:pPr>
    </w:p>
    <w:p>
      <w:pPr>
        <w:ind w:left="960" w:right="80" w:hanging="412"/>
        <w:spacing w:after="0" w:line="277" w:lineRule="auto"/>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8" w:name="page79"/>
    <w:bookmarkEnd w:id="78"/>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52" w:lineRule="exact"/>
        <w:rPr>
          <w:sz w:val="20"/>
          <w:szCs w:val="20"/>
          <w:color w:val="auto"/>
        </w:rPr>
      </w:pPr>
    </w:p>
    <w:p>
      <w:pPr>
        <w:ind w:right="120" w:firstLine="546"/>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We currently rely on third-party clinical research organizations to conduct our ongoing Phase 2b and Phase 2 open label clinical trials of losmapimod and our ongoing Phase 1 clinical trial of FTX-6058. We plan to rely on third-party clinical research organizations or third-party research collaboratives to conduct any future clinical trials, including our planned clinical trial of FTX-6058 in patients with SCD. We do not plan to independently conduct clinical trials 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95"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95" w:lineRule="exact"/>
        <w:rPr>
          <w:sz w:val="20"/>
          <w:szCs w:val="20"/>
          <w:color w:val="auto"/>
        </w:rPr>
      </w:pPr>
    </w:p>
    <w:p>
      <w:pPr>
        <w:ind w:right="80" w:firstLine="546"/>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7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contract with, and plan to continue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9"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have also engaged CMOs to</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79" w:name="page80"/>
    <w:bookmarkEnd w:id="79"/>
    <w:p>
      <w:pPr>
        <w:ind w:right="580"/>
        <w:spacing w:after="0" w:line="308" w:lineRule="auto"/>
        <w:rPr>
          <w:sz w:val="20"/>
          <w:szCs w:val="20"/>
          <w:color w:val="auto"/>
        </w:rPr>
      </w:pPr>
      <w:r>
        <w:rPr>
          <w:rFonts w:ascii="Arial" w:cs="Arial" w:eastAsia="Arial" w:hAnsi="Arial"/>
          <w:sz w:val="17"/>
          <w:szCs w:val="17"/>
          <w:color w:val="auto"/>
        </w:rPr>
        <w:t>prepare our own API and to manufacture losmapimod tablets. While we believe that we have all the necessary information from GSK to enable any required technology transfer to a CMO, there can be no assurances that we will be able to effect such transfer in a timely manner.</w:t>
      </w:r>
    </w:p>
    <w:p>
      <w:pPr>
        <w:spacing w:after="0" w:line="38" w:lineRule="exact"/>
        <w:rPr>
          <w:sz w:val="20"/>
          <w:szCs w:val="20"/>
          <w:color w:val="auto"/>
        </w:rPr>
      </w:pPr>
    </w:p>
    <w:p>
      <w:pPr>
        <w:ind w:right="120" w:firstLine="546"/>
        <w:spacing w:after="0" w:line="342" w:lineRule="auto"/>
        <w:rPr>
          <w:sz w:val="20"/>
          <w:szCs w:val="20"/>
          <w:color w:val="auto"/>
        </w:rPr>
      </w:pPr>
      <w:r>
        <w:rPr>
          <w:rFonts w:ascii="Arial" w:cs="Arial" w:eastAsia="Arial" w:hAnsi="Arial"/>
          <w:sz w:val="16"/>
          <w:szCs w:val="16"/>
          <w:color w:val="auto"/>
        </w:rPr>
        <w:t>In addition, although we believe we have obtained sufficient quantities of FTX-6058 from a CMO for the completion of our ongoing Phase 1 clinical trial, we cannot be sure we have correctly estimated our drug product requirements, which could delay, prevent or impair our development efforts.</w:t>
      </w:r>
    </w:p>
    <w:p>
      <w:pPr>
        <w:spacing w:after="0" w:line="124" w:lineRule="exact"/>
        <w:rPr>
          <w:sz w:val="20"/>
          <w:szCs w:val="20"/>
          <w:color w:val="auto"/>
        </w:rPr>
      </w:pPr>
    </w:p>
    <w:p>
      <w:pPr>
        <w:ind w:firstLine="546"/>
        <w:spacing w:after="0" w:line="265" w:lineRule="auto"/>
        <w:rPr>
          <w:sz w:val="20"/>
          <w:szCs w:val="20"/>
          <w:color w:val="auto"/>
        </w:rPr>
      </w:pPr>
      <w:r>
        <w:rPr>
          <w:rFonts w:ascii="Arial" w:cs="Arial" w:eastAsia="Arial" w:hAnsi="Arial"/>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80" w:lineRule="exact"/>
        <w:rPr>
          <w:sz w:val="20"/>
          <w:szCs w:val="20"/>
          <w:color w:val="auto"/>
        </w:rPr>
      </w:pPr>
    </w:p>
    <w:p>
      <w:pPr>
        <w:ind w:right="440" w:firstLine="546"/>
        <w:spacing w:after="0" w:line="277" w:lineRule="auto"/>
        <w:rPr>
          <w:sz w:val="20"/>
          <w:szCs w:val="20"/>
          <w:color w:val="auto"/>
        </w:rPr>
      </w:pPr>
      <w:r>
        <w:rPr>
          <w:rFonts w:ascii="Arial" w:cs="Arial" w:eastAsia="Arial" w:hAnsi="Arial"/>
          <w:sz w:val="18"/>
          <w:szCs w:val="18"/>
          <w:color w:val="auto"/>
        </w:rPr>
        <w:t>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62" w:lineRule="exact"/>
        <w:rPr>
          <w:sz w:val="20"/>
          <w:szCs w:val="20"/>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8"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right="120" w:firstLine="546"/>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57" w:lineRule="exact"/>
        <w:rPr>
          <w:sz w:val="20"/>
          <w:szCs w:val="20"/>
          <w:color w:val="auto"/>
        </w:rPr>
      </w:pPr>
    </w:p>
    <w:p>
      <w:pPr>
        <w:ind w:right="400" w:firstLine="546"/>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5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76" w:lineRule="exact"/>
        <w:rPr>
          <w:sz w:val="20"/>
          <w:szCs w:val="20"/>
          <w:color w:val="auto"/>
        </w:rPr>
      </w:pPr>
    </w:p>
    <w:p>
      <w:pPr>
        <w:ind w:right="120" w:firstLine="546"/>
        <w:spacing w:after="0" w:line="272"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In July 2020, we entered into a collaboration and license agreement with MyoKardia to identify and validate potential biological targets for the potential treatment of certain genetically defined cardiomyopathies.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right="220"/>
        <w:spacing w:after="0" w:line="286" w:lineRule="auto"/>
        <w:rPr>
          <w:sz w:val="20"/>
          <w:szCs w:val="20"/>
          <w:color w:val="auto"/>
        </w:rPr>
      </w:pPr>
      <w:r>
        <w:rPr>
          <w:rFonts w:ascii="Arial" w:cs="Arial" w:eastAsia="Arial" w:hAnsi="Arial"/>
          <w:sz w:val="17"/>
          <w:szCs w:val="17"/>
          <w:color w:val="auto"/>
        </w:rPr>
        <w:t>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5"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Collaborations that we enter into, including our collaborations with Acceleron and MyoKardia, may not be successful, and any success will depend heavily on the efforts and activities of such collaborators. Collaborations pose a number of risks, including the following:</w:t>
      </w:r>
    </w:p>
    <w:p>
      <w:pPr>
        <w:spacing w:after="0" w:line="62" w:lineRule="exact"/>
        <w:rPr>
          <w:sz w:val="20"/>
          <w:szCs w:val="20"/>
          <w:color w:val="auto"/>
        </w:rPr>
      </w:pPr>
    </w:p>
    <w:p>
      <w:pPr>
        <w:ind w:left="960" w:right="86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44" w:lineRule="exact"/>
        <w:rPr>
          <w:rFonts w:ascii="Arial" w:cs="Arial" w:eastAsia="Arial" w:hAnsi="Arial"/>
          <w:sz w:val="18"/>
          <w:szCs w:val="18"/>
          <w:color w:val="auto"/>
        </w:rPr>
      </w:pPr>
    </w:p>
    <w:p>
      <w:pPr>
        <w:ind w:left="960" w:right="220" w:hanging="41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960" w:right="80" w:hanging="412"/>
        <w:spacing w:after="0" w:line="286"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57" w:lineRule="exact"/>
        <w:rPr>
          <w:rFonts w:ascii="Arial" w:cs="Arial" w:eastAsia="Arial" w:hAnsi="Arial"/>
          <w:sz w:val="17"/>
          <w:szCs w:val="17"/>
          <w:color w:val="auto"/>
        </w:rPr>
      </w:pPr>
    </w:p>
    <w:p>
      <w:pPr>
        <w:ind w:left="960" w:right="540" w:hanging="412"/>
        <w:spacing w:after="0" w:line="308"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60" w:right="100" w:hanging="41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960" w:right="500" w:hanging="41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60" w:right="140" w:hanging="412"/>
        <w:spacing w:after="0" w:line="342"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 w:lineRule="exact"/>
        <w:rPr>
          <w:rFonts w:ascii="Arial" w:cs="Arial" w:eastAsia="Arial" w:hAnsi="Arial"/>
          <w:sz w:val="16"/>
          <w:szCs w:val="16"/>
          <w:color w:val="auto"/>
        </w:rPr>
      </w:pPr>
    </w:p>
    <w:p>
      <w:pPr>
        <w:ind w:left="960" w:right="12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60" w:hanging="412"/>
        <w:spacing w:after="0" w:line="259"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60" w:right="60" w:hanging="41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44" w:lineRule="exact"/>
        <w:rPr>
          <w:rFonts w:ascii="Arial" w:cs="Arial" w:eastAsia="Arial" w:hAnsi="Arial"/>
          <w:sz w:val="18"/>
          <w:szCs w:val="18"/>
          <w:color w:val="auto"/>
        </w:rPr>
      </w:pPr>
    </w:p>
    <w:p>
      <w:pPr>
        <w:ind w:left="960" w:right="480" w:hanging="41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ind w:left="960" w:right="20" w:hanging="412"/>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192"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one of our collaborators terminates its agreement with us, we may find it more difficult to attract new collaborators and our perception in the business and financial communities could be adversely affected.</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For some of our product candidates, we may decide to collaborate with pharmaceutical or biotechnology companies for the development and potential commercialization of those product candidates. For example, in December 2019, we entered into a collaboration and license agreement with Acceleron to identify biological targets to modulate specific pathways associated with a targeted indication within the pulmonary disease space, and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80" w:lineRule="exact"/>
        <w:rPr>
          <w:sz w:val="20"/>
          <w:szCs w:val="20"/>
          <w:color w:val="auto"/>
        </w:rPr>
      </w:pPr>
    </w:p>
    <w:p>
      <w:pPr>
        <w:ind w:right="100" w:firstLine="546"/>
        <w:spacing w:after="0" w:line="268" w:lineRule="auto"/>
        <w:rPr>
          <w:sz w:val="20"/>
          <w:szCs w:val="20"/>
          <w:color w:val="auto"/>
        </w:rPr>
      </w:pPr>
      <w:r>
        <w:rPr>
          <w:rFonts w:ascii="Arial" w:cs="Arial" w:eastAsia="Arial" w:hAnsi="Arial"/>
          <w:sz w:val="17"/>
          <w:szCs w:val="17"/>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We are also restricted under our collaboration with Acceleron from, directly or indirectly, researching, developing, manufacturing, commercializing, using or otherwise exploiting any compound or product for the treatment, prophylaxis, or diagnosis of a targeted indication within the pulmonary disease space, other than for Acceleron, while we are performing the research activities pursuant to the research plan and for a specified period thereafter. Additionally, we are restricted under our collaboration with Acceleron from researching, developing, manufacturing, commercializing, using, or otherwise exploiting any compound or product for the treatment, prophylaxis, or diagnosis of a targeted indication within the pulmonary disease space that is directed against certain specified biological targets identified by us in the performance of the research activities while we are performing the research activities pursuant to the research plan and for a specified period thereafter.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color w:val="auto"/>
        </w:rPr>
        <w:t>collaboration, in each case , while we are performing the research activities pursuant to the research plan and for a specified period thereafter.</w:t>
      </w:r>
    </w:p>
    <w:p>
      <w:pPr>
        <w:spacing w:after="0" w:line="237" w:lineRule="exact"/>
        <w:rPr>
          <w:sz w:val="20"/>
          <w:szCs w:val="20"/>
          <w:color w:val="auto"/>
        </w:rPr>
      </w:pPr>
    </w:p>
    <w:p>
      <w:pPr>
        <w:ind w:right="280" w:firstLine="546"/>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24" w:lineRule="exact"/>
        <w:rPr>
          <w:sz w:val="20"/>
          <w:szCs w:val="20"/>
          <w:color w:val="auto"/>
        </w:rPr>
      </w:pPr>
    </w:p>
    <w:p>
      <w:pPr>
        <w:ind w:right="80" w:firstLine="546"/>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1"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2" w:lineRule="exact"/>
        <w:rPr>
          <w:sz w:val="20"/>
          <w:szCs w:val="20"/>
          <w:color w:val="auto"/>
        </w:rPr>
      </w:pPr>
    </w:p>
    <w:p>
      <w:pPr>
        <w:ind w:right="20" w:firstLine="546"/>
        <w:spacing w:after="0" w:line="285" w:lineRule="auto"/>
        <w:rPr>
          <w:sz w:val="20"/>
          <w:szCs w:val="20"/>
          <w:color w:val="auto"/>
        </w:rPr>
      </w:pPr>
      <w:r>
        <w:rPr>
          <w:rFonts w:ascii="Arial" w:cs="Arial" w:eastAsia="Arial" w:hAnsi="Arial"/>
          <w:sz w:val="16"/>
          <w:szCs w:val="16"/>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right="80" w:firstLine="546"/>
        <w:spacing w:after="0" w:line="269" w:lineRule="auto"/>
        <w:rPr>
          <w:sz w:val="20"/>
          <w:szCs w:val="20"/>
          <w:color w:val="auto"/>
        </w:rPr>
      </w:pPr>
      <w:r>
        <w:rPr>
          <w:rFonts w:ascii="Arial" w:cs="Arial" w:eastAsia="Arial" w:hAnsi="Arial"/>
          <w:sz w:val="17"/>
          <w:szCs w:val="17"/>
          <w:color w:val="auto"/>
        </w:rPr>
        <w:t>Currently, our patent portfolio related to FTX-6058 is in early stages and comprises two U.S. non-provisional applications and two PCT applications. We have no issued patents related to FTX-6058 or our SCD or ß-thalassemia programs. In order to continue to pursue protection based on the PCT applications, we will need to nationalize these applications into corresponding foreign applications prior to the expiration deadline of the PCT applications.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We own one patent covering the use of losmapimod for the treatment of patients with FSHD and we own one patent covering the use of other clinical-stage p38 inhibitors for the treatment of patients with FSHD. In addition, our owned patents and patent applications pertaining to losmapimod are not to the composition but, rather, are directed to certain methods of treating FSHD. We cannot be certain that our pending patent applications related to the losmapimod program will be granted. Even if such patent applications issue as patents, they will not prevent third parties from commercializing losmapimod for other indications.</w:t>
      </w:r>
    </w:p>
    <w:p>
      <w:pPr>
        <w:spacing w:after="0" w:line="185" w:lineRule="exact"/>
        <w:rPr>
          <w:sz w:val="20"/>
          <w:szCs w:val="20"/>
          <w:color w:val="auto"/>
        </w:rPr>
      </w:pPr>
    </w:p>
    <w:p>
      <w:pPr>
        <w:ind w:right="80" w:firstLine="546"/>
        <w:spacing w:after="0" w:line="287" w:lineRule="auto"/>
        <w:rPr>
          <w:sz w:val="20"/>
          <w:szCs w:val="20"/>
          <w:color w:val="auto"/>
        </w:rPr>
      </w:pPr>
      <w:r>
        <w:rPr>
          <w:rFonts w:ascii="Arial" w:cs="Arial" w:eastAsia="Arial" w:hAnsi="Arial"/>
          <w:sz w:val="16"/>
          <w:szCs w:val="16"/>
          <w:color w:val="auto"/>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pending U.S. non-provisional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72"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As soon as the patents covering the composition of matter expire on February 10, 2023, or are no longer in-force, the GSK-licensed patents will no longer be a barrier to entry for any new uses not covered by our other patents and patent applications.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80" w:firstLine="546"/>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286"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7"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5" w:name="page86"/>
    <w:bookmarkEnd w:id="85"/>
    <w:p>
      <w:pPr>
        <w:ind w:firstLine="546"/>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firstLine="54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right="160" w:firstLine="546"/>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62"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72"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ind w:right="140"/>
        <w:spacing w:after="0" w:line="277" w:lineRule="auto"/>
        <w:rPr>
          <w:sz w:val="20"/>
          <w:szCs w:val="20"/>
          <w:color w:val="auto"/>
        </w:rPr>
      </w:pPr>
      <w:r>
        <w:rPr>
          <w:rFonts w:ascii="Arial" w:cs="Arial" w:eastAsia="Arial" w:hAnsi="Arial"/>
          <w:sz w:val="18"/>
          <w:szCs w:val="18"/>
          <w:color w:val="auto"/>
        </w:rPr>
        <w:t>allow such third parties to develop and commercialize competing technologies and products and have a material adverse impact on our business, financial condition, results of operations and prospects.</w:t>
      </w:r>
    </w:p>
    <w:p>
      <w:pPr>
        <w:spacing w:after="0" w:line="170"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right="120" w:firstLine="546"/>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66" w:lineRule="exact"/>
        <w:rPr>
          <w:sz w:val="20"/>
          <w:szCs w:val="20"/>
          <w:color w:val="auto"/>
        </w:rPr>
      </w:pPr>
    </w:p>
    <w:p>
      <w:pPr>
        <w:ind w:right="60" w:firstLine="546"/>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ind w:right="100" w:firstLine="546"/>
        <w:spacing w:after="0" w:line="296"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61"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8" w:name="page89"/>
    <w:bookmarkEnd w:id="88"/>
    <w:p>
      <w:pPr>
        <w:ind w:right="48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40" w:firstLine="546"/>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6" w:lineRule="exact"/>
        <w:rPr>
          <w:sz w:val="20"/>
          <w:szCs w:val="20"/>
          <w:color w:val="auto"/>
        </w:rPr>
      </w:pPr>
    </w:p>
    <w:p>
      <w:pPr>
        <w:ind w:right="36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67" w:lineRule="exact"/>
        <w:rPr>
          <w:rFonts w:ascii="Arial" w:cs="Arial" w:eastAsia="Arial" w:hAnsi="Arial"/>
          <w:sz w:val="16"/>
          <w:szCs w:val="16"/>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4" w:lineRule="exact"/>
        <w:rPr>
          <w:rFonts w:ascii="Arial" w:cs="Arial" w:eastAsia="Arial" w:hAnsi="Arial"/>
          <w:sz w:val="18"/>
          <w:szCs w:val="18"/>
          <w:color w:val="auto"/>
        </w:rPr>
      </w:pPr>
    </w:p>
    <w:p>
      <w:pPr>
        <w:ind w:left="960" w:right="180" w:hanging="41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52" w:lineRule="exact"/>
        <w:rPr>
          <w:sz w:val="20"/>
          <w:szCs w:val="20"/>
          <w:color w:val="auto"/>
        </w:rPr>
      </w:pPr>
    </w:p>
    <w:p>
      <w:pPr>
        <w:ind w:right="360" w:firstLine="546"/>
        <w:spacing w:after="0" w:line="263"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89" w:name="page90"/>
    <w:bookmarkEnd w:id="89"/>
    <w:p>
      <w:pPr>
        <w:ind w:right="60"/>
        <w:spacing w:after="0" w:line="257" w:lineRule="auto"/>
        <w:rPr>
          <w:sz w:val="20"/>
          <w:szCs w:val="20"/>
          <w:color w:val="auto"/>
        </w:rPr>
      </w:pPr>
      <w:r>
        <w:rPr>
          <w:rFonts w:ascii="Arial" w:cs="Arial" w:eastAsia="Arial" w:hAnsi="Arial"/>
          <w:sz w:val="18"/>
          <w:szCs w:val="18"/>
          <w:color w:val="auto"/>
        </w:rPr>
        <w:t>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8" w:lineRule="exact"/>
        <w:rPr>
          <w:sz w:val="20"/>
          <w:szCs w:val="20"/>
          <w:color w:val="auto"/>
        </w:rPr>
      </w:pPr>
    </w:p>
    <w:p>
      <w:pPr>
        <w:ind w:right="120" w:firstLine="546"/>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46"/>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41"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46"/>
        <w:spacing w:after="0" w:line="268" w:lineRule="auto"/>
        <w:rPr>
          <w:sz w:val="20"/>
          <w:szCs w:val="20"/>
          <w:color w:val="auto"/>
        </w:rPr>
      </w:pPr>
      <w:r>
        <w:rPr>
          <w:rFonts w:ascii="Arial" w:cs="Arial" w:eastAsia="Arial" w:hAnsi="Arial"/>
          <w:sz w:val="17"/>
          <w:szCs w:val="17"/>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60" w:right="140" w:hanging="412"/>
        <w:spacing w:after="0" w:line="263"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others may be able to make product candidates that are similar to ours but that are not covered by the claims of the patents that we own;</w:t>
      </w:r>
    </w:p>
    <w:p>
      <w:pPr>
        <w:spacing w:after="0" w:line="140" w:lineRule="exact"/>
        <w:rPr>
          <w:rFonts w:ascii="Arial" w:cs="Arial" w:eastAsia="Arial" w:hAnsi="Arial"/>
          <w:sz w:val="16"/>
          <w:szCs w:val="16"/>
          <w:color w:val="auto"/>
        </w:rPr>
      </w:pPr>
    </w:p>
    <w:p>
      <w:pPr>
        <w:ind w:left="960" w:right="4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62" w:lineRule="exact"/>
        <w:rPr>
          <w:rFonts w:ascii="Arial" w:cs="Arial" w:eastAsia="Arial" w:hAnsi="Arial"/>
          <w:sz w:val="18"/>
          <w:szCs w:val="18"/>
          <w:color w:val="auto"/>
        </w:rPr>
      </w:pPr>
    </w:p>
    <w:p>
      <w:pPr>
        <w:ind w:left="960" w:right="6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55" w:lineRule="exact"/>
        <w:rPr>
          <w:rFonts w:ascii="Arial" w:cs="Arial" w:eastAsia="Arial" w:hAnsi="Arial"/>
          <w:sz w:val="17"/>
          <w:szCs w:val="17"/>
          <w:color w:val="auto"/>
        </w:rPr>
      </w:pPr>
    </w:p>
    <w:p>
      <w:pPr>
        <w:ind w:left="960" w:right="780" w:hanging="412"/>
        <w:spacing w:after="0" w:line="308" w:lineRule="auto"/>
        <w:tabs>
          <w:tab w:leader="none" w:pos="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60" w:right="34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960" w:right="54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44" w:lineRule="exact"/>
        <w:rPr>
          <w:rFonts w:ascii="Arial" w:cs="Arial" w:eastAsia="Arial" w:hAnsi="Arial"/>
          <w:sz w:val="18"/>
          <w:szCs w:val="18"/>
          <w:color w:val="auto"/>
        </w:rPr>
      </w:pPr>
    </w:p>
    <w:p>
      <w:pPr>
        <w:ind w:left="960" w:right="36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44" w:lineRule="exact"/>
        <w:rPr>
          <w:rFonts w:ascii="Arial" w:cs="Arial" w:eastAsia="Arial" w:hAnsi="Arial"/>
          <w:sz w:val="18"/>
          <w:szCs w:val="18"/>
          <w:color w:val="auto"/>
        </w:rPr>
      </w:pPr>
    </w:p>
    <w:p>
      <w:pPr>
        <w:ind w:left="960" w:right="360" w:hanging="41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 regulatory authorities outside of the United States. Marketing approval of drugs in the United States requires the submission of a new drug application, or NDA, to the FDA and we are not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92" w:name="page93"/>
    <w:bookmarkEnd w:id="92"/>
    <w:p>
      <w:pPr>
        <w:ind w:right="140"/>
        <w:spacing w:after="0" w:line="311" w:lineRule="auto"/>
        <w:rPr>
          <w:sz w:val="20"/>
          <w:szCs w:val="20"/>
          <w:color w:val="auto"/>
        </w:rPr>
      </w:pPr>
      <w:r>
        <w:rPr>
          <w:rFonts w:ascii="Arial" w:cs="Arial" w:eastAsia="Arial" w:hAnsi="Arial"/>
          <w:sz w:val="16"/>
          <w:szCs w:val="16"/>
          <w:color w:val="auto"/>
        </w:rPr>
        <w:t>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49"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5"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8"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 The Trump Administration also took several executive actions that could impose significant burdens on, or otherwise materially delay, the FDA’s ability to engage in routine regulatory and oversight activities.</w:t>
      </w:r>
    </w:p>
    <w:p>
      <w:pPr>
        <w:spacing w:after="0" w:line="178"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 The FDA and EMA have granted orphan drug designation to losmapimod for the treatment of FSHD. We may seek orphan drug designation for our other current and future product candidates.</w:t>
      </w:r>
    </w:p>
    <w:p>
      <w:pPr>
        <w:spacing w:after="0" w:line="157" w:lineRule="exact"/>
        <w:rPr>
          <w:sz w:val="20"/>
          <w:szCs w:val="20"/>
          <w:color w:val="auto"/>
        </w:rPr>
      </w:pPr>
    </w:p>
    <w:p>
      <w:pPr>
        <w:ind w:right="20" w:firstLine="546"/>
        <w:spacing w:after="0" w:line="293"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64"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93" w:name="page94"/>
    <w:bookmarkEnd w:id="93"/>
    <w:p>
      <w:pPr>
        <w:ind w:right="180"/>
        <w:spacing w:after="0" w:line="301" w:lineRule="auto"/>
        <w:rPr>
          <w:sz w:val="20"/>
          <w:szCs w:val="20"/>
          <w:color w:val="auto"/>
        </w:rPr>
      </w:pPr>
      <w:r>
        <w:rPr>
          <w:rFonts w:ascii="Arial" w:cs="Arial" w:eastAsia="Arial" w:hAnsi="Arial"/>
          <w:sz w:val="16"/>
          <w:szCs w:val="16"/>
          <w:color w:val="auto"/>
        </w:rPr>
        <w:t>the FDA concludes that the later drug is clinically superior in that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effected.</w:t>
      </w:r>
    </w:p>
    <w:p>
      <w:pPr>
        <w:spacing w:after="0" w:line="157"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More recently, under Omnibus legislation signed by President Trump on December 27, 2020, the requirement for a subsequent product to show clinical superiority in order to break the previous product’s orphan drug exclusivity applies to drugs and biologics that received orphan drug designation before enactment of FDARA in 2017, but have not yet been approved or licensed by FDA. The FDA may further reevaluate the Orphan Drug Act and its regulations and policies. We do not know if, when or how the FDA may change the orphan drug regulations and policies in the future, and it is uncertain how any changes might affect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w:t>
      </w:r>
    </w:p>
    <w:p>
      <w:pPr>
        <w:spacing w:after="0" w:line="117" w:lineRule="exact"/>
        <w:rPr>
          <w:sz w:val="20"/>
          <w:szCs w:val="20"/>
          <w:color w:val="auto"/>
        </w:rPr>
      </w:pPr>
    </w:p>
    <w:p>
      <w:pPr>
        <w:ind w:right="120" w:firstLine="546"/>
        <w:spacing w:after="0" w:line="273" w:lineRule="auto"/>
        <w:rPr>
          <w:sz w:val="20"/>
          <w:szCs w:val="20"/>
          <w:color w:val="auto"/>
        </w:rPr>
      </w:pPr>
      <w:r>
        <w:rPr>
          <w:rFonts w:ascii="Arial" w:cs="Arial" w:eastAsia="Arial" w:hAnsi="Arial"/>
          <w:sz w:val="17"/>
          <w:szCs w:val="17"/>
          <w:color w:val="auto"/>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62"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4" w:name="page95"/>
    <w:bookmarkEnd w:id="94"/>
    <w:p>
      <w:pPr>
        <w:ind w:right="60" w:firstLine="546"/>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Even if the FDA agrees that we may pursue an accelerated approval NDA submission, that does not guarantee that the NDA will receive an accelerated approval, or a complete response letter, nor does submission of an accelerated approval NDA ensure that the product candidate will receive a faster development or regulatory review process.</w:t>
      </w:r>
    </w:p>
    <w:p>
      <w:pPr>
        <w:spacing w:after="0" w:line="76" w:lineRule="exact"/>
        <w:rPr>
          <w:sz w:val="20"/>
          <w:szCs w:val="20"/>
          <w:color w:val="auto"/>
        </w:rPr>
      </w:pPr>
    </w:p>
    <w:p>
      <w:pPr>
        <w:ind w:right="60" w:firstLine="546"/>
        <w:spacing w:after="0" w:line="296" w:lineRule="auto"/>
        <w:rPr>
          <w:sz w:val="20"/>
          <w:szCs w:val="20"/>
          <w:color w:val="auto"/>
        </w:rPr>
      </w:pPr>
      <w:r>
        <w:rPr>
          <w:rFonts w:ascii="Arial" w:cs="Arial" w:eastAsia="Arial" w:hAnsi="Arial"/>
          <w:sz w:val="16"/>
          <w:szCs w:val="16"/>
          <w:color w:val="auto"/>
        </w:rPr>
        <w:t>We may seek approval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(i.e., an intermediate clinical endpoint). The FDA or other applicable regulatory agency makes the determination regarding whether a biomarker efficacy endpoint is reasonably likely to predict long-term clinical benefit.</w:t>
      </w:r>
    </w:p>
    <w:p>
      <w:pPr>
        <w:spacing w:after="0" w:line="161"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one or more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92"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95" w:lineRule="exact"/>
        <w:rPr>
          <w:sz w:val="20"/>
          <w:szCs w:val="20"/>
          <w:color w:val="auto"/>
        </w:rPr>
      </w:pPr>
    </w:p>
    <w:p>
      <w:pPr>
        <w:ind w:firstLine="546"/>
        <w:spacing w:after="0" w:line="287" w:lineRule="auto"/>
        <w:rPr>
          <w:sz w:val="20"/>
          <w:szCs w:val="20"/>
          <w:color w:val="auto"/>
        </w:rPr>
      </w:pPr>
      <w:r>
        <w:rPr>
          <w:rFonts w:ascii="Arial" w:cs="Arial" w:eastAsia="Arial" w:hAnsi="Arial"/>
          <w:sz w:val="16"/>
          <w:szCs w:val="16"/>
          <w:color w:val="auto"/>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68"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Additionally, we could face heightened risks with respect to seeking marketing approval in the United Kingdom as a result of the recent withdrawal of the United Kingdom from the European Union, commonly referred to as Brexit. Pursuant to the formal withdrawal arrangements agreed between the United Kingdom and the European Union, the United Kingdom withdrew from the European Union, effective December 31, 2020. On December 24, 2020, the United Kingdom and European Union entered into a Trade and Cooperation Agreement, which sets out certain procedures for approval and recognition of medical products in each jurisdiction. Since the regulatory framework for pharmaceutical products in the United Kingdom covering the quality, safety, and efficacy of pharmaceutical products, clinical trials, marketing authorization, commercial sales, and distribution of pharmaceutical products is derived from European Union directives and regulations, Brexit could materially impact the future regulatory regime that applies to products and the approval of product candidates in the United Kingdom. Any delay in obtaining, or an inability to obtain, any marketing approvals, as a result of Brexit or otherwise, could prevent us from commercializing any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any product candidates, which could significantly and materially harm our business.</w:t>
      </w:r>
    </w:p>
    <w:p>
      <w:pPr>
        <w:spacing w:after="0" w:line="28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6"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ind w:firstLine="546"/>
        <w:spacing w:after="0" w:line="271" w:lineRule="auto"/>
        <w:rPr>
          <w:sz w:val="20"/>
          <w:szCs w:val="20"/>
          <w:color w:val="auto"/>
        </w:rPr>
      </w:pPr>
      <w:r>
        <w:rPr>
          <w:rFonts w:ascii="Arial" w:cs="Arial" w:eastAsia="Arial" w:hAnsi="Arial"/>
          <w:sz w:val="17"/>
          <w:szCs w:val="17"/>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8"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252" w:lineRule="exact"/>
        <w:rPr>
          <w:sz w:val="20"/>
          <w:szCs w:val="20"/>
          <w:color w:val="auto"/>
        </w:rPr>
      </w:pPr>
    </w:p>
    <w:p>
      <w:pPr>
        <w:jc w:val="both"/>
        <w:ind w:right="500" w:firstLine="546"/>
        <w:spacing w:after="0" w:line="286" w:lineRule="auto"/>
        <w:rPr>
          <w:sz w:val="20"/>
          <w:szCs w:val="20"/>
          <w:color w:val="auto"/>
        </w:rPr>
      </w:pPr>
      <w:r>
        <w:rPr>
          <w:rFonts w:ascii="Arial" w:cs="Arial" w:eastAsia="Arial" w:hAnsi="Arial"/>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65" w:lineRule="exact"/>
        <w:rPr>
          <w:sz w:val="20"/>
          <w:szCs w:val="20"/>
          <w:color w:val="auto"/>
        </w:rPr>
      </w:pPr>
    </w:p>
    <w:p>
      <w:pPr>
        <w:ind w:right="120" w:firstLine="546"/>
        <w:spacing w:after="0" w:line="254"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7" w:name="page98"/>
    <w:bookmarkEnd w:id="97"/>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87" w:lineRule="exact"/>
        <w:rPr>
          <w:sz w:val="20"/>
          <w:szCs w:val="20"/>
          <w:color w:val="auto"/>
        </w:rPr>
      </w:pPr>
    </w:p>
    <w:p>
      <w:pPr>
        <w:ind w:left="960" w:right="40" w:hanging="412"/>
        <w:spacing w:after="0" w:line="259"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960" w:right="20" w:hanging="412"/>
        <w:spacing w:after="0" w:line="25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a minimum of $11,181 and a maximum of $22,363 per false claim;</w:t>
      </w:r>
    </w:p>
    <w:p>
      <w:pPr>
        <w:spacing w:after="0" w:line="79"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2" w:lineRule="exact"/>
        <w:rPr>
          <w:rFonts w:ascii="Arial" w:cs="Arial" w:eastAsia="Arial" w:hAnsi="Arial"/>
          <w:sz w:val="18"/>
          <w:szCs w:val="18"/>
          <w:color w:val="auto"/>
        </w:rPr>
      </w:pPr>
    </w:p>
    <w:p>
      <w:pPr>
        <w:ind w:left="960" w:right="80" w:hanging="412"/>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44"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to report payments and other transfers of value to physicians and teaching hospitals; and</w:t>
      </w:r>
    </w:p>
    <w:p>
      <w:pPr>
        <w:spacing w:after="0" w:line="62" w:lineRule="exact"/>
        <w:rPr>
          <w:rFonts w:ascii="Arial" w:cs="Arial" w:eastAsia="Arial" w:hAnsi="Arial"/>
          <w:sz w:val="18"/>
          <w:szCs w:val="18"/>
          <w:color w:val="auto"/>
        </w:rPr>
      </w:pPr>
    </w:p>
    <w:p>
      <w:pPr>
        <w:ind w:left="960" w:right="320" w:hanging="412"/>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84"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61"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6" w:lineRule="exact"/>
        <w:rPr>
          <w:sz w:val="20"/>
          <w:szCs w:val="20"/>
          <w:color w:val="auto"/>
        </w:rPr>
      </w:pPr>
    </w:p>
    <w:p>
      <w:pPr>
        <w:ind w:firstLine="546"/>
        <w:spacing w:after="0" w:line="285"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66" w:lineRule="exact"/>
        <w:rPr>
          <w:sz w:val="20"/>
          <w:szCs w:val="20"/>
          <w:color w:val="auto"/>
        </w:rPr>
      </w:pPr>
    </w:p>
    <w:p>
      <w:pPr>
        <w:ind w:right="100" w:firstLine="546"/>
        <w:spacing w:after="0" w:line="269"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the California Consumer Privacy Act, which went into effect on January 1, 2020, is creating similar risks and obligations as those created by the GDPR, though the California Consumer Privacy Act does exempt certain information collected as part of a clinical trial subject to the Federal Policy for the Protection of Human Subjects (the Common Rule). Many other states are considering similar legislation. A broad range of legislative measures also have been introduced at the federal level. Accordingly,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w:t>
      </w:r>
    </w:p>
    <w:p>
      <w:pPr>
        <w:spacing w:after="0" w:line="185"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76"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ind w:right="680"/>
        <w:spacing w:after="0" w:line="277" w:lineRule="auto"/>
        <w:rPr>
          <w:sz w:val="20"/>
          <w:szCs w:val="20"/>
          <w:color w:val="auto"/>
        </w:rPr>
      </w:pPr>
      <w:r>
        <w:rPr>
          <w:rFonts w:ascii="Arial" w:cs="Arial" w:eastAsia="Arial" w:hAnsi="Arial"/>
          <w:sz w:val="18"/>
          <w:szCs w:val="18"/>
          <w:color w:val="auto"/>
        </w:rPr>
        <w:t>may result in more rigorous coverage criteria and in additional downward pressure on the price that we receive for any FDA approved product. If reimbursement of our products is unavailable or limited in scope, our business could be materially harmed.</w:t>
      </w:r>
    </w:p>
    <w:p>
      <w:pPr>
        <w:spacing w:after="0" w:line="170"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In March 2010, President Obama signed into law the Patient Protection and Affordable Care Act, as amended by the Health Care and Education Reconciliation Act of 2010, or collectively the ACA.</w:t>
      </w:r>
    </w:p>
    <w:p>
      <w:pPr>
        <w:spacing w:after="0" w:line="170"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which will stay in effect through 2030 under the Coronavirus Aid, Relief, and Economic Security Act, or the CARES Act. The CARES Act suspended the 2% Medicare sequester from May 1, 2020 through December 31, 2020.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166"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92"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Since the enactment of the ACA, there have been, and continue to be, numerous legal challenges and Congressional actions to repeal and replace provisions of the law. For example, with enactment of the TCJA in 2017, Congress repealed the “individual mandate.” The repeal of this provision, which requires most Americans to carry a minimal level of health insurance, became effective in 2019. On November 10, 2020, the Supreme Court heard oral arguments as to whether the individual mandate portion of the ACA is an essential and inseverable feature of the ACA, and therefore because the mandate was repealed as part of the TCJA, the remaining provisions of the ACA are invalid as well. On February 10, 2021, the Biden Administration withdrew the federal government’s support for overturning the ACA. A ruling by the Supreme Court is expected sometime this year.</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100" w:name="page101"/>
    <w:bookmarkEnd w:id="100"/>
    <w:p>
      <w:pPr>
        <w:ind w:firstLine="546"/>
        <w:spacing w:after="0" w:line="269"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On January 28, 2021, however, President Biden issued a new Executive Order which directs federal agencies to reconsider rules and other policies that limit Americans’ access to health care, and consider actions that will protect and strengthen that access. Under this Executive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 This Executive Order also directs the U.S. Department of Health and Human Services to create a special enrollment period for the Health Insurance Marketplace in response to the COVID-19 pandemic. We cannot predict how federal agencies will respond to such Executive Orders.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Litigation and legislation over the ACA are likely to continue, with unpredictable and uncertain results.</w:t>
      </w:r>
    </w:p>
    <w:p>
      <w:pPr>
        <w:spacing w:after="0" w:line="225"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To date, there have been several recent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To those ends, President Trump issued several executive orders intended to lower the costs of prescription drug products. Certain of these orders are reflected in recently promulgated regulations, including an interim final rule implementing President Trump’s most favored nation model, but such final rule is currently subject to a nationwide preliminary injunction. It remains to be seen whether these orders and resulting regulations will remain in force during the Biden Administration. Further, on September 24, 2020, the Trump Administration finalized a rulemaking allowing states or certain other non-federal government entities to submit importation program proposals to the FDA for review and approval. Applicants are required to demonstrate that their importation plans pose no additional risk to public health and safety and will result in significant cost savings for consumers. The FDA has issued draft guidance that would allow manufacturers to import their own FDA-approved drugs that are authorized for sale in other countries (multi-market approved products).</w:t>
      </w:r>
    </w:p>
    <w:p>
      <w:pPr>
        <w:spacing w:after="0" w:line="182" w:lineRule="exact"/>
        <w:rPr>
          <w:sz w:val="20"/>
          <w:szCs w:val="20"/>
          <w:color w:val="auto"/>
        </w:rPr>
      </w:pPr>
    </w:p>
    <w:p>
      <w:pPr>
        <w:ind w:right="80" w:firstLine="546"/>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right="100" w:firstLine="546"/>
        <w:spacing w:after="0" w:line="273" w:lineRule="auto"/>
        <w:rPr>
          <w:sz w:val="20"/>
          <w:szCs w:val="20"/>
          <w:color w:val="auto"/>
        </w:rPr>
      </w:pPr>
      <w:r>
        <w:rPr>
          <w:rFonts w:ascii="Arial" w:cs="Arial" w:eastAsia="Arial" w:hAnsi="Arial"/>
          <w:sz w:val="17"/>
          <w:szCs w:val="17"/>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1" w:name="page102"/>
    <w:bookmarkEnd w:id="101"/>
    <w:p>
      <w:pPr>
        <w:ind w:right="380"/>
        <w:spacing w:after="0" w:line="263" w:lineRule="auto"/>
        <w:rPr>
          <w:sz w:val="20"/>
          <w:szCs w:val="20"/>
          <w:color w:val="auto"/>
        </w:rPr>
      </w:pPr>
      <w:r>
        <w:rPr>
          <w:rFonts w:ascii="Arial" w:cs="Arial" w:eastAsia="Arial" w:hAnsi="Arial"/>
          <w:sz w:val="18"/>
          <w:szCs w:val="18"/>
          <w:color w:val="auto"/>
        </w:rPr>
        <w:t>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84"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200" w:firstLine="546"/>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4"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8"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6"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92"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2" w:name="page103"/>
    <w:bookmarkEnd w:id="102"/>
    <w:p>
      <w:pPr>
        <w:jc w:val="both"/>
        <w:ind w:right="120"/>
        <w:spacing w:after="0" w:line="286" w:lineRule="auto"/>
        <w:rPr>
          <w:sz w:val="20"/>
          <w:szCs w:val="20"/>
          <w:color w:val="auto"/>
        </w:rPr>
      </w:pPr>
      <w:r>
        <w:rPr>
          <w:rFonts w:ascii="Arial" w:cs="Arial" w:eastAsia="Arial" w:hAnsi="Arial"/>
          <w:sz w:val="17"/>
          <w:szCs w:val="17"/>
          <w:color w:val="auto"/>
        </w:rPr>
        <w:t>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73"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72"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3" w:name="page104"/>
    <w:bookmarkEnd w:id="103"/>
    <w:p>
      <w:pPr>
        <w:ind w:right="280"/>
        <w:spacing w:after="0" w:line="263" w:lineRule="auto"/>
        <w:rPr>
          <w:sz w:val="20"/>
          <w:szCs w:val="20"/>
          <w:color w:val="auto"/>
        </w:rPr>
      </w:pPr>
      <w:r>
        <w:rPr>
          <w:rFonts w:ascii="Arial" w:cs="Arial" w:eastAsia="Arial" w:hAnsi="Arial"/>
          <w:sz w:val="18"/>
          <w:szCs w:val="18"/>
          <w:color w:val="auto"/>
        </w:rPr>
        <w:t>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4" w:lineRule="exact"/>
        <w:rPr>
          <w:sz w:val="20"/>
          <w:szCs w:val="20"/>
          <w:color w:val="auto"/>
        </w:rPr>
      </w:pPr>
    </w:p>
    <w:p>
      <w:pPr>
        <w:ind w:right="60" w:firstLine="546"/>
        <w:spacing w:after="0" w:line="287" w:lineRule="auto"/>
        <w:rPr>
          <w:sz w:val="20"/>
          <w:szCs w:val="20"/>
          <w:color w:val="auto"/>
        </w:rPr>
      </w:pPr>
      <w:r>
        <w:rPr>
          <w:rFonts w:ascii="Arial" w:cs="Arial" w:eastAsia="Arial" w:hAnsi="Arial"/>
          <w:sz w:val="16"/>
          <w:szCs w:val="16"/>
          <w:color w:val="auto"/>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As of February 25, 2021, our executive officers and directors and our stockholders who owned more than 5% of our outstanding common stock in the aggregate beneficially owned shares representing approximately 46.4%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960" w:hanging="41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delay or prevent a merger, consolidation, takeover or other business combination involving us that other stockholders may desire.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4" w:name="page105"/>
    <w:bookmarkEnd w:id="104"/>
    <w:p>
      <w:pPr>
        <w:jc w:val="both"/>
        <w:ind w:right="22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right="120" w:firstLine="546"/>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44" w:lineRule="exact"/>
        <w:rPr>
          <w:rFonts w:ascii="Arial" w:cs="Arial" w:eastAsia="Arial" w:hAnsi="Arial"/>
          <w:sz w:val="18"/>
          <w:szCs w:val="18"/>
          <w:color w:val="auto"/>
        </w:rPr>
      </w:pPr>
    </w:p>
    <w:p>
      <w:pPr>
        <w:ind w:left="960" w:hanging="412"/>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44" w:lineRule="exact"/>
        <w:rPr>
          <w:rFonts w:ascii="Arial" w:cs="Arial" w:eastAsia="Arial" w:hAnsi="Arial"/>
          <w:sz w:val="18"/>
          <w:szCs w:val="18"/>
          <w:color w:val="auto"/>
        </w:rPr>
      </w:pPr>
    </w:p>
    <w:p>
      <w:pPr>
        <w:ind w:left="960" w:right="180" w:hanging="412"/>
        <w:spacing w:after="0" w:line="263"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960" w:right="40" w:hanging="412"/>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11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8"/>
          <w:szCs w:val="18"/>
          <w:color w:val="auto"/>
        </w:rPr>
        <w:t>Our shares of common stock began trading on the Nasdaq Global Market on July 18, 2019.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their shares without depressing the market price for the shares, or at all.</w:t>
      </w:r>
    </w:p>
    <w:p>
      <w:pPr>
        <w:spacing w:after="0" w:line="29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6" w:lineRule="exact"/>
        <w:rPr>
          <w:sz w:val="20"/>
          <w:szCs w:val="20"/>
          <w:color w:val="auto"/>
        </w:rPr>
      </w:pPr>
    </w:p>
    <w:p>
      <w:pPr>
        <w:ind w:right="100" w:firstLine="546"/>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960" w:right="820" w:hanging="41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or developments in preclinical studies and clinical trials of our product candidates or those of our competitors or potential collaborators;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44" w:lineRule="exact"/>
        <w:rPr>
          <w:rFonts w:ascii="Arial" w:cs="Arial" w:eastAsia="Arial" w:hAnsi="Arial"/>
          <w:sz w:val="18"/>
          <w:szCs w:val="18"/>
          <w:color w:val="auto"/>
        </w:rPr>
      </w:pPr>
    </w:p>
    <w:p>
      <w:pPr>
        <w:ind w:left="960" w:right="240" w:hanging="412"/>
        <w:spacing w:after="0" w:line="308"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55" w:lineRule="exact"/>
        <w:rPr>
          <w:rFonts w:ascii="Arial" w:cs="Arial" w:eastAsia="Arial" w:hAnsi="Arial"/>
          <w:sz w:val="17"/>
          <w:szCs w:val="17"/>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common stock to drop significantly, even if our business is doing well.</w:t>
      </w:r>
    </w:p>
    <w:p>
      <w:pPr>
        <w:spacing w:after="0" w:line="62"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or IPO, continue to hold a substantial number of shares of our common stock. If such persons sell, or indicate an intention to sell, substantial amounts of our common stock in the public market, the trading price of our common stock could decline.</w:t>
      </w:r>
    </w:p>
    <w:p>
      <w:pPr>
        <w:spacing w:after="0" w:line="171" w:lineRule="exact"/>
        <w:rPr>
          <w:sz w:val="20"/>
          <w:szCs w:val="20"/>
          <w:color w:val="auto"/>
        </w:rPr>
      </w:pPr>
    </w:p>
    <w:p>
      <w:pPr>
        <w:ind w:right="580" w:firstLine="546"/>
        <w:spacing w:after="0" w:line="342" w:lineRule="auto"/>
        <w:rPr>
          <w:sz w:val="20"/>
          <w:szCs w:val="20"/>
          <w:color w:val="auto"/>
        </w:rPr>
      </w:pPr>
      <w:r>
        <w:rPr>
          <w:rFonts w:ascii="Arial" w:cs="Arial" w:eastAsia="Arial" w:hAnsi="Arial"/>
          <w:sz w:val="16"/>
          <w:szCs w:val="16"/>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ind w:firstLine="546"/>
        <w:spacing w:after="0" w:line="259" w:lineRule="auto"/>
        <w:rPr>
          <w:sz w:val="20"/>
          <w:szCs w:val="20"/>
          <w:color w:val="auto"/>
        </w:rPr>
      </w:pPr>
      <w:r>
        <w:rPr>
          <w:rFonts w:ascii="Arial" w:cs="Arial" w:eastAsia="Arial" w:hAnsi="Arial"/>
          <w:sz w:val="18"/>
          <w:szCs w:val="18"/>
          <w:color w:val="auto"/>
        </w:rPr>
        <w:t>In June 2020, we issued and sold 4,029,411 shares of common stock to investors in a private placement. We have filed a registration statement covering the resale of these shares by the purchasers in the private placement and have agreed to keep such registration statement effective until the date the shares covered by the registration statement have been sold or can be resold without restriction under Rule 144 of the Securities Act of 1933, as amended, or the Securities Act.</w:t>
      </w:r>
    </w:p>
    <w:p>
      <w:pPr>
        <w:spacing w:after="0" w:line="18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up to an aggregate of $250 million, at prices and terms to be determined at the time of sale.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we have filed registration statements registering all shares of common stock that we may issue under our equity compensation plans.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can be freely sold in the public market upon issuance, subject to volume limitations applicable to affiliates.</w:t>
      </w:r>
    </w:p>
    <w:p>
      <w:pPr>
        <w:spacing w:after="0" w:line="3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120" w:firstLine="546"/>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ind w:left="960" w:hanging="412"/>
        <w:spacing w:after="0"/>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55" w:lineRule="exact"/>
        <w:rPr>
          <w:rFonts w:ascii="Arial" w:cs="Arial" w:eastAsia="Arial" w:hAnsi="Arial"/>
          <w:sz w:val="17"/>
          <w:szCs w:val="17"/>
          <w:color w:val="auto"/>
        </w:rPr>
      </w:pPr>
    </w:p>
    <w:p>
      <w:pPr>
        <w:ind w:left="960" w:right="520" w:hanging="412"/>
        <w:spacing w:after="0" w:line="263"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960" w:hanging="412"/>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44" w:lineRule="exact"/>
        <w:rPr>
          <w:rFonts w:ascii="Arial" w:cs="Arial" w:eastAsia="Arial" w:hAnsi="Arial"/>
          <w:sz w:val="18"/>
          <w:szCs w:val="18"/>
          <w:color w:val="auto"/>
        </w:rPr>
      </w:pPr>
    </w:p>
    <w:p>
      <w:pPr>
        <w:ind w:left="960" w:right="120" w:hanging="412"/>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ind w:right="100" w:firstLine="546"/>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7" w:name="page108"/>
    <w:bookmarkEnd w:id="107"/>
    <w:p>
      <w:pPr>
        <w:ind w:right="20"/>
        <w:spacing w:after="0" w:line="277" w:lineRule="auto"/>
        <w:rPr>
          <w:sz w:val="20"/>
          <w:szCs w:val="20"/>
          <w:color w:val="auto"/>
        </w:rPr>
      </w:pPr>
      <w:r>
        <w:rPr>
          <w:rFonts w:ascii="Arial" w:cs="Arial" w:eastAsia="Arial" w:hAnsi="Arial"/>
          <w:sz w:val="18"/>
          <w:szCs w:val="18"/>
          <w:color w:val="auto"/>
        </w:rPr>
        <w:t>expensive for us to obtain director and officer liability insurance, which in turn could make it more difficult for us to attract and retain qualified members of our board of directors.</w:t>
      </w:r>
    </w:p>
    <w:p>
      <w:pPr>
        <w:spacing w:after="0" w:line="170" w:lineRule="exact"/>
        <w:rPr>
          <w:sz w:val="20"/>
          <w:szCs w:val="20"/>
          <w:color w:val="auto"/>
        </w:rPr>
      </w:pPr>
    </w:p>
    <w:p>
      <w:pPr>
        <w:ind w:firstLine="546"/>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46"/>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292"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right="220" w:firstLine="546"/>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Our principal facilities consist of office and laboratory space. We occupy approximately 28,731 square feet of office space in Cambridge, Massachusetts under a lease that currently expires in June 2028.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40"/>
          </w:cols>
          <w:pgMar w:left="320" w:top="337" w:right="11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92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220" w:firstLine="546"/>
        <w:spacing w:after="0" w:line="277" w:lineRule="auto"/>
        <w:rPr>
          <w:sz w:val="20"/>
          <w:szCs w:val="20"/>
          <w:color w:val="auto"/>
        </w:rPr>
      </w:pPr>
      <w:r>
        <w:rPr>
          <w:rFonts w:ascii="Arial" w:cs="Arial" w:eastAsia="Arial" w:hAnsi="Arial"/>
          <w:sz w:val="18"/>
          <w:szCs w:val="18"/>
          <w:color w:val="auto"/>
        </w:rPr>
        <w:t>Our common stock trades under the symbol “FULC” on the Nasdaq Global Market and has been publicly traded since July 18, 2019. Prior to this time, there was no public market for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121"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As of February 25, 2021, there were approximately 50 holders of record of shares of our common stock. This number does not include stockholders for whom shares are held in “nominee” or “street” name.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firstLine="546"/>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Other than as reported in a Current Report on Form 8-K, we did not sell any securities that were not registered under the Securities Act during the year ended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 and Affiliated Purchasers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Issuer Purchases of Equity Securities</w:t>
            </w: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7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(a) Total Number</w:t>
            </w:r>
          </w:p>
        </w:tc>
        <w:tc>
          <w:tcPr>
            <w:tcW w:w="17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(b) Average Price</w:t>
            </w:r>
          </w:p>
        </w:tc>
        <w:tc>
          <w:tcPr>
            <w:tcW w:w="1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 Total Number of Shares</w:t>
            </w:r>
          </w:p>
        </w:tc>
        <w:tc>
          <w:tcPr>
            <w:tcW w:w="140" w:type="dxa"/>
            <w:vAlign w:val="bottom"/>
          </w:tcPr>
          <w:p>
            <w:pPr>
              <w:spacing w:after="0"/>
              <w:rPr>
                <w:sz w:val="11"/>
                <w:szCs w:val="11"/>
                <w:color w:val="auto"/>
              </w:rPr>
            </w:pPr>
          </w:p>
        </w:tc>
        <w:tc>
          <w:tcPr>
            <w:tcW w:w="21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(d) Approximate Dollar Value of</w:t>
            </w: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Shares</w:t>
            </w:r>
          </w:p>
        </w:tc>
        <w:tc>
          <w:tcPr>
            <w:tcW w:w="1700" w:type="dxa"/>
            <w:vAlign w:val="bottom"/>
            <w:gridSpan w:val="2"/>
            <w:vMerge w:val="continue"/>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260" w:type="dxa"/>
            <w:vAlign w:val="bottom"/>
            <w:gridSpan w:val="2"/>
          </w:tcPr>
          <w:p>
            <w:pPr>
              <w:jc w:val="center"/>
              <w:ind w:left="68"/>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2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240" w:type="dxa"/>
            <w:vAlign w:val="bottom"/>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40" w:type="dxa"/>
            <w:vAlign w:val="bottom"/>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jc w:val="both"/>
        <w:ind w:right="320"/>
        <w:spacing w:after="0" w:line="260" w:lineRule="auto"/>
        <w:rPr>
          <w:sz w:val="20"/>
          <w:szCs w:val="20"/>
          <w:color w:val="auto"/>
        </w:rPr>
      </w:pPr>
      <w:r>
        <w:rPr>
          <w:rFonts w:ascii="Arial" w:cs="Arial" w:eastAsia="Arial" w:hAnsi="Arial"/>
          <w:sz w:val="18"/>
          <w:szCs w:val="18"/>
          <w:color w:val="auto"/>
        </w:rPr>
        <w:t>October 1, 2020 through October 31, 2020 November 1, 2020 through November 30, 2020</w:t>
      </w:r>
    </w:p>
    <w:p>
      <w:pPr>
        <w:spacing w:after="0" w:line="2"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December 1, 2020 through December 31, 2020 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jc w:val="right"/>
              <w:spacing w:after="0"/>
              <w:rPr>
                <w:sz w:val="20"/>
                <w:szCs w:val="20"/>
                <w:color w:val="auto"/>
              </w:rPr>
            </w:pPr>
            <w:r>
              <w:rPr>
                <w:rFonts w:ascii="Arial" w:cs="Arial" w:eastAsia="Arial" w:hAnsi="Arial"/>
                <w:sz w:val="18"/>
                <w:szCs w:val="18"/>
                <w:color w:val="auto"/>
              </w:rPr>
              <w:t>1,340</w:t>
            </w:r>
          </w:p>
        </w:tc>
        <w:tc>
          <w:tcPr>
            <w:tcW w:w="260" w:type="dxa"/>
            <w:vAlign w:val="bottom"/>
          </w:tcPr>
          <w:p>
            <w:pPr>
              <w:spacing w:after="0"/>
              <w:rPr>
                <w:sz w:val="20"/>
                <w:szCs w:val="20"/>
                <w:color w:val="auto"/>
              </w:rPr>
            </w:pP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20"/>
                <w:szCs w:val="20"/>
                <w:color w:val="auto"/>
              </w:rPr>
            </w:pP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69"/>
              <w:spacing w:after="0"/>
              <w:rPr>
                <w:sz w:val="20"/>
                <w:szCs w:val="20"/>
                <w:color w:val="auto"/>
              </w:rPr>
            </w:pPr>
            <w:r>
              <w:rPr>
                <w:rFonts w:ascii="Arial" w:cs="Arial" w:eastAsia="Arial" w:hAnsi="Arial"/>
                <w:sz w:val="15"/>
                <w:szCs w:val="15"/>
                <w:color w:val="auto"/>
                <w:w w:val="71"/>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r>
      <w:tr>
        <w:trPr>
          <w:trHeight w:val="337"/>
        </w:trPr>
        <w:tc>
          <w:tcPr>
            <w:tcW w:w="1440" w:type="dxa"/>
            <w:vAlign w:val="bottom"/>
          </w:tcPr>
          <w:p>
            <w:pPr>
              <w:jc w:val="right"/>
              <w:spacing w:after="0"/>
              <w:rPr>
                <w:sz w:val="20"/>
                <w:szCs w:val="20"/>
                <w:color w:val="auto"/>
              </w:rPr>
            </w:pPr>
            <w:r>
              <w:rPr>
                <w:rFonts w:ascii="Arial" w:cs="Arial" w:eastAsia="Arial" w:hAnsi="Arial"/>
                <w:sz w:val="18"/>
                <w:szCs w:val="18"/>
                <w:color w:val="auto"/>
              </w:rPr>
              <w:t>4,532</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24"/>
                <w:szCs w:val="24"/>
                <w:color w:val="auto"/>
              </w:rPr>
            </w:pP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r>
      <w:tr>
        <w:trPr>
          <w:trHeight w:val="338"/>
        </w:trPr>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r>
      <w:tr>
        <w:trPr>
          <w:trHeight w:val="223"/>
        </w:trPr>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5,872</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1900" w:type="dxa"/>
            <w:vAlign w:val="bottom"/>
            <w:tcBorders>
              <w:top w:val="single" w:sz="8" w:color="auto"/>
              <w:bottom w:val="single" w:sz="8" w:color="auto"/>
            </w:tcBorders>
          </w:tcPr>
          <w:p>
            <w:pPr>
              <w:ind w:left="17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86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-325120</wp:posOffset>
            </wp:positionV>
            <wp:extent cx="713232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400" w:space="180"/>
            <w:col w:w="7660"/>
          </w:cols>
          <w:pgMar w:left="320" w:top="337" w:right="339" w:bottom="1440" w:gutter="0" w:footer="0" w:header="0"/>
          <w:type w:val="continuous"/>
        </w:sectPr>
      </w:pPr>
    </w:p>
    <w:p>
      <w:pPr>
        <w:spacing w:after="0" w:line="12" w:lineRule="exact"/>
        <w:rPr>
          <w:sz w:val="20"/>
          <w:szCs w:val="20"/>
          <w:color w:val="auto"/>
        </w:rPr>
      </w:pPr>
    </w:p>
    <w:p>
      <w:pPr>
        <w:ind w:left="540" w:right="120" w:hanging="532"/>
        <w:spacing w:after="0" w:line="26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shares of unvested common stock that were repurchased by us from a former employee upon termination of employment in accordance with the terms of the applicable employee's restricted stock agreement. We repurchased the shares from the former employee at the original purchase price.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121" w:lineRule="exact"/>
        <w:rPr>
          <w:sz w:val="20"/>
          <w:szCs w:val="20"/>
          <w:color w:val="auto"/>
        </w:rPr>
      </w:pPr>
    </w:p>
    <w:p>
      <w:pPr>
        <w:jc w:val="both"/>
        <w:ind w:right="100" w:firstLine="546"/>
        <w:spacing w:after="0" w:line="287" w:lineRule="auto"/>
        <w:rPr>
          <w:sz w:val="20"/>
          <w:szCs w:val="20"/>
          <w:color w:val="auto"/>
        </w:rPr>
      </w:pPr>
      <w:r>
        <w:rPr>
          <w:rFonts w:ascii="Arial" w:cs="Arial" w:eastAsia="Arial" w:hAnsi="Arial"/>
          <w:sz w:val="16"/>
          <w:szCs w:val="16"/>
          <w:color w:val="auto"/>
        </w:rPr>
        <w:t>On July 22, 2019, we completed our IPO, pursuant to which we issued and sold 4,500,000 shares of our common stock at a public offering price of $16.00 per share. The offer and sale of all of the shares of our common stock in our IPO were registered under the Securities Act pursuant to a registration statement on Form S-1 (File No. 333-232260), which was declared effective by the Securities and Exchange Commission, or SEC, on July 17, 2019.</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Morgan Stanley &amp; Co. LLC, BofA Securities, Inc. and SVB Leerink LLC acted as joint book-running managers for our IPO. The IPO commenced on July 17, 2019 and terminated without the sale of the 675,000 shares registered for potential issuance upon exercise of the underwriters’ option to purchase additional shares in the IPO.</w:t>
      </w:r>
    </w:p>
    <w:p>
      <w:pPr>
        <w:spacing w:after="0" w:line="190" w:lineRule="exact"/>
        <w:rPr>
          <w:sz w:val="20"/>
          <w:szCs w:val="20"/>
          <w:color w:val="auto"/>
        </w:rPr>
      </w:pPr>
    </w:p>
    <w:p>
      <w:pPr>
        <w:ind w:right="140" w:firstLine="546"/>
        <w:spacing w:after="0" w:line="311" w:lineRule="auto"/>
        <w:rPr>
          <w:sz w:val="20"/>
          <w:szCs w:val="20"/>
          <w:color w:val="auto"/>
        </w:rPr>
      </w:pPr>
      <w:r>
        <w:rPr>
          <w:rFonts w:ascii="Arial" w:cs="Arial" w:eastAsia="Arial" w:hAnsi="Arial"/>
          <w:sz w:val="16"/>
          <w:szCs w:val="16"/>
          <w:color w:val="auto"/>
        </w:rPr>
        <w:t>We received aggregate gross proceeds from our IPO of $72.0 million, or aggregate net proceeds of $63.9 million after deducting underwriting discounts and commissions and offering expenses payable by us. None of the underwriting discounts and commissions or offering expenses were incurred or paid to directors or officers of ours or their associates or to persons owning 10% or more of our common stock or to any of our affiliates.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10" w:name="page111"/>
    <w:bookmarkEnd w:id="110"/>
    <w:p>
      <w:pPr>
        <w:ind w:firstLine="546"/>
        <w:spacing w:after="0" w:line="275" w:lineRule="auto"/>
        <w:rPr>
          <w:sz w:val="20"/>
          <w:szCs w:val="20"/>
          <w:color w:val="auto"/>
        </w:rPr>
      </w:pPr>
      <w:r>
        <w:rPr>
          <w:rFonts w:ascii="Arial" w:cs="Arial" w:eastAsia="Arial" w:hAnsi="Arial"/>
          <w:sz w:val="17"/>
          <w:szCs w:val="17"/>
          <w:color w:val="auto"/>
        </w:rPr>
        <w:t>We have used approximately $49.4 million of the net proceeds from the IPO as of December 31, 2020 to fund the clinical development of losmapimod, to advance our pipeline of clinical-stage and preclinical product candidates, and to research and develop additional preclinical product candidates using our platform, and for working capital and other general corporate purposes. We have invested the unused net proceeds from the offering in cash equivalents and marketable securities. There has been no material change in our planned use of the net proceeds from our IPO as described in our final prospectus filed pursuant to Rule 424(b)(4) under the Securities Act with the SEC on July 18,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under this item.</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at the end of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We are a clinical-stage biopharmaceutical company focused on improving the lives of patients with genetically defined rare diseases in areas of high unmet medical need.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ß-thalassemia. In August 2019, we initiated a Phase 2b clinical trial, known as ReDUX4, and a Phase 2 open label clinical trial of losmapimod, our product candidate for FSHD, to evaluate the efficacy and safety of losmapimod in addressing the underlying cause of FSHD. We expect to present full data from ReDUX4 in the second quarter of 2021.</w:t>
      </w:r>
    </w:p>
    <w:p>
      <w:pPr>
        <w:spacing w:after="0" w:line="70" w:lineRule="exact"/>
        <w:rPr>
          <w:sz w:val="20"/>
          <w:szCs w:val="20"/>
          <w:color w:val="auto"/>
        </w:rPr>
      </w:pPr>
    </w:p>
    <w:p>
      <w:pPr>
        <w:ind w:right="20" w:firstLine="546"/>
        <w:spacing w:after="0" w:line="311" w:lineRule="auto"/>
        <w:rPr>
          <w:sz w:val="20"/>
          <w:szCs w:val="20"/>
          <w:color w:val="auto"/>
        </w:rPr>
      </w:pPr>
      <w:r>
        <w:rPr>
          <w:rFonts w:ascii="Arial" w:cs="Arial" w:eastAsia="Arial" w:hAnsi="Arial"/>
          <w:sz w:val="16"/>
          <w:szCs w:val="16"/>
          <w:color w:val="auto"/>
        </w:rPr>
        <w:t>In the fourth quarter of 2020, we initiated a Phase 1 clinical trial of FTX-6058, our product candidate for certain hemoglobinopathies and a novel upregulator of fetal hemoglobin, to evaluate the safety, tolerability and pharmacokinetics of FTX-6058 in healthy volunteers. We expect to present data from the Phase 1 clinical trial in mid-2021. In addition, we anticipate initiating a clinical trial of FTX-6058 in patients with SCD in the second half of 2021.</w:t>
      </w:r>
    </w:p>
    <w:p>
      <w:pPr>
        <w:spacing w:after="0" w:line="41" w:lineRule="exact"/>
        <w:rPr>
          <w:sz w:val="20"/>
          <w:szCs w:val="20"/>
          <w:color w:val="auto"/>
        </w:rPr>
      </w:pPr>
    </w:p>
    <w:p>
      <w:pPr>
        <w:jc w:val="both"/>
        <w:ind w:right="160" w:firstLine="546"/>
        <w:spacing w:after="0" w:line="263" w:lineRule="auto"/>
        <w:rPr>
          <w:sz w:val="20"/>
          <w:szCs w:val="20"/>
          <w:color w:val="auto"/>
        </w:rPr>
      </w:pPr>
      <w:r>
        <w:rPr>
          <w:rFonts w:ascii="Arial" w:cs="Arial" w:eastAsia="Arial" w:hAnsi="Arial"/>
          <w:sz w:val="18"/>
          <w:szCs w:val="18"/>
          <w:color w:val="auto"/>
        </w:rPr>
        <w:t>In June 2020, we received notification from the FDA that we may proceed with initiating a Phase 3, randomized, double-blind, placebo-controlled trial of losmapimod in higher risk hospitalized adults with COVID-19, or the LOSVID trial. We began enrolling patients in the fourth quarter of 2020. In March 2021, we announced the discontinuation of the LOSVID trial following a strategic review.</w:t>
      </w:r>
    </w:p>
    <w:p>
      <w:pPr>
        <w:spacing w:after="0" w:line="184" w:lineRule="exact"/>
        <w:rPr>
          <w:sz w:val="20"/>
          <w:szCs w:val="20"/>
          <w:color w:val="auto"/>
        </w:rPr>
      </w:pPr>
    </w:p>
    <w:p>
      <w:pPr>
        <w:ind w:right="240" w:firstLine="546"/>
        <w:spacing w:after="0" w:line="255"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common stock in public offerings, a private placement, and in “at-the-market” offerings, or the ATM Offering, through issuances of convertible preferred stock, and from upfront payments received under our collaboration and license agreements.</w:t>
      </w:r>
    </w:p>
    <w:p>
      <w:pPr>
        <w:spacing w:after="0" w:line="192"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In January 2021, we issued and sold 4,600,000 shares of our common stock in a public offering at a public offering price of $11.00 per share, which includes 600,000 shares issued upon the exercise in full by the underwriters of their option to purchase additional shares at the public offering price, less underwriting discounts and commissions. The net proceeds of the offering were $46.4 million, after deducting underwriting discounts and commissions and estimated offering expenses.</w:t>
      </w:r>
    </w:p>
    <w:p>
      <w:pPr>
        <w:spacing w:after="0" w:line="187"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$70.8 million and $82.7 million for the years ended December 31, 2020 and 2019, respectively. As of December 31, 2020, we had an accumulated deficit of $221.6 million. We expect our expenses and operating losses will increase substantially over the next several years in connection with our ongoing activities, as we:</w:t>
      </w:r>
    </w:p>
    <w:p>
      <w:pPr>
        <w:spacing w:after="0" w:line="68" w:lineRule="exact"/>
        <w:rPr>
          <w:sz w:val="20"/>
          <w:szCs w:val="20"/>
          <w:color w:val="auto"/>
        </w:rPr>
      </w:pPr>
    </w:p>
    <w:p>
      <w:pPr>
        <w:ind w:left="960" w:right="220" w:hanging="41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our clinical development of losmapimod, including our ongoing Phase 2b and Phase 2 open label clinical trials for the treatment of FSHD;</w:t>
      </w:r>
    </w:p>
    <w:p>
      <w:pPr>
        <w:spacing w:after="0" w:line="62" w:lineRule="exact"/>
        <w:rPr>
          <w:rFonts w:ascii="Arial" w:cs="Arial" w:eastAsia="Arial" w:hAnsi="Arial"/>
          <w:sz w:val="18"/>
          <w:szCs w:val="18"/>
          <w:color w:val="auto"/>
        </w:rPr>
      </w:pPr>
    </w:p>
    <w:p>
      <w:pPr>
        <w:ind w:left="960" w:right="480" w:hanging="41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our clinical development of FTX-6058, including our ongoing Phase 1 clinical trial in healthy adult volunteers and our planned clinical trial of FTX-6058 in patients with SCD;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ind w:left="960" w:hanging="412"/>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pursue the discovery of drug targets for other rare diseases and the subsequent development of any resulting product candidates;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60" w:right="220" w:hanging="412"/>
        <w:spacing w:after="0" w:line="308" w:lineRule="auto"/>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117" w:lineRule="exact"/>
        <w:rPr>
          <w:rFonts w:ascii="Arial" w:cs="Arial" w:eastAsia="Arial" w:hAnsi="Arial"/>
          <w:sz w:val="18"/>
          <w:szCs w:val="18"/>
          <w:color w:val="auto"/>
        </w:rPr>
      </w:pPr>
    </w:p>
    <w:p>
      <w:pPr>
        <w:ind w:left="960" w:right="320" w:hanging="41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make any milestone payments to affiliates of GlaxoSmithKline plc, or GSK, under our right of reference and license agreement with GSK upon the achievement of specified clinical or regulatory milestones;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44" w:lineRule="exact"/>
        <w:rPr>
          <w:rFonts w:ascii="Arial" w:cs="Arial" w:eastAsia="Arial" w:hAnsi="Arial"/>
          <w:sz w:val="18"/>
          <w:szCs w:val="18"/>
          <w:color w:val="auto"/>
        </w:rPr>
      </w:pPr>
    </w:p>
    <w:p>
      <w:pPr>
        <w:ind w:left="960" w:hanging="412"/>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44" w:lineRule="exact"/>
        <w:rPr>
          <w:rFonts w:ascii="Arial" w:cs="Arial" w:eastAsia="Arial" w:hAnsi="Arial"/>
          <w:sz w:val="18"/>
          <w:szCs w:val="18"/>
          <w:color w:val="auto"/>
        </w:rPr>
      </w:pPr>
    </w:p>
    <w:p>
      <w:pPr>
        <w:ind w:left="960" w:right="160" w:hanging="412"/>
        <w:spacing w:after="0" w:line="277"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As of December 31, 2020, we had $112.9 million in cash, cash equivalents, and marketable securities. We believe that our existing cash, cash equivalents, and marketable securities, together with the net proceeds from the sale of our shares of common stock in a public offering on January 22, 2021 of $46.4 million, will enable us to fund our operating expenses and capital expenditure requirements into the fourth quarter of 2022. We have based this estimate on assumptions that may prove to be wrong, and we could exhaust our available capital resources sooner than we expect. See “—Liquidity and Capital Resources.”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40" w:firstLine="546"/>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In December 2019, we entered into a collaboration and license agreement, or the Acceleron Collaboration Agreement, with Acceleron Pharma Inc., or Acceleron, to identify biological targets to modulate specific pathways associated with a targeted indication within the pulmonary disease space. Under the Acceleron Collaboration Agreement, we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us for the treatment,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13" w:name="page114"/>
    <w:bookmarkEnd w:id="113"/>
    <w:p>
      <w:pPr>
        <w:ind w:right="440"/>
        <w:spacing w:after="0" w:line="263" w:lineRule="auto"/>
        <w:rPr>
          <w:sz w:val="20"/>
          <w:szCs w:val="20"/>
          <w:color w:val="auto"/>
        </w:rPr>
      </w:pPr>
      <w:r>
        <w:rPr>
          <w:rFonts w:ascii="Arial" w:cs="Arial" w:eastAsia="Arial" w:hAnsi="Arial"/>
          <w:sz w:val="18"/>
          <w:szCs w:val="18"/>
          <w:color w:val="auto"/>
        </w:rPr>
        <w:t>prophylaxis, or diagnosis of a targeted indication within the pulmonary disease space. The primary goal of the collaboration is to identify and validate potential biological targets for further research in order to support the development, manufacture and commercialization of product candidates by Acceleron for the targeted indication by leveraging our proprietary product engine.</w:t>
      </w:r>
    </w:p>
    <w:p>
      <w:pPr>
        <w:spacing w:after="0" w:line="184"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Under the terms of the Acceleron Collaboration Agreement, we received a $10.0 million upfront payment from Acceleron in December 2019. In December 2020, we achieved $2.0 million of specified research milestones associated with the Acceleron Collaboration Agreement. We are also eligible to receive up to $436.5 million in the aggregate in milestone payments with respect to certain research, developmental, clinical, regulatory and sales-related milestones, and tiered royalty payments based on Acceleron’s (and any of its affiliates’ and sublicensees’) annual worldwide net sales of products directed to any identified targets.</w:t>
      </w:r>
    </w:p>
    <w:p>
      <w:pPr>
        <w:spacing w:after="0" w:line="188" w:lineRule="exact"/>
        <w:rPr>
          <w:sz w:val="20"/>
          <w:szCs w:val="20"/>
          <w:color w:val="auto"/>
        </w:rPr>
      </w:pPr>
    </w:p>
    <w:p>
      <w:pPr>
        <w:ind w:right="20" w:firstLine="546"/>
        <w:spacing w:after="0" w:line="276" w:lineRule="auto"/>
        <w:rPr>
          <w:sz w:val="20"/>
          <w:szCs w:val="20"/>
          <w:color w:val="auto"/>
        </w:rPr>
      </w:pPr>
      <w:r>
        <w:rPr>
          <w:rFonts w:ascii="Arial" w:cs="Arial" w:eastAsia="Arial" w:hAnsi="Arial"/>
          <w:sz w:val="17"/>
          <w:szCs w:val="17"/>
          <w:color w:val="auto"/>
        </w:rPr>
        <w:t>For the years ended December 31, 2020 and 2019 we recognized $6.3 million and zero, respectively, of collaboration revenue under the Acceleron Collaboration Agreement. As of December 31, 2020 and December 31, 2019, we recorded $7.9 million and $10.0 million, respectively, of deferred revenue associated with the Acceleron Collaboration Agreement, which is classified as either current or net of current portion in our consolidated balance sheets based on the period over which the revenue is expected to be recognized. As of December 31, 2020, we had received $1.7 million of cost reimbursement payments and no milestone or royalty payments under the Acceleron Collaboration Agreement. As of December 31, 2020, we recorded unbilled accounts receivable of $0.5 million related to reimbursable research and development costs under the Acceleron Collaboration Agreement for activities performed during the three months ended December 31, 2020. As of December 31, 2020, we recorded accounts receivable of $2.0 million associated with the achievement of specified research milestones in December 2020.</w:t>
      </w:r>
    </w:p>
    <w:p>
      <w:pPr>
        <w:spacing w:after="0" w:line="173"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and the $2.0 million of specified research milestones achieved in December 2020 as we satisfy our performance obligation, and from reimbursement of costs incurred under the Acceleron Collaboration Agreement. In the future, we may also generate additional revenue from milestones and royalty payments under the Acceleron Collaboration Agreement. We expect that our revenue will fluctuate from quarter-to-quarter and year-to-year based upon our pattern of performance under the Acceleron Collaboration Agreement and as a result of the timing, amount, and achievement of milestones and reimbursement of costs incurred under the Acceleron Collaboration Agreement.</w:t>
      </w:r>
    </w:p>
    <w:p>
      <w:pPr>
        <w:spacing w:after="0" w:line="192"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On July 20, 2020, we entered into a collaboration and license agreement, or the MyoKardia Collaboration Agreement, with MyoKardia, Inc., or MyoKardia,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78"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For the year ended December 31, 2020 we recognized $2.5 million of collaboration revenue under the MyoKardia Collaboration Agreement. For the year ended December 31, 2019, we did not recognize any collaboration revenue as we had not yet entered into the MyoKardia Collaboration Agreement. As of December 31, 2020, we have recorded $10.0 million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4" w:name="page115"/>
    <w:bookmarkEnd w:id="114"/>
    <w:p>
      <w:pPr>
        <w:ind w:right="40"/>
        <w:spacing w:after="0" w:line="273" w:lineRule="auto"/>
        <w:rPr>
          <w:sz w:val="20"/>
          <w:szCs w:val="20"/>
          <w:color w:val="auto"/>
        </w:rPr>
      </w:pPr>
      <w:r>
        <w:rPr>
          <w:rFonts w:ascii="Arial" w:cs="Arial" w:eastAsia="Arial" w:hAnsi="Arial"/>
          <w:sz w:val="17"/>
          <w:szCs w:val="17"/>
          <w:color w:val="auto"/>
        </w:rPr>
        <w:t>deferred revenue associated with the MyoKardia Collaboration Agreement, which is classified as either current or net of current portion in our consolidated balance sheets based on the period over which the revenue is expected to be recognized. We recorded no deferred revenue associated with the MyoKardia Collaboration Agreement as of December 31, 2019 as we had not yet entered into the MyoKardia Collaboration Agreement. As of December 31, 2020, we had received no cost reimbursement payments and no milestone or royalty payments under the MyoKardia Collaboration Agreement, other than the $2.5 million payment as prepaid research funding in July 2020. As of December 31, 2020, we recorded no accounts receivable related to reimbursable research and development costs under the MyoKardia Collaboration Agreement.</w:t>
      </w:r>
    </w:p>
    <w:p>
      <w:pPr>
        <w:spacing w:after="0" w:line="178" w:lineRule="exact"/>
        <w:rPr>
          <w:sz w:val="20"/>
          <w:szCs w:val="20"/>
          <w:color w:val="auto"/>
        </w:rPr>
      </w:pPr>
    </w:p>
    <w:p>
      <w:pPr>
        <w:ind w:right="180" w:firstLine="546"/>
        <w:spacing w:after="0" w:line="275" w:lineRule="auto"/>
        <w:rPr>
          <w:sz w:val="20"/>
          <w:szCs w:val="20"/>
          <w:color w:val="auto"/>
        </w:rPr>
      </w:pPr>
      <w:r>
        <w:rPr>
          <w:rFonts w:ascii="Arial" w:cs="Arial" w:eastAsia="Arial" w:hAnsi="Arial"/>
          <w:sz w:val="17"/>
          <w:szCs w:val="17"/>
          <w:color w:val="auto"/>
        </w:rPr>
        <w:t>In the future, we will recognize additional revenue associated with the $10.0 million upfront payment, and from reimbursement of costs incurred under the MyoKardia Collaboration Agreement, including the $2.5 million prepaid research funding payment.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76"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960" w:right="108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contract manufacturing organizations, or CMOs, and consultants;</w:t>
      </w:r>
    </w:p>
    <w:p>
      <w:pPr>
        <w:spacing w:after="0" w:line="62" w:lineRule="exact"/>
        <w:rPr>
          <w:rFonts w:ascii="Arial" w:cs="Arial" w:eastAsia="Arial" w:hAnsi="Arial"/>
          <w:sz w:val="18"/>
          <w:szCs w:val="18"/>
          <w:color w:val="auto"/>
        </w:rPr>
      </w:pPr>
    </w:p>
    <w:p>
      <w:pPr>
        <w:ind w:left="960" w:right="50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salaries, payroll taxes, employee benefits and stock-based compensation expenses for individuals involved in research and development efforts;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960" w:right="16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in-process research and development, or IPR&amp;D, expenses, which relate to IPR&amp;D acquired as part of an asset acquisition for which there is no alternative future use;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the achievement of a clinical milestone payable to GSK upon the initiation of a Phase 2 clinical trial;</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960" w:right="120" w:hanging="41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w:t>
      </w:r>
    </w:p>
    <w:p>
      <w:pPr>
        <w:spacing w:after="0" w:line="1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5" w:name="page116"/>
    <w:bookmarkEnd w:id="115"/>
    <w:p>
      <w:pPr>
        <w:ind w:firstLine="546"/>
        <w:spacing w:after="0" w:line="259" w:lineRule="auto"/>
        <w:rPr>
          <w:sz w:val="20"/>
          <w:szCs w:val="20"/>
          <w:color w:val="auto"/>
        </w:rPr>
      </w:pPr>
      <w:r>
        <w:rPr>
          <w:rFonts w:ascii="Arial" w:cs="Arial" w:eastAsia="Arial" w:hAnsi="Arial"/>
          <w:sz w:val="18"/>
          <w:szCs w:val="18"/>
          <w:color w:val="auto"/>
        </w:rPr>
        <w:t>The following table summarizes our external research and development expenses by program following nomination as a development candidate for the years ended December 31, 2020 and 2019. Pre-development candidate expenses, unallocated expenses and internal research and development expenses are classified separately. Losmapimod external expenses include IPR&amp;D expenses. We nominated FTX-6058 as a development candidate in the third quarter of 2019.</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FF0FC"/>
            </w:tcBorders>
            <w:vMerge w:val="continue"/>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22,954</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5,538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5"/>
              </w:rPr>
              <w:t>Pre-development candidate expenses and unallocated expenses</w:t>
            </w: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14,775</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4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4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59,042</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 including in light of COVID-19;</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960" w:right="160" w:hanging="41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16" w:name="page117"/>
    <w:bookmarkEnd w:id="116"/>
    <w:p>
      <w:pPr>
        <w:ind w:right="60" w:firstLine="546"/>
        <w:spacing w:after="0" w:line="269" w:lineRule="auto"/>
        <w:rPr>
          <w:sz w:val="20"/>
          <w:szCs w:val="20"/>
          <w:color w:val="auto"/>
        </w:rPr>
      </w:pPr>
      <w:r>
        <w:rPr>
          <w:rFonts w:ascii="Arial" w:cs="Arial" w:eastAsia="Arial" w:hAnsi="Arial"/>
          <w:sz w:val="17"/>
          <w:szCs w:val="17"/>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240" w:firstLine="546"/>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summarizes our results of operations for the years ended December 31, 2020 and 2019, along with the changes in those items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14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0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59,042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0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80,434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(84,217)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20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20" w:type="dxa"/>
            <w:vAlign w:val="bottom"/>
            <w:vMerge w:val="restart"/>
          </w:tcPr>
          <w:p>
            <w:pPr>
              <w:jc w:val="right"/>
              <w:ind w:right="59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right="100" w:firstLine="546"/>
        <w:spacing w:after="0" w:line="272" w:lineRule="auto"/>
        <w:rPr>
          <w:sz w:val="20"/>
          <w:szCs w:val="20"/>
          <w:color w:val="auto"/>
        </w:rPr>
      </w:pPr>
      <w:r>
        <w:rPr>
          <w:rFonts w:ascii="Arial" w:cs="Arial" w:eastAsia="Arial" w:hAnsi="Arial"/>
          <w:sz w:val="17"/>
          <w:szCs w:val="17"/>
          <w:color w:val="auto"/>
        </w:rPr>
        <w:t>Collaboration revenue was $8.8 million for the year ended December 31, 2020. We did not record any collaboration revenue during the year ended December 31, 2019, as we had not yet entered into the MyoKardia Collaboration Agreement and we had not satisfied any portion of our performance obligation under the Acceleron Collaboration Agreement. We recognize revenue under each of the Acceleron Collaboration Agreement and MyoKardia Collaboration Agreement based on our pattern of performance related to the respective identified performance obligation, which is the period over which we will perform research services under each of the Acceleron Collaboration Agreement and MyoKardia Collaboration Agreement. For the year ended December 31, 2020, we recognized $6.3 million of collaboration revenue under the Acceleron Collaboration Agreement and $2.5 million of collaboration revenue under the MyoKardia Collaboration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Research and development expense decreased by $12.1 million from $71.1 million for the year ended December 31, 2019 to $59.0 million for the year ended December 31, 2020. The decrease in research and development expense was primarily attributable to a $25.6 million decrease in IPR&amp;D expenses associated with the recognition of the fair value attributable to the right of reference and license agreement with GSK during the year ended December 31, 2019 as well as a $2.5 million decrease in milestone expense associated with the milestone payment to GSK upon the initiation of a Phase 2 clinical trial of losmapimod during the year ended December 31, 2019, partially offset by increases in research and development expenses primarily as a result of the following:</w:t>
      </w:r>
    </w:p>
    <w:p>
      <w:pPr>
        <w:spacing w:after="0" w:line="84" w:lineRule="exact"/>
        <w:rPr>
          <w:sz w:val="20"/>
          <w:szCs w:val="20"/>
          <w:color w:val="auto"/>
        </w:rPr>
      </w:pPr>
    </w:p>
    <w:p>
      <w:pPr>
        <w:ind w:left="960" w:right="200" w:hanging="412"/>
        <w:spacing w:after="0" w:line="26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$12.1 million in increased external research and developments costs, including $5.2 million in increased manufacturing costs to support our ongoing and planned clinical trials and $4.9 million in increased costs for external clinical activities as we continued to advance our lead programs;</w:t>
      </w:r>
    </w:p>
    <w:p>
      <w:pPr>
        <w:spacing w:after="0" w:line="75"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$3.7 million in increased personnel-related costs due to increased headcount, including $1.1 million of increased stock-based compensation expense;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$0.5 million in increased facility-related costs, including depreciation and other utility and maintenance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20" w:firstLine="546"/>
        <w:spacing w:after="0" w:line="308" w:lineRule="auto"/>
        <w:rPr>
          <w:sz w:val="20"/>
          <w:szCs w:val="20"/>
          <w:color w:val="auto"/>
        </w:rPr>
      </w:pPr>
      <w:r>
        <w:rPr>
          <w:rFonts w:ascii="Arial" w:cs="Arial" w:eastAsia="Arial" w:hAnsi="Arial"/>
          <w:sz w:val="17"/>
          <w:szCs w:val="17"/>
          <w:color w:val="auto"/>
        </w:rPr>
        <w:t>General and administrative expenses increased by $8.3 million from $13.1 million for the year ended December 31, 2019 to $21.4 million for the year ended December 31, 2020. The increase in general and administrative expenses was primarily attributable to the following:</w:t>
      </w:r>
    </w:p>
    <w:p>
      <w:pPr>
        <w:spacing w:after="0" w:line="38" w:lineRule="exact"/>
        <w:rPr>
          <w:sz w:val="20"/>
          <w:szCs w:val="20"/>
          <w:color w:val="auto"/>
        </w:rPr>
      </w:pPr>
    </w:p>
    <w:p>
      <w:pPr>
        <w:ind w:left="960" w:right="600" w:hanging="412"/>
        <w:spacing w:after="0" w:line="277"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$4.1 million in increased consulting and professional fees, including for insurance premiums, legal services, investor relations, market research, recruiting, and accounting;</w:t>
      </w:r>
    </w:p>
    <w:p>
      <w:pPr>
        <w:spacing w:after="0" w:line="62" w:lineRule="exact"/>
        <w:rPr>
          <w:rFonts w:ascii="Arial" w:cs="Arial" w:eastAsia="Arial" w:hAnsi="Arial"/>
          <w:sz w:val="18"/>
          <w:szCs w:val="18"/>
          <w:color w:val="auto"/>
        </w:rPr>
      </w:pPr>
    </w:p>
    <w:p>
      <w:pPr>
        <w:ind w:left="960" w:hanging="412"/>
        <w:spacing w:after="0" w:line="308" w:lineRule="auto"/>
        <w:tabs>
          <w:tab w:leader="none" w:pos="9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$3.6 million in increased personnel-related costs, primarily due to increased general and administrative headcount to support the growth of our research and development organization, including $2.0 million of increased stock-based compensation expense; and</w:t>
      </w:r>
    </w:p>
    <w:p>
      <w:pPr>
        <w:spacing w:after="0" w:line="38" w:lineRule="exact"/>
        <w:rPr>
          <w:rFonts w:ascii="Arial" w:cs="Arial" w:eastAsia="Arial" w:hAnsi="Arial"/>
          <w:sz w:val="17"/>
          <w:szCs w:val="17"/>
          <w:color w:val="auto"/>
        </w:rPr>
      </w:pPr>
    </w:p>
    <w:p>
      <w:pPr>
        <w:ind w:left="960" w:hanging="41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$0.5 million in increased facility-related costs, including depreciation and other utility and maintenance costs.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360" w:firstLine="546"/>
        <w:spacing w:after="0" w:line="263" w:lineRule="auto"/>
        <w:rPr>
          <w:sz w:val="20"/>
          <w:szCs w:val="20"/>
          <w:color w:val="auto"/>
        </w:rPr>
      </w:pPr>
      <w:r>
        <w:rPr>
          <w:rFonts w:ascii="Arial" w:cs="Arial" w:eastAsia="Arial" w:hAnsi="Arial"/>
          <w:sz w:val="18"/>
          <w:szCs w:val="18"/>
          <w:color w:val="auto"/>
        </w:rPr>
        <w:t>Other income, net decreased by $0.7 million from $1.5 million for the year ended December 31, 2019 to $0.8 million for the year ended December 31, 2020. Other income, net during the year ended December 31, 2020 was primarily attributable to a decrease in investment income on our cash, cash equivalents, and marketable securities as a result of an overall decreased rate of return.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46"/>
        <w:spacing w:after="0" w:line="293" w:lineRule="auto"/>
        <w:rPr>
          <w:sz w:val="20"/>
          <w:szCs w:val="20"/>
          <w:color w:val="auto"/>
        </w:rPr>
      </w:pPr>
      <w:r>
        <w:rPr>
          <w:rFonts w:ascii="Arial" w:cs="Arial" w:eastAsia="Arial" w:hAnsi="Arial"/>
          <w:sz w:val="16"/>
          <w:szCs w:val="16"/>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December 31, 2020, we have funded our operations primarily with aggregate gross proceeds of $300.5 million from the sale of shares of our common stock in public offerings, a private placement, the ATM Offering, through issuances of convertible preferred stock, and from upfront payments received under our collaboration and license agreements. As of December 31, 2020, we had cash, cash equivalents, and marketable securities of $112.9 million.</w:t>
      </w:r>
    </w:p>
    <w:p>
      <w:pPr>
        <w:spacing w:after="0" w:line="56"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On July 22, 2019, we completed an IPO of our common stock and issued and sold 4,500,000 shares of common stock at a public offering price of $16.00 per share, resulting in net proceeds of $63.9 million after deducting underwriting discounts and commissions and offering expenses. On June 9, 2020, we issued and sold 4,029,411 shares of common stock in a private placement at a price of $17.00 per share, resulting in net proceeds of $64.2 million, after deducting offering costs.</w:t>
      </w:r>
    </w:p>
    <w:p>
      <w:pPr>
        <w:spacing w:after="0" w:line="79" w:lineRule="exact"/>
        <w:rPr>
          <w:sz w:val="20"/>
          <w:szCs w:val="20"/>
          <w:color w:val="auto"/>
        </w:rPr>
      </w:pPr>
    </w:p>
    <w:p>
      <w:pPr>
        <w:jc w:val="both"/>
        <w:ind w:right="200" w:firstLine="546"/>
        <w:spacing w:after="0" w:line="311" w:lineRule="auto"/>
        <w:rPr>
          <w:sz w:val="20"/>
          <w:szCs w:val="20"/>
          <w:color w:val="auto"/>
        </w:rPr>
      </w:pPr>
      <w:r>
        <w:rPr>
          <w:rFonts w:ascii="Arial" w:cs="Arial" w:eastAsia="Arial" w:hAnsi="Arial"/>
          <w:sz w:val="16"/>
          <w:szCs w:val="16"/>
          <w:color w:val="auto"/>
        </w:rPr>
        <w:t>In December 2019, we received a $10.0 million upfront payment upon execution of the Acceleron Collaboration Agreement and, as of December 2020, we recorded accounts receivable of $2.0 million in specified research milestones under the Acceleron Collaboration Agreement. In July 2020, we received a $10.0 million upfront payment and a $2.5 million payment as prepaid research funding under the MyoKardia Collaboration Agreement.</w:t>
      </w:r>
    </w:p>
    <w:p>
      <w:pPr>
        <w:spacing w:after="0" w:line="41" w:lineRule="exact"/>
        <w:rPr>
          <w:sz w:val="20"/>
          <w:szCs w:val="20"/>
          <w:color w:val="auto"/>
        </w:rPr>
      </w:pPr>
    </w:p>
    <w:p>
      <w:pPr>
        <w:ind w:right="300" w:firstLine="546"/>
        <w:spacing w:after="0" w:line="272" w:lineRule="auto"/>
        <w:rPr>
          <w:sz w:val="20"/>
          <w:szCs w:val="20"/>
          <w:color w:val="auto"/>
        </w:rPr>
      </w:pPr>
      <w:r>
        <w:rPr>
          <w:rFonts w:ascii="Arial" w:cs="Arial" w:eastAsia="Arial" w:hAnsi="Arial"/>
          <w:sz w:val="17"/>
          <w:szCs w:val="17"/>
          <w:color w:val="auto"/>
        </w:rPr>
        <w:t>On August 11, 2020, we filed a shelf registration statement on Form S-3 with the SEC, which was declared effective on August 17, 2020, or the Shelf Registration Statement. Under the Shelf Registration Statement, we may offer and sell up to $250.0 million of a variety of securities including common stock, preferred stock, warrants, depositary shares, debt securities or units during the three-year period that commenced upon the Shelf Registration Statement becoming effective. In connection with the filing of the Shelf Registration Statement, we entered into an Equity Distribution Agreement with Piper Sandler &amp; Co., or Piper Sandler, as sales agent, pursuant to which we may offer and sell shares of our common stock with an aggregate offering price of up to $75.0 million under the ATM Offering. As of December 31, 2020, we have issued and sold 550,000 shares of common stock under the ATM Offering, resulting in net proceeds of $5.7 million after deducting offering costs.</w:t>
      </w:r>
    </w:p>
    <w:p>
      <w:pPr>
        <w:spacing w:after="0" w:line="69" w:lineRule="exact"/>
        <w:rPr>
          <w:sz w:val="20"/>
          <w:szCs w:val="20"/>
          <w:color w:val="auto"/>
        </w:rPr>
      </w:pPr>
    </w:p>
    <w:p>
      <w:pPr>
        <w:ind w:right="460" w:firstLine="546"/>
        <w:spacing w:after="0" w:line="263" w:lineRule="auto"/>
        <w:rPr>
          <w:sz w:val="20"/>
          <w:szCs w:val="20"/>
          <w:color w:val="auto"/>
        </w:rPr>
      </w:pPr>
      <w:r>
        <w:rPr>
          <w:rFonts w:ascii="Arial" w:cs="Arial" w:eastAsia="Arial" w:hAnsi="Arial"/>
          <w:sz w:val="18"/>
          <w:szCs w:val="18"/>
          <w:color w:val="auto"/>
        </w:rPr>
        <w:t>On January 22, 2021, we completed a public offering of our common stock and issued and sold 4,600,000 shares of common stock at a public offering price of $11.00 per share, resulting in net proceeds of $46.4 million after deducting underwriting discounts and commissions and estimated offering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2020 and 2019:</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(53,655)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(39,483)</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(57,138)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64,343</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w w:val="95"/>
              </w:rPr>
              <w:t>Net (decrease) increase in cash, cash equivalents, and restricted cash</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3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operating activities was $53.7 million during the year ended December 31, 2020 compared to net cash used in operating activities of $39.5 million during the year ended December 31, 2019. The increase in net cash used in operating activities of $14.2 million was primarily due to increased personnel-related costs, increased research and development costs as we continue to advance our lead programs, and increased general and administrative costs associated with operating as a public company.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Net cash used in investing activities was $57.1 million during the year ended December 31, 2020 compared to net cash used in investing activities of $0.9 million during the year ended December 31, 2019. The increase in net cash used in investing activities of $56.2 million was primarily due to net purchases of marketable securities during the year ended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100" w:firstLine="546"/>
        <w:spacing w:after="0" w:line="275" w:lineRule="auto"/>
        <w:rPr>
          <w:sz w:val="20"/>
          <w:szCs w:val="20"/>
          <w:color w:val="auto"/>
        </w:rPr>
      </w:pPr>
      <w:r>
        <w:rPr>
          <w:rFonts w:ascii="Arial" w:cs="Arial" w:eastAsia="Arial" w:hAnsi="Arial"/>
          <w:sz w:val="17"/>
          <w:szCs w:val="17"/>
          <w:color w:val="auto"/>
        </w:rPr>
        <w:t>Net cash provided by financing activities was $71.1 million during the year ended December 31, 2020 compared to net cash provided by financing activities of $64.3 million during the year ended December 31, 2019. Net cash provided by financing activities during the year ended December 31, 2020 primarily consisted of net proceeds of approximately $64.2 million from the completion of the private placement of shares of our common stock in June 2020 and net proceeds of $5.7 million received under our ATM Offering. Net cash provided by financing activities during the year ended December 31, 2019 primarily consisted of net proceeds of approximately $64.2 million from the completion of our IPO in July 2019.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associated with operating as a public company. As a result, we expect to incur substantial operating losses and negative operating cash flows for the foreseeable future.</w:t>
      </w:r>
    </w:p>
    <w:p>
      <w:pPr>
        <w:spacing w:after="0" w:line="18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December 31, 2020, together with the net proceeds from the sale of shares of our common stock in a public offering on January 22, 2021 of $46.4 million, will enable us to fund our operating expenses and capital expenditure requirements into the fourth quarter of 2022. However, we have based this estimate on assumptions that may prove to be wrong and we could exhaust our capital resources sooner than we expect.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jc w:val="both"/>
        <w:ind w:left="960" w:right="220" w:hanging="412"/>
        <w:spacing w:after="0" w:line="342"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progress, costs and results of our ongoing Phase 2b and Phase 2 open label clinical trials of losmapimod for the treatment of FSHD, our ongoing Phase 1 clinical trial of FTX-6058 in healthy adult volunteers and our planned clinical trial of FTX-6058 for the treatment of SCD;</w:t>
      </w:r>
    </w:p>
    <w:p>
      <w:pPr>
        <w:spacing w:after="0" w:line="15" w:lineRule="exact"/>
        <w:rPr>
          <w:rFonts w:ascii="Arial" w:cs="Arial" w:eastAsia="Arial" w:hAnsi="Arial"/>
          <w:sz w:val="16"/>
          <w:szCs w:val="16"/>
          <w:color w:val="auto"/>
        </w:rPr>
      </w:pPr>
    </w:p>
    <w:p>
      <w:pPr>
        <w:ind w:left="960" w:right="48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and operations;</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60" w:right="22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our collaborations with Acceleron and MyoKardia;</w:t>
      </w:r>
    </w:p>
    <w:p>
      <w:pPr>
        <w:spacing w:after="0" w:line="117" w:lineRule="exact"/>
        <w:rPr>
          <w:rFonts w:ascii="Arial" w:cs="Arial" w:eastAsia="Arial" w:hAnsi="Arial"/>
          <w:sz w:val="18"/>
          <w:szCs w:val="18"/>
          <w:color w:val="auto"/>
        </w:rPr>
      </w:pPr>
    </w:p>
    <w:p>
      <w:pPr>
        <w:ind w:left="960" w:right="58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60" w:right="10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60" w:right="740" w:hanging="41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60" w:hanging="412"/>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20" w:name="page121"/>
    <w:bookmarkEnd w:id="120"/>
    <w:p>
      <w:pPr>
        <w:ind w:right="120" w:firstLine="546"/>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right="460" w:firstLine="546"/>
        <w:spacing w:after="0" w:line="311" w:lineRule="auto"/>
        <w:rPr>
          <w:sz w:val="20"/>
          <w:szCs w:val="20"/>
          <w:color w:val="auto"/>
        </w:rPr>
      </w:pPr>
      <w:r>
        <w:rPr>
          <w:rFonts w:ascii="Arial" w:cs="Arial" w:eastAsia="Arial" w:hAnsi="Arial"/>
          <w:sz w:val="16"/>
          <w:szCs w:val="16"/>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49"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these obligations are expected to have on our liquidity and cash flows in future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Less Than</w:t>
            </w:r>
          </w:p>
        </w:tc>
        <w:tc>
          <w:tcPr>
            <w:tcW w:w="22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20" w:type="dxa"/>
            <w:vAlign w:val="bottom"/>
          </w:tcPr>
          <w:p>
            <w:pPr>
              <w:spacing w:after="0"/>
              <w:rPr>
                <w:sz w:val="14"/>
                <w:szCs w:val="14"/>
                <w:color w:val="auto"/>
              </w:rPr>
            </w:pPr>
          </w:p>
        </w:tc>
        <w:tc>
          <w:tcPr>
            <w:tcW w:w="80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23"/>
        </w:trPr>
        <w:tc>
          <w:tcPr>
            <w:tcW w:w="3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lease commitments</w:t>
            </w:r>
            <w:r>
              <w:rPr>
                <w:rFonts w:ascii="Arial" w:cs="Arial" w:eastAsia="Arial" w:hAnsi="Arial"/>
                <w:sz w:val="15"/>
                <w:szCs w:val="15"/>
                <w:color w:val="auto"/>
              </w:rPr>
              <w:t>(1)</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Capital lease obligation</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78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000" w:type="dxa"/>
            <w:vAlign w:val="bottom"/>
            <w:tcBorders>
              <w:bottom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20" w:hanging="532"/>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future minimum lease payments under our non-cancelable operating lease, which expires in June 2028. The minimum lease payments above do not include any related common area maintenance charges or real estate taxes.</w:t>
      </w:r>
    </w:p>
    <w:p>
      <w:pPr>
        <w:spacing w:after="0" w:line="170" w:lineRule="exact"/>
        <w:rPr>
          <w:sz w:val="20"/>
          <w:szCs w:val="20"/>
          <w:color w:val="auto"/>
        </w:rPr>
      </w:pPr>
    </w:p>
    <w:p>
      <w:pPr>
        <w:ind w:right="80" w:firstLine="546"/>
        <w:spacing w:after="0" w:line="270" w:lineRule="auto"/>
        <w:rPr>
          <w:sz w:val="20"/>
          <w:szCs w:val="20"/>
          <w:color w:val="auto"/>
        </w:rPr>
      </w:pPr>
      <w:r>
        <w:rPr>
          <w:rFonts w:ascii="Arial" w:cs="Arial" w:eastAsia="Arial" w:hAnsi="Arial"/>
          <w:sz w:val="17"/>
          <w:szCs w:val="17"/>
          <w:color w:val="auto"/>
        </w:rPr>
        <w:t>Under our right of reference and license agreement that we entered into in February 2019 with affiliates of GSK, we have payment obligations that are contingent upon the occurrence of future events such as our achievement of specified clinical, regulatory and sales milestones and are required to make royalty payments in connection with the sale of products developed under the agreement. Specifically, we may owe GSK up to $37.5 million in certain specified clinical and regulatory milestones, including a $2.5 million milestone payment we made to GSK during the year ended December 31, 2019 upon the initiation of a Phase 2 clinical trial, and up to $60.0 million in certain specified sales milestones and royalties on product sales, if any. We have not included any such contingent milestone or royalty payment obligations in the table above because the amount (in the case of potential royalty payments), timing and likelihood of such payments are not always known. For additional information regarding this license agreement, including our payment obligations thereunder, see “Business—Right of Reference and License Agreement with GlaxoSmithKline,” and Note 11 to our consolidated financial statements included elsewhere in this Annual Report on Form 10-K.</w:t>
      </w:r>
    </w:p>
    <w:p>
      <w:pPr>
        <w:spacing w:after="0" w:line="181" w:lineRule="exact"/>
        <w:rPr>
          <w:sz w:val="20"/>
          <w:szCs w:val="20"/>
          <w:color w:val="auto"/>
        </w:rPr>
      </w:pPr>
    </w:p>
    <w:p>
      <w:pPr>
        <w:ind w:right="200" w:firstLine="546"/>
        <w:spacing w:after="0" w:line="257"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synthetic chemistry and testing and manufacturing services. These contracts are generally cancelable by us upon up to 30 days’ prior written notice. Payments due upon cancellation consist only of payments for services provided or expenses incurred, including noncancelable obligations of our service providers, up to and through the date of cancellation. These payments are not included in the preceding table as the amount and timing of these payments are not known.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80" w:firstLine="54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81" w:lineRule="exact"/>
        <w:rPr>
          <w:sz w:val="20"/>
          <w:szCs w:val="20"/>
          <w:color w:val="auto"/>
        </w:rPr>
      </w:pPr>
    </w:p>
    <w:p>
      <w:pPr>
        <w:jc w:val="both"/>
        <w:ind w:right="160" w:firstLine="546"/>
        <w:spacing w:after="0" w:line="263" w:lineRule="auto"/>
        <w:rPr>
          <w:sz w:val="20"/>
          <w:szCs w:val="20"/>
          <w:color w:val="auto"/>
        </w:rPr>
      </w:pPr>
      <w:r>
        <w:rPr>
          <w:rFonts w:ascii="Arial" w:cs="Arial" w:eastAsia="Arial" w:hAnsi="Arial"/>
          <w:sz w:val="18"/>
          <w:szCs w:val="18"/>
          <w:color w:val="auto"/>
        </w:rPr>
        <w:t>We believe that the accounting policies discussed below are critical to understanding our historical and future performance, as these policies relate to the most significant areas involving management’s judgments and estimates. See Note 2 to our consolidated financial statements included elsewhere in this Annual Report on Form 10-K for a description of our other significant accounting policies.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300" w:firstLine="546"/>
        <w:spacing w:after="0" w:line="311" w:lineRule="auto"/>
        <w:rPr>
          <w:sz w:val="20"/>
          <w:szCs w:val="20"/>
          <w:color w:val="auto"/>
        </w:rPr>
      </w:pPr>
      <w:r>
        <w:rPr>
          <w:rFonts w:ascii="Arial" w:cs="Arial" w:eastAsia="Arial" w:hAnsi="Arial"/>
          <w:sz w:val="16"/>
          <w:szCs w:val="16"/>
          <w:color w:val="auto"/>
        </w:rPr>
        <w:t xml:space="preserve">Under the Financial Accounting Standards Board Accounting Standards Codification, or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 entity recognizes revenue when its customer obtains control of promised goods or services, in an amount that reflects the consideration that the entity expects to receive in exchange for those goods or services. In applying ASC 606, we perform the following five steps: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17"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Identify the promises and performance obligations in the contract</w:t>
      </w:r>
    </w:p>
    <w:p>
      <w:pPr>
        <w:spacing w:after="0" w:line="117" w:lineRule="exact"/>
        <w:rPr>
          <w:sz w:val="20"/>
          <w:szCs w:val="20"/>
          <w:color w:val="auto"/>
        </w:rPr>
      </w:pPr>
    </w:p>
    <w:p>
      <w:pPr>
        <w:ind w:right="100" w:firstLine="546"/>
        <w:spacing w:after="0" w:line="290" w:lineRule="auto"/>
        <w:rPr>
          <w:sz w:val="20"/>
          <w:szCs w:val="20"/>
          <w:color w:val="auto"/>
        </w:rPr>
      </w:pPr>
      <w:r>
        <w:rPr>
          <w:rFonts w:ascii="Arial" w:cs="Arial" w:eastAsia="Arial" w:hAnsi="Arial"/>
          <w:sz w:val="16"/>
          <w:szCs w:val="16"/>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In assessing whether a promised good or service is distinct, we consider factors such as the research, manufacturing and commercialization capabilities of the customer and the availability of the associated expertise in the marketplace. We also consider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right="100" w:firstLine="546"/>
        <w:spacing w:after="0" w:line="290" w:lineRule="auto"/>
        <w:rPr>
          <w:sz w:val="20"/>
          <w:szCs w:val="20"/>
          <w:color w:val="auto"/>
        </w:rPr>
      </w:pPr>
      <w:r>
        <w:rPr>
          <w:rFonts w:ascii="Arial" w:cs="Arial" w:eastAsia="Arial" w:hAnsi="Arial"/>
          <w:sz w:val="16"/>
          <w:szCs w:val="16"/>
          <w:color w:val="auto"/>
        </w:rPr>
        <w:t>The transaction price is determined based on the consideration to which we will be entitled in exchange for transferring goods and services to the customer. If the consideration promised in a contract includes a variable amount, we estimate the amount of consideration to which we will be entitled in exchange for transferring the promised goods or services to a customer. We determine the amount of variable consideration by using the expected value method or the most likely amount method. We include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ind w:right="60" w:firstLine="546"/>
        <w:spacing w:after="0" w:line="257" w:lineRule="auto"/>
        <w:rPr>
          <w:sz w:val="20"/>
          <w:szCs w:val="20"/>
          <w:color w:val="auto"/>
        </w:rPr>
      </w:pPr>
      <w:r>
        <w:rPr>
          <w:rFonts w:ascii="Arial" w:cs="Arial" w:eastAsia="Arial" w:hAnsi="Arial"/>
          <w:sz w:val="18"/>
          <w:szCs w:val="18"/>
          <w:color w:val="auto"/>
        </w:rPr>
        <w:t>If an arrangement includes research and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our control, such as regulatory approvals, are generally not considered probable of being achieved until the underlying events occur or the associated approvals are received.</w:t>
      </w:r>
    </w:p>
    <w:p>
      <w:pPr>
        <w:spacing w:after="0" w:line="188" w:lineRule="exact"/>
        <w:rPr>
          <w:sz w:val="20"/>
          <w:szCs w:val="20"/>
          <w:color w:val="auto"/>
        </w:rPr>
      </w:pPr>
    </w:p>
    <w:p>
      <w:pPr>
        <w:ind w:right="100" w:firstLine="546"/>
        <w:spacing w:after="0" w:line="286" w:lineRule="auto"/>
        <w:rPr>
          <w:sz w:val="20"/>
          <w:szCs w:val="20"/>
          <w:color w:val="auto"/>
        </w:rPr>
      </w:pPr>
      <w:r>
        <w:rPr>
          <w:rFonts w:ascii="Arial" w:cs="Arial" w:eastAsia="Arial" w:hAnsi="Arial"/>
          <w:sz w:val="17"/>
          <w:szCs w:val="17"/>
          <w:color w:val="auto"/>
        </w:rPr>
        <w:t>For arrangements with licenses of intellectual property that include sales-based royalties, including milestone payments based on the level of sales, and the license is deemed to be the predominant item to which the royalties relate, we recognize royalty revenue and sales-based milestones at the later of (i) when the related sales occur, or (ii) when the performance obligation to which the royalty has been allocated has been satisfied.</w:t>
      </w:r>
    </w:p>
    <w:p>
      <w:pPr>
        <w:spacing w:after="0" w:line="165" w:lineRule="exact"/>
        <w:rPr>
          <w:sz w:val="20"/>
          <w:szCs w:val="20"/>
          <w:color w:val="auto"/>
        </w:rPr>
      </w:pPr>
    </w:p>
    <w:p>
      <w:pPr>
        <w:ind w:right="80" w:firstLine="546"/>
        <w:spacing w:after="0" w:line="342" w:lineRule="auto"/>
        <w:rPr>
          <w:sz w:val="20"/>
          <w:szCs w:val="20"/>
          <w:color w:val="auto"/>
        </w:rPr>
      </w:pPr>
      <w:r>
        <w:rPr>
          <w:rFonts w:ascii="Arial" w:cs="Arial" w:eastAsia="Arial" w:hAnsi="Arial"/>
          <w:sz w:val="16"/>
          <w:szCs w:val="16"/>
          <w:color w:val="auto"/>
        </w:rPr>
        <w:t>In determining the transaction price, we adjust consideration for the effects of the time value of money if the timing of payments provides us with a significant benefit of financing. We assess our revenue generating arrangements in order to determine whether a significant financing component exists.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117"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We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92"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For revenue that we recognize over time, we assess whether an input or an output method is the appropriate measure of progress associated with the satisfaction of the performance obligation. In determining the appropriate method for measuring progress, we consider the nature of the good or service that we have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our measurement of progress associated with the satisfaction of performance obligations based on an input method include the total estimated costs to satisfy the associated performance obligation.</w:t>
      </w:r>
    </w:p>
    <w:p>
      <w:pPr>
        <w:spacing w:after="0" w:line="164" w:lineRule="exact"/>
        <w:rPr>
          <w:sz w:val="20"/>
          <w:szCs w:val="20"/>
          <w:color w:val="auto"/>
        </w:rPr>
      </w:pPr>
    </w:p>
    <w:p>
      <w:pPr>
        <w:ind w:right="500" w:firstLine="546"/>
        <w:spacing w:after="0" w:line="277" w:lineRule="auto"/>
        <w:rPr>
          <w:sz w:val="20"/>
          <w:szCs w:val="20"/>
          <w:color w:val="auto"/>
        </w:rPr>
      </w:pPr>
      <w:r>
        <w:rPr>
          <w:rFonts w:ascii="Arial" w:cs="Arial" w:eastAsia="Arial" w:hAnsi="Arial"/>
          <w:sz w:val="18"/>
          <w:szCs w:val="18"/>
          <w:color w:val="auto"/>
        </w:rPr>
        <w:t>See Note 10, “Collaboration and License Agreements”, for further information on the application of ASC 606 to the Acceleron Collaboration Agreement and MyoKardia Collaboration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3" w:name="page124"/>
    <w:bookmarkEnd w:id="123"/>
    <w:p>
      <w:pPr>
        <w:ind w:right="40" w:firstLine="546"/>
        <w:spacing w:after="0" w:line="271" w:lineRule="auto"/>
        <w:rPr>
          <w:sz w:val="20"/>
          <w:szCs w:val="20"/>
          <w:color w:val="auto"/>
        </w:rPr>
      </w:pPr>
      <w:r>
        <w:rPr>
          <w:rFonts w:ascii="Arial" w:cs="Arial" w:eastAsia="Arial" w:hAnsi="Arial"/>
          <w:sz w:val="17"/>
          <w:szCs w:val="17"/>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8" w:lineRule="exact"/>
        <w:rPr>
          <w:sz w:val="20"/>
          <w:szCs w:val="20"/>
          <w:color w:val="auto"/>
        </w:rPr>
      </w:pPr>
    </w:p>
    <w:p>
      <w:pPr>
        <w:ind w:right="80" w:firstLine="546"/>
        <w:spacing w:after="0" w:line="311"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Given the lack of public market for our common stock prior to the closing of our IPO and a lack of company-specific historical and implied volatility data, we based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68"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of Common Stock and Series B Preferred Stock prior to our IPO</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Prior to our IPO, there was no public market for our common stock. As a result, the estimated fair value of our common stock and Series B preferred stock was determined by our board of directors and management, respectively, as of the date of each equity issuance considering our most recently available third-party valuations of common stock or Series B preferred stock, and our assessment of additional objective and subjective factors. We were required to estimate the fair value of our common stock underlying our stock-based awards when estimating the grant date fair value of those awards. Additionally, we were required to estimate the fair value of the Series B preferred stock issued pursuant to the right of reference and license agreement that we entered into with GSK in February 2019. The third-party valuations of our common stock and our Series B preferred stock were performed in accordance with the guidance outlined in the American Institute of Certified Public Accountants’ Accounting and Valuation Guide, Valuation of Privately-Held-Company Equity Securities Issued as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4" w:name="page125"/>
    <w:bookmarkEnd w:id="124"/>
    <w:p>
      <w:pPr>
        <w:ind w:left="560"/>
        <w:spacing w:after="0"/>
        <w:rPr>
          <w:sz w:val="20"/>
          <w:szCs w:val="20"/>
          <w:color w:val="auto"/>
        </w:rPr>
      </w:pPr>
      <w:r>
        <w:rPr>
          <w:rFonts w:ascii="Arial" w:cs="Arial" w:eastAsia="Arial" w:hAnsi="Arial"/>
          <w:sz w:val="16"/>
          <w:szCs w:val="16"/>
          <w:color w:val="auto"/>
        </w:rPr>
        <w:t>The assumptions underlying these valuations represented our best estimates, which involved inherent uncertainties and the application of judgment.</w:t>
      </w:r>
    </w:p>
    <w:p>
      <w:pPr>
        <w:spacing w:after="0" w:line="248"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Following the closing of our IPO, we have determined the fair value of our common stock based on the quoted market price of our common stock on the Nasdaq Global Market.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46"/>
        <w:spacing w:after="0" w:line="254" w:lineRule="auto"/>
        <w:rPr>
          <w:sz w:val="20"/>
          <w:szCs w:val="20"/>
          <w:color w:val="auto"/>
        </w:rPr>
      </w:pPr>
      <w:r>
        <w:rPr>
          <w:rFonts w:ascii="Arial" w:cs="Arial" w:eastAsia="Arial" w:hAnsi="Arial"/>
          <w:sz w:val="18"/>
          <w:szCs w:val="18"/>
          <w:color w:val="auto"/>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at the end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20" w:firstLine="546"/>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546"/>
        <w:spacing w:after="0" w:line="29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particularly because our cash equivalents are in the form of money market funds that are invested in U.S. Treasury securities and our investments are in short-term marketable securities, such as corporate bonds and commercial paper. As of December 31, 2020, we had cash, cash equivalents, and marketable securities of $112.9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5" w:name="page126"/>
    <w:bookmarkEnd w:id="125"/>
    <w:p>
      <w:pPr>
        <w:jc w:val="both"/>
        <w:ind w:right="40" w:firstLine="546"/>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December 31, 2020, we had minimal or no liabilities denominated in foreign currencies.</w:t>
      </w:r>
    </w:p>
    <w:p>
      <w:pPr>
        <w:spacing w:after="0" w:line="187"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years ended December 31, 2020 and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Our consolidated financial statements, together with the independent registered public accounting firm report thereon, are presented beginning on page F-1 of this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Operating Officer (our principal executive officer and principal financial officer, respectively), evaluated the effectiveness of our disclosure controls and procedures as of December 31, 2020.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December 31, 2020, our Chief Executive Officer and Chief Operating Officer concluded that, as of such date, our disclosure controls and procedures were effective at the reasonable assurance level.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546"/>
        <w:spacing w:after="0" w:line="28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 w:lineRule="exact"/>
        <w:rPr>
          <w:sz w:val="20"/>
          <w:szCs w:val="20"/>
          <w:color w:val="auto"/>
        </w:rPr>
      </w:pPr>
    </w:p>
    <w:p>
      <w:pPr>
        <w:ind w:left="1340" w:right="700" w:hanging="387"/>
        <w:spacing w:after="0" w:line="260" w:lineRule="auto"/>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 company’s assets;</w:t>
      </w:r>
    </w:p>
    <w:p>
      <w:pPr>
        <w:spacing w:after="0" w:line="171" w:lineRule="exact"/>
        <w:rPr>
          <w:rFonts w:ascii="Arial" w:cs="Arial" w:eastAsia="Arial" w:hAnsi="Arial"/>
          <w:sz w:val="18"/>
          <w:szCs w:val="18"/>
          <w:color w:val="auto"/>
        </w:rPr>
      </w:pPr>
    </w:p>
    <w:p>
      <w:pPr>
        <w:ind w:left="1340" w:hanging="387"/>
        <w:spacing w:after="0" w:line="263" w:lineRule="auto"/>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a company’s management and directors; and</w:t>
      </w:r>
    </w:p>
    <w:p>
      <w:pPr>
        <w:spacing w:after="0" w:line="170" w:lineRule="exact"/>
        <w:rPr>
          <w:rFonts w:ascii="Arial" w:cs="Arial" w:eastAsia="Arial" w:hAnsi="Arial"/>
          <w:sz w:val="18"/>
          <w:szCs w:val="18"/>
          <w:color w:val="auto"/>
        </w:rPr>
      </w:pPr>
    </w:p>
    <w:p>
      <w:pPr>
        <w:ind w:left="1340" w:right="280" w:hanging="387"/>
        <w:spacing w:after="0" w:line="277" w:lineRule="auto"/>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 company’s assets that could have a material effect on the financial statements.</w:t>
      </w:r>
    </w:p>
    <w:p>
      <w:pPr>
        <w:spacing w:after="0" w:line="265"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6" w:name="page127"/>
    <w:bookmarkEnd w:id="126"/>
    <w:p>
      <w:pPr>
        <w:ind w:right="220"/>
        <w:spacing w:after="0" w:line="308" w:lineRule="auto"/>
        <w:rPr>
          <w:sz w:val="20"/>
          <w:szCs w:val="20"/>
          <w:color w:val="auto"/>
        </w:rPr>
      </w:pPr>
      <w:r>
        <w:rPr>
          <w:rFonts w:ascii="Arial" w:cs="Arial" w:eastAsia="Arial" w:hAnsi="Arial"/>
          <w:sz w:val="17"/>
          <w:szCs w:val="17"/>
          <w:color w:val="auto"/>
        </w:rPr>
        <w:t>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ind w:right="60" w:firstLine="546"/>
        <w:spacing w:after="0" w:line="279"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2020 based on the criteria set forth by the Committee of Sponsoring Organizations of the Treadway Commission (COSO) in Internal Control—Integrated Framework (2013 framework). Based on this assessment, management concluded that our internal control over financial reporting was effective as of December 31, 2020.</w:t>
      </w:r>
    </w:p>
    <w:p>
      <w:pPr>
        <w:spacing w:after="0" w:line="171"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an exemption established by the JOBS Act for “emerging growth companies”.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0" w:firstLine="546"/>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three months ended December 31, 2020 that has materially affected, or is reasonably likely to materially affect, our internal control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127" w:name="page128"/>
    <w:bookmarkEnd w:id="127"/>
    <w:p>
      <w:pPr>
        <w:ind w:left="55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46"/>
        <w:spacing w:after="0" w:line="308" w:lineRule="auto"/>
        <w:rPr>
          <w:sz w:val="20"/>
          <w:szCs w:val="20"/>
          <w:color w:val="auto"/>
        </w:rPr>
      </w:pPr>
      <w:r>
        <w:rPr>
          <w:rFonts w:ascii="Arial" w:cs="Arial" w:eastAsia="Arial" w:hAnsi="Arial"/>
          <w:sz w:val="17"/>
          <w:szCs w:val="17"/>
          <w:color w:val="auto"/>
        </w:rPr>
        <w:t>Except to the extent provided below, the information required by this Item 10 will be included in our Definitive Proxy Statement to be filed with the Securities and Exchange Commission, or SEC, with respect to our 2021 Annual Meeting of Stockholders and is incorporated herein by reference.</w:t>
      </w:r>
    </w:p>
    <w:p>
      <w:pPr>
        <w:spacing w:after="0" w:line="14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8"/>
          <w:szCs w:val="18"/>
          <w:color w:val="auto"/>
        </w:rPr>
        <w:t>We post our Code of Business Conduct and Ethics, which applies to our directors, officers and employees, including our principal executive officer, principal financial officer, principal accounting officer or controller, or persons performing similar functions, in the “Corporate Governance” sub-section of the “Investor Relations” section (ir.fulcrumtx.com) of our corporate website at www.fulcrumtx.com. We intend to disclose on our website any amendments to, or waivers from, the Code of Business Conduct and Ethics that are required to be disclosed pursuant to the disclosure requirements of Item 5.05 of Form 8-K.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2021 Annual Meeting of Stockholders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2021 Annual Meeting of Stockholders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8" w:name="page129"/>
    <w:bookmarkEnd w:id="128"/>
    <w:p>
      <w:pPr>
        <w:ind w:left="55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documents are included on pages F-1 through F-31 attached hereto and are filed as part of this Annual Report on Form 10-K.</w:t>
      </w: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10300" w:type="dxa"/>
            <w:vAlign w:val="bottom"/>
            <w:vMerge w:val="restart"/>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Report of Independent Registered Public Accounting Firm</w:t>
              </w:r>
            </w:hyperlink>
          </w:p>
        </w:tc>
        <w:tc>
          <w:tcPr>
            <w:tcW w:w="7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300" w:type="dxa"/>
            <w:vAlign w:val="bottom"/>
            <w:vMerge w:val="continue"/>
          </w:tcPr>
          <w:p>
            <w:pPr>
              <w:spacing w:after="0"/>
              <w:rPr>
                <w:sz w:val="16"/>
                <w:szCs w:val="16"/>
                <w:color w:val="auto"/>
              </w:rPr>
            </w:pPr>
          </w:p>
        </w:tc>
        <w:tc>
          <w:tcPr>
            <w:tcW w:w="760" w:type="dxa"/>
            <w:vAlign w:val="bottom"/>
          </w:tcPr>
          <w:p>
            <w:pPr>
              <w:ind w:left="500"/>
              <w:spacing w:after="0" w:line="195"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Consolidated Balance Sheets</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Consolidated Statements of Operations and Comprehensive Loss</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Consolidated Statements of Convertible Preferred Stock and Stockholders’ Equity (Deficit)</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Consolidated Statements of Cash Flows</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30"/>
        </w:trPr>
        <w:tc>
          <w:tcPr>
            <w:tcW w:w="1030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Notes to Consolidated Financial Statements</w:t>
              </w:r>
            </w:hyperlink>
          </w:p>
        </w:tc>
        <w:tc>
          <w:tcPr>
            <w:tcW w:w="760" w:type="dxa"/>
            <w:vAlign w:val="bottom"/>
          </w:tcPr>
          <w:p>
            <w:pPr>
              <w:ind w:left="50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420" w:firstLine="546"/>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consolidated financial statements or the notes thereto.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right="400" w:firstLine="546"/>
        <w:spacing w:after="0" w:line="263" w:lineRule="auto"/>
        <w:rPr>
          <w:sz w:val="20"/>
          <w:szCs w:val="20"/>
          <w:color w:val="auto"/>
        </w:rPr>
      </w:pPr>
      <w:r>
        <w:rPr>
          <w:rFonts w:ascii="Arial" w:cs="Arial" w:eastAsia="Arial" w:hAnsi="Arial"/>
          <w:sz w:val="18"/>
          <w:szCs w:val="18"/>
          <w:color w:val="auto"/>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vMerge w:val="restart"/>
          </w:tcPr>
          <w:p>
            <w:pPr>
              <w:ind w:left="6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Report of Independent Registered Public Accounting Firm</w:t>
              </w:r>
            </w:hyperlink>
          </w:p>
        </w:tc>
        <w:tc>
          <w:tcPr>
            <w:tcW w:w="7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480" w:type="dxa"/>
            <w:vAlign w:val="bottom"/>
            <w:vMerge w:val="continue"/>
          </w:tcPr>
          <w:p>
            <w:pPr>
              <w:spacing w:after="0"/>
              <w:rPr>
                <w:sz w:val="16"/>
                <w:szCs w:val="16"/>
                <w:color w:val="auto"/>
              </w:rPr>
            </w:pPr>
          </w:p>
        </w:tc>
        <w:tc>
          <w:tcPr>
            <w:tcW w:w="700" w:type="dxa"/>
            <w:vAlign w:val="bottom"/>
          </w:tcPr>
          <w:p>
            <w:pPr>
              <w:ind w:left="440"/>
              <w:spacing w:after="0" w:line="195" w:lineRule="exact"/>
              <w:rPr>
                <w:sz w:val="20"/>
                <w:szCs w:val="20"/>
                <w:color w:val="auto"/>
              </w:rPr>
            </w:pPr>
            <w:r>
              <w:rPr>
                <w:rFonts w:ascii="Arial" w:cs="Arial" w:eastAsia="Arial" w:hAnsi="Arial"/>
                <w:sz w:val="18"/>
                <w:szCs w:val="18"/>
                <w:color w:val="auto"/>
                <w:w w:val="88"/>
              </w:rPr>
              <w:t>F-2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80" w:type="dxa"/>
            <w:vAlign w:val="bottom"/>
          </w:tcPr>
          <w:p>
            <w:pPr>
              <w:ind w:left="60"/>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Consolidated Balance Sheets</w:t>
              </w:r>
            </w:hyperlink>
          </w:p>
        </w:tc>
        <w:tc>
          <w:tcPr>
            <w:tcW w:w="700" w:type="dxa"/>
            <w:vAlign w:val="bottom"/>
          </w:tcPr>
          <w:p>
            <w:pPr>
              <w:ind w:left="440"/>
              <w:spacing w:after="0"/>
              <w:rPr>
                <w:sz w:val="20"/>
                <w:szCs w:val="20"/>
                <w:color w:val="auto"/>
              </w:rPr>
            </w:pPr>
            <w:r>
              <w:rPr>
                <w:rFonts w:ascii="Arial" w:cs="Arial" w:eastAsia="Arial" w:hAnsi="Arial"/>
                <w:sz w:val="18"/>
                <w:szCs w:val="18"/>
                <w:color w:val="auto"/>
                <w:w w:val="88"/>
              </w:rPr>
              <w:t>F-3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tcPr>
          <w:p>
            <w:pPr>
              <w:ind w:left="6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Consolidated Statements of Operations and Comprehensive Loss</w:t>
              </w:r>
            </w:hyperlink>
          </w:p>
        </w:tc>
        <w:tc>
          <w:tcPr>
            <w:tcW w:w="700" w:type="dxa"/>
            <w:vAlign w:val="bottom"/>
          </w:tcPr>
          <w:p>
            <w:pPr>
              <w:ind w:left="440"/>
              <w:spacing w:after="0"/>
              <w:rPr>
                <w:sz w:val="20"/>
                <w:szCs w:val="20"/>
                <w:color w:val="auto"/>
              </w:rPr>
            </w:pPr>
            <w:r>
              <w:rPr>
                <w:rFonts w:ascii="Arial" w:cs="Arial" w:eastAsia="Arial" w:hAnsi="Arial"/>
                <w:sz w:val="18"/>
                <w:szCs w:val="18"/>
                <w:color w:val="auto"/>
                <w:w w:val="88"/>
              </w:rPr>
              <w:t>F-4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tcPr>
          <w:p>
            <w:pPr>
              <w:ind w:left="6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Consolidated Statements of Convertible Preferred Stock and Stockholders’ Equity (Deficit)</w:t>
              </w:r>
            </w:hyperlink>
          </w:p>
        </w:tc>
        <w:tc>
          <w:tcPr>
            <w:tcW w:w="700" w:type="dxa"/>
            <w:vAlign w:val="bottom"/>
          </w:tcPr>
          <w:p>
            <w:pPr>
              <w:ind w:left="440"/>
              <w:spacing w:after="0"/>
              <w:rPr>
                <w:sz w:val="20"/>
                <w:szCs w:val="20"/>
                <w:color w:val="auto"/>
              </w:rPr>
            </w:pPr>
            <w:r>
              <w:rPr>
                <w:rFonts w:ascii="Arial" w:cs="Arial" w:eastAsia="Arial" w:hAnsi="Arial"/>
                <w:sz w:val="18"/>
                <w:szCs w:val="18"/>
                <w:color w:val="auto"/>
                <w:w w:val="88"/>
              </w:rPr>
              <w:t>F-5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tcPr>
          <w:p>
            <w:pPr>
              <w:ind w:left="6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Consolidated Statements of Cash Flows</w:t>
              </w:r>
            </w:hyperlink>
          </w:p>
        </w:tc>
        <w:tc>
          <w:tcPr>
            <w:tcW w:w="700" w:type="dxa"/>
            <w:vAlign w:val="bottom"/>
          </w:tcPr>
          <w:p>
            <w:pPr>
              <w:ind w:left="440"/>
              <w:spacing w:after="0"/>
              <w:rPr>
                <w:sz w:val="20"/>
                <w:szCs w:val="20"/>
                <w:color w:val="auto"/>
              </w:rPr>
            </w:pPr>
            <w:r>
              <w:rPr>
                <w:rFonts w:ascii="Arial" w:cs="Arial" w:eastAsia="Arial" w:hAnsi="Arial"/>
                <w:sz w:val="18"/>
                <w:szCs w:val="18"/>
                <w:color w:val="auto"/>
                <w:w w:val="88"/>
              </w:rPr>
              <w:t>F-6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80" w:type="dxa"/>
            <w:vAlign w:val="bottom"/>
          </w:tcPr>
          <w:p>
            <w:pPr>
              <w:ind w:left="6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Notes to Consolidated Financial Statements</w:t>
              </w:r>
            </w:hyperlink>
          </w:p>
        </w:tc>
        <w:tc>
          <w:tcPr>
            <w:tcW w:w="700" w:type="dxa"/>
            <w:vAlign w:val="bottom"/>
          </w:tcPr>
          <w:p>
            <w:pPr>
              <w:ind w:left="440"/>
              <w:spacing w:after="0"/>
              <w:rPr>
                <w:sz w:val="20"/>
                <w:szCs w:val="20"/>
                <w:color w:val="auto"/>
              </w:rPr>
            </w:pPr>
            <w:r>
              <w:rPr>
                <w:rFonts w:ascii="Arial" w:cs="Arial" w:eastAsia="Arial" w:hAnsi="Arial"/>
                <w:sz w:val="18"/>
                <w:szCs w:val="18"/>
                <w:color w:val="auto"/>
                <w:w w:val="88"/>
              </w:rPr>
              <w:t>F-7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80" w:type="dxa"/>
            <w:vAlign w:val="bottom"/>
          </w:tcPr>
          <w:p>
            <w:pPr>
              <w:ind w:left="5500"/>
              <w:spacing w:after="0"/>
              <w:rPr>
                <w:sz w:val="20"/>
                <w:szCs w:val="20"/>
                <w:color w:val="auto"/>
              </w:rPr>
            </w:pPr>
            <w:r>
              <w:rPr>
                <w:rFonts w:ascii="Arial" w:cs="Arial" w:eastAsia="Arial" w:hAnsi="Arial"/>
                <w:sz w:val="18"/>
                <w:szCs w:val="18"/>
                <w:color w:val="auto"/>
              </w:rPr>
              <w:t>F-1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4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30" w:name="page131"/>
    <w:bookmarkEnd w:id="130"/>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Fulcrum Therapeutics,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have audited the accompanying consolidated balance sheets of Fulcrum Therapeutics, Inc. (the Company) as of December 31, 2020 and 2019, the related consolidated statements of operations and comprehensive loss,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55,862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119,510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100,083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129,577</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110,439</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lease incentive, current portion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 current portion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Deferred rent, excluding current portion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incentive, excluding current portion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Deferred revenue, excluding current portion</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6,011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 excluding current portion</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23,286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Preferred stock, $0.001 par value; 5,000,000 shares authorized; no shares issued or outstanding</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tcPr>
          <w:p>
            <w:pPr>
              <w:ind w:left="260"/>
              <w:spacing w:after="0"/>
              <w:rPr>
                <w:sz w:val="20"/>
                <w:szCs w:val="20"/>
                <w:color w:val="auto"/>
              </w:rPr>
            </w:pPr>
            <w:r>
              <w:rPr>
                <w:rFonts w:ascii="Arial" w:cs="Arial" w:eastAsia="Arial" w:hAnsi="Arial"/>
                <w:sz w:val="18"/>
                <w:szCs w:val="18"/>
                <w:color w:val="auto"/>
                <w:w w:val="92"/>
              </w:rPr>
              <w:t>Common stock, $0.001 par value; 200,000,000 shares authorized; 28,067,402 and 23,335,514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260"/>
              <w:spacing w:after="0"/>
              <w:rPr>
                <w:sz w:val="20"/>
                <w:szCs w:val="20"/>
                <w:color w:val="auto"/>
              </w:rPr>
            </w:pPr>
            <w:r>
              <w:rPr>
                <w:rFonts w:ascii="Arial" w:cs="Arial" w:eastAsia="Arial" w:hAnsi="Arial"/>
                <w:sz w:val="18"/>
                <w:szCs w:val="18"/>
                <w:color w:val="auto"/>
                <w:w w:val="94"/>
              </w:rPr>
              <w:t>issued as of December 31, 2020 and December 31, 2019, respectively; 27,941,566 and 22,654,444</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shares outstanding as of December 31, 2020 and December 31, 2019,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 at cost; no shares as of December 31, 2020 and December 31, 2019</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316,775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237,931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(221,620)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(150,801)</w:t>
            </w:r>
          </w:p>
        </w:tc>
      </w:tr>
      <w:tr>
        <w:trPr>
          <w:trHeight w:val="223"/>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95,181</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110,439</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61"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Year Ended</w:t>
      </w:r>
    </w:p>
    <w:p>
      <w:pPr>
        <w:jc w:val="center"/>
        <w:ind w:left="76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59,042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9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(71,611)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(70,819)</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(82,677)</w:t>
            </w:r>
          </w:p>
        </w:tc>
        <w:tc>
          <w:tcPr>
            <w:tcW w:w="0" w:type="dxa"/>
            <w:vAlign w:val="bottom"/>
          </w:tcPr>
          <w:p>
            <w:pPr>
              <w:spacing w:after="0"/>
              <w:rPr>
                <w:sz w:val="1"/>
                <w:szCs w:val="1"/>
                <w:color w:val="auto"/>
              </w:rPr>
            </w:pPr>
          </w:p>
        </w:tc>
      </w:tr>
      <w:tr>
        <w:trPr>
          <w:trHeight w:val="210"/>
        </w:trPr>
        <w:tc>
          <w:tcPr>
            <w:tcW w:w="7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Cumulative convertible preferred stock dividends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(70,819)</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(89,805)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Weighted average number of common shares used in net loss per share attributable to common</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stockholders, basic and diluted</w:t>
            </w:r>
          </w:p>
        </w:tc>
        <w:tc>
          <w:tcPr>
            <w:tcW w:w="9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25,354</w:t>
            </w:r>
          </w:p>
        </w:tc>
        <w:tc>
          <w:tcPr>
            <w:tcW w:w="16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Comprehensive loss: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(70,819)</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(82,677)</w:t>
            </w:r>
          </w:p>
        </w:tc>
        <w:tc>
          <w:tcPr>
            <w:tcW w:w="0" w:type="dxa"/>
            <w:vAlign w:val="bottom"/>
          </w:tcPr>
          <w:p>
            <w:pPr>
              <w:spacing w:after="0"/>
              <w:rPr>
                <w:sz w:val="1"/>
                <w:szCs w:val="1"/>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marketable securities</w:t>
            </w:r>
          </w:p>
        </w:tc>
        <w:tc>
          <w:tcPr>
            <w:tcW w:w="9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380"/>
              <w:spacing w:after="0"/>
              <w:rPr>
                <w:sz w:val="20"/>
                <w:szCs w:val="20"/>
                <w:color w:val="auto"/>
              </w:rPr>
            </w:pPr>
            <w:r>
              <w:rPr>
                <w:rFonts w:ascii="Arial" w:cs="Arial" w:eastAsia="Arial" w:hAnsi="Arial"/>
                <w:sz w:val="18"/>
                <w:szCs w:val="18"/>
                <w:color w:val="auto"/>
              </w:rPr>
              <w:t>Total other comprehensive loss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940" w:type="dxa"/>
            <w:vAlign w:val="bottom"/>
            <w:tcBorders>
              <w:top w:val="single" w:sz="8" w:color="auto"/>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(70,821)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58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Series A Convertible</w:t>
            </w:r>
          </w:p>
        </w:tc>
        <w:tc>
          <w:tcPr>
            <w:tcW w:w="1660" w:type="dxa"/>
            <w:vAlign w:val="bottom"/>
            <w:tcBorders>
              <w:right w:val="single" w:sz="8" w:color="auto"/>
            </w:tcBorders>
            <w:gridSpan w:val="6"/>
          </w:tcPr>
          <w:p>
            <w:pPr>
              <w:jc w:val="right"/>
              <w:ind w:right="320"/>
              <w:spacing w:after="0"/>
              <w:rPr>
                <w:sz w:val="20"/>
                <w:szCs w:val="20"/>
                <w:color w:val="auto"/>
              </w:rPr>
            </w:pPr>
            <w:r>
              <w:rPr>
                <w:rFonts w:ascii="Arial" w:cs="Arial" w:eastAsia="Arial" w:hAnsi="Arial"/>
                <w:sz w:val="13"/>
                <w:szCs w:val="13"/>
                <w:b w:val="1"/>
                <w:bCs w:val="1"/>
                <w:color w:val="auto"/>
              </w:rPr>
              <w:t>Series B Convertible</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other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3"/>
                <w:szCs w:val="13"/>
                <w:b w:val="1"/>
                <w:bCs w:val="1"/>
                <w:color w:val="auto"/>
              </w:rPr>
              <w:t>Preferred Stock</w:t>
            </w:r>
          </w:p>
        </w:tc>
        <w:tc>
          <w:tcPr>
            <w:tcW w:w="140" w:type="dxa"/>
            <w:vAlign w:val="bottom"/>
          </w:tcPr>
          <w:p>
            <w:pPr>
              <w:spacing w:after="0"/>
              <w:rPr>
                <w:sz w:val="14"/>
                <w:szCs w:val="14"/>
                <w:color w:val="auto"/>
              </w:rPr>
            </w:pPr>
          </w:p>
        </w:tc>
        <w:tc>
          <w:tcPr>
            <w:tcW w:w="150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3"/>
                <w:szCs w:val="13"/>
                <w:b w:val="1"/>
                <w:bCs w:val="1"/>
                <w:color w:val="auto"/>
              </w:rPr>
              <w:t>Preferred Stock</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96"/>
              </w:rPr>
              <w:t>Common Stock</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w w:val="93"/>
              </w:rPr>
              <w:t>Treasury Stock</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b w:val="1"/>
                <w:bCs w:val="1"/>
                <w:color w:val="auto"/>
                <w:w w:val="96"/>
              </w:rPr>
              <w:t>Paid-In</w:t>
            </w:r>
          </w:p>
        </w:tc>
        <w:tc>
          <w:tcPr>
            <w:tcW w:w="1120" w:type="dxa"/>
            <w:vAlign w:val="bottom"/>
            <w:gridSpan w:val="4"/>
          </w:tcPr>
          <w:p>
            <w:pPr>
              <w:ind w:left="160"/>
              <w:spacing w:after="0"/>
              <w:rPr>
                <w:sz w:val="20"/>
                <w:szCs w:val="20"/>
                <w:color w:val="auto"/>
              </w:rPr>
            </w:pPr>
            <w:r>
              <w:rPr>
                <w:rFonts w:ascii="Arial" w:cs="Arial" w:eastAsia="Arial" w:hAnsi="Arial"/>
                <w:sz w:val="13"/>
                <w:szCs w:val="13"/>
                <w:b w:val="1"/>
                <w:bCs w:val="1"/>
                <w:color w:val="auto"/>
                <w:w w:val="98"/>
              </w:rPr>
              <w:t>comprehensive</w:t>
            </w: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76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700" w:type="dxa"/>
            <w:vAlign w:val="bottom"/>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540" w:type="dxa"/>
            <w:vAlign w:val="bottom"/>
          </w:tcPr>
          <w:p>
            <w:pPr>
              <w:jc w:val="right"/>
              <w:ind w:right="33"/>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6"/>
              </w:rPr>
              <w:t>loss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(Deficit)</w:t>
            </w:r>
          </w:p>
        </w:tc>
        <w:tc>
          <w:tcPr>
            <w:tcW w:w="0" w:type="dxa"/>
            <w:vAlign w:val="bottom"/>
          </w:tcPr>
          <w:p>
            <w:pPr>
              <w:spacing w:after="0"/>
              <w:rPr>
                <w:sz w:val="1"/>
                <w:szCs w:val="1"/>
                <w:color w:val="auto"/>
              </w:rPr>
            </w:pPr>
          </w:p>
        </w:tc>
      </w:tr>
      <w:tr>
        <w:trPr>
          <w:trHeight w:val="145"/>
        </w:trPr>
        <w:tc>
          <w:tcPr>
            <w:tcW w:w="14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Balance at December</w:t>
            </w:r>
          </w:p>
        </w:tc>
        <w:tc>
          <w:tcPr>
            <w:tcW w:w="7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spacing w:after="0"/>
              <w:rPr>
                <w:sz w:val="20"/>
                <w:szCs w:val="20"/>
                <w:color w:val="auto"/>
              </w:rPr>
            </w:pPr>
            <w:r>
              <w:rPr>
                <w:rFonts w:ascii="Arial" w:cs="Arial" w:eastAsia="Arial" w:hAnsi="Arial"/>
                <w:sz w:val="13"/>
                <w:szCs w:val="13"/>
                <w:color w:val="auto"/>
              </w:rPr>
              <w:t>31, 2018</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60,000,000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59,909</w:t>
            </w: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40,000,000</w:t>
            </w:r>
          </w:p>
        </w:tc>
        <w:tc>
          <w:tcPr>
            <w:tcW w:w="10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79,761</w:t>
            </w: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1,587,953</w:t>
            </w: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67,024</w:t>
            </w:r>
          </w:p>
        </w:tc>
        <w:tc>
          <w:tcPr>
            <w:tcW w:w="100" w:type="dxa"/>
            <w:vAlign w:val="bottom"/>
            <w:shd w:val="clear" w:color="auto" w:fill="CFF0FC"/>
          </w:tcPr>
          <w:p>
            <w:pPr>
              <w:spacing w:after="0"/>
              <w:rPr>
                <w:sz w:val="13"/>
                <w:szCs w:val="13"/>
                <w:color w:val="auto"/>
              </w:rPr>
            </w:pP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4,452</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(68,124)</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(63,670)</w:t>
            </w:r>
          </w:p>
        </w:tc>
        <w:tc>
          <w:tcPr>
            <w:tcW w:w="0" w:type="dxa"/>
            <w:vAlign w:val="bottom"/>
          </w:tcPr>
          <w:p>
            <w:pPr>
              <w:spacing w:after="0"/>
              <w:rPr>
                <w:sz w:val="1"/>
                <w:szCs w:val="1"/>
                <w:color w:val="auto"/>
              </w:rPr>
            </w:pPr>
          </w:p>
        </w:tc>
      </w:tr>
      <w:tr>
        <w:trPr>
          <w:trHeight w:val="151"/>
        </w:trPr>
        <w:tc>
          <w:tcPr>
            <w:tcW w:w="1420" w:type="dxa"/>
            <w:vAlign w:val="bottom"/>
          </w:tcPr>
          <w:p>
            <w:pPr>
              <w:ind w:left="260"/>
              <w:spacing w:after="0"/>
              <w:rPr>
                <w:sz w:val="20"/>
                <w:szCs w:val="20"/>
                <w:color w:val="auto"/>
              </w:rPr>
            </w:pPr>
            <w:r>
              <w:rPr>
                <w:rFonts w:ascii="Arial" w:cs="Arial" w:eastAsia="Arial" w:hAnsi="Arial"/>
                <w:sz w:val="13"/>
                <w:szCs w:val="13"/>
                <w:color w:val="auto"/>
              </w:rPr>
              <w:t>Issuance of Series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B convertible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60"/>
              <w:spacing w:after="0"/>
              <w:rPr>
                <w:sz w:val="20"/>
                <w:szCs w:val="20"/>
                <w:color w:val="auto"/>
              </w:rPr>
            </w:pPr>
            <w:r>
              <w:rPr>
                <w:rFonts w:ascii="Arial" w:cs="Arial" w:eastAsia="Arial" w:hAnsi="Arial"/>
                <w:sz w:val="13"/>
                <w:szCs w:val="13"/>
                <w:color w:val="auto"/>
              </w:rPr>
              <w:t>preferred stock in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connection with</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asset acquisition,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net of issuance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costs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12,500,000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25,466</w:t>
            </w: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Conversion of</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convertible</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preferred stock into</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stock</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(60,000,000)</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w w:val="94"/>
              </w:rPr>
              <w:t>(59,909)</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(52,500,000)</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w w:val="93"/>
              </w:rPr>
              <w:t>(105,227)</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16,071,418</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165,120</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165,136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tcPr>
          <w:p>
            <w:pPr>
              <w:ind w:left="260"/>
              <w:spacing w:after="0"/>
              <w:rPr>
                <w:sz w:val="20"/>
                <w:szCs w:val="20"/>
                <w:color w:val="auto"/>
              </w:rPr>
            </w:pPr>
            <w:r>
              <w:rPr>
                <w:rFonts w:ascii="Arial" w:cs="Arial" w:eastAsia="Arial" w:hAnsi="Arial"/>
                <w:sz w:val="13"/>
                <w:szCs w:val="13"/>
                <w:color w:val="auto"/>
              </w:rPr>
              <w:t>Initial public</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offering, net of</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underwriting</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discounts,</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commissions and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offering costs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4,500,000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63,867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63,872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stock</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under employee</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benefit plans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33,782</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tcPr>
          <w:p>
            <w:pPr>
              <w:ind w:left="260"/>
              <w:spacing w:after="0"/>
              <w:rPr>
                <w:sz w:val="20"/>
                <w:szCs w:val="20"/>
                <w:color w:val="auto"/>
              </w:rPr>
            </w:pPr>
            <w:r>
              <w:rPr>
                <w:rFonts w:ascii="Arial" w:cs="Arial" w:eastAsia="Arial" w:hAnsi="Arial"/>
                <w:sz w:val="13"/>
                <w:szCs w:val="13"/>
                <w:color w:val="auto"/>
                <w:w w:val="99"/>
              </w:rPr>
              <w:t>Vesting of restricted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stock awards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461,291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unvested restricted</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awards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61,450</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420" w:type="dxa"/>
            <w:vAlign w:val="bottom"/>
          </w:tcPr>
          <w:p>
            <w:pPr>
              <w:ind w:left="260"/>
              <w:spacing w:after="0"/>
              <w:rPr>
                <w:sz w:val="20"/>
                <w:szCs w:val="20"/>
                <w:color w:val="auto"/>
              </w:rPr>
            </w:pPr>
            <w:r>
              <w:rPr>
                <w:rFonts w:ascii="Arial" w:cs="Arial" w:eastAsia="Arial" w:hAnsi="Arial"/>
                <w:sz w:val="13"/>
                <w:szCs w:val="13"/>
                <w:color w:val="auto"/>
              </w:rPr>
              <w:t>Retirement of</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treasury shares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(128,474)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compensation</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expense</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4,224</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(82,677)</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(82,677)</w:t>
            </w:r>
          </w:p>
        </w:tc>
        <w:tc>
          <w:tcPr>
            <w:tcW w:w="0" w:type="dxa"/>
            <w:vAlign w:val="bottom"/>
          </w:tcPr>
          <w:p>
            <w:pPr>
              <w:spacing w:after="0"/>
              <w:rPr>
                <w:sz w:val="1"/>
                <w:szCs w:val="1"/>
                <w:color w:val="auto"/>
              </w:rPr>
            </w:pPr>
          </w:p>
        </w:tc>
      </w:tr>
      <w:tr>
        <w:trPr>
          <w:trHeight w:val="145"/>
        </w:trPr>
        <w:tc>
          <w:tcPr>
            <w:tcW w:w="14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Balance at December</w:t>
            </w:r>
          </w:p>
        </w:tc>
        <w:tc>
          <w:tcPr>
            <w:tcW w:w="7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spacing w:after="0"/>
              <w:rPr>
                <w:sz w:val="20"/>
                <w:szCs w:val="20"/>
                <w:color w:val="auto"/>
              </w:rPr>
            </w:pPr>
            <w:r>
              <w:rPr>
                <w:rFonts w:ascii="Arial" w:cs="Arial" w:eastAsia="Arial" w:hAnsi="Arial"/>
                <w:sz w:val="13"/>
                <w:szCs w:val="13"/>
                <w:color w:val="auto"/>
              </w:rPr>
              <w:t>31, 2019</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22,654,444</w:t>
            </w: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237,931</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(150,801)</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87,153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3"/>
                <w:szCs w:val="13"/>
                <w:color w:val="auto"/>
              </w:rPr>
              <w:t>Issuance of</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4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common stock in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connection with</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60"/>
              <w:spacing w:after="0"/>
              <w:rPr>
                <w:sz w:val="20"/>
                <w:szCs w:val="20"/>
                <w:color w:val="auto"/>
              </w:rPr>
            </w:pPr>
            <w:r>
              <w:rPr>
                <w:rFonts w:ascii="Arial" w:cs="Arial" w:eastAsia="Arial" w:hAnsi="Arial"/>
                <w:sz w:val="13"/>
                <w:szCs w:val="13"/>
                <w:color w:val="auto"/>
              </w:rPr>
              <w:t>private placement,</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net of issuance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costs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4,029,411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1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64,314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64,318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stock in</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“at-the-market”</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offering, net of</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costs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550,000</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5,735</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tcPr>
          <w:p>
            <w:pPr>
              <w:ind w:left="260"/>
              <w:spacing w:after="0"/>
              <w:rPr>
                <w:sz w:val="20"/>
                <w:szCs w:val="20"/>
                <w:color w:val="auto"/>
              </w:rPr>
            </w:pPr>
            <w:r>
              <w:rPr>
                <w:rFonts w:ascii="Arial" w:cs="Arial" w:eastAsia="Arial" w:hAnsi="Arial"/>
                <w:sz w:val="13"/>
                <w:szCs w:val="13"/>
                <w:color w:val="auto"/>
              </w:rPr>
              <w:t>Issuance of</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common stock</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under employee</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benefit plans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182,359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9"/>
              </w:rPr>
              <w:t>Vesting of restricted</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awards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525,352</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tcPr>
          <w:p>
            <w:pPr>
              <w:ind w:left="260"/>
              <w:spacing w:after="0"/>
              <w:rPr>
                <w:sz w:val="20"/>
                <w:szCs w:val="20"/>
                <w:color w:val="auto"/>
              </w:rPr>
            </w:pPr>
            <w:r>
              <w:rPr>
                <w:rFonts w:ascii="Arial" w:cs="Arial" w:eastAsia="Arial" w:hAnsi="Arial"/>
                <w:sz w:val="13"/>
                <w:szCs w:val="13"/>
                <w:color w:val="auto"/>
              </w:rPr>
              <w:t>Repurchase of</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260"/>
              <w:spacing w:after="0"/>
              <w:rPr>
                <w:sz w:val="20"/>
                <w:szCs w:val="20"/>
                <w:color w:val="auto"/>
              </w:rPr>
            </w:pPr>
            <w:r>
              <w:rPr>
                <w:rFonts w:ascii="Arial" w:cs="Arial" w:eastAsia="Arial" w:hAnsi="Arial"/>
                <w:sz w:val="13"/>
                <w:szCs w:val="13"/>
                <w:color w:val="auto"/>
              </w:rPr>
              <w:t>unvested restricted</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stock awards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29,882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Retirement of</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treasury shares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(29,882)</w:t>
            </w: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420" w:type="dxa"/>
            <w:vAlign w:val="bottom"/>
          </w:tcPr>
          <w:p>
            <w:pPr>
              <w:ind w:left="260"/>
              <w:spacing w:after="0"/>
              <w:rPr>
                <w:sz w:val="20"/>
                <w:szCs w:val="20"/>
                <w:color w:val="auto"/>
              </w:rPr>
            </w:pPr>
            <w:r>
              <w:rPr>
                <w:rFonts w:ascii="Arial" w:cs="Arial" w:eastAsia="Arial" w:hAnsi="Arial"/>
                <w:sz w:val="13"/>
                <w:szCs w:val="13"/>
                <w:color w:val="auto"/>
              </w:rPr>
              <w:t>Stock-based</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260"/>
              <w:spacing w:after="0"/>
              <w:rPr>
                <w:sz w:val="20"/>
                <w:szCs w:val="20"/>
                <w:color w:val="auto"/>
              </w:rPr>
            </w:pPr>
            <w:r>
              <w:rPr>
                <w:rFonts w:ascii="Arial" w:cs="Arial" w:eastAsia="Arial" w:hAnsi="Arial"/>
                <w:sz w:val="13"/>
                <w:szCs w:val="13"/>
                <w:color w:val="auto"/>
              </w:rPr>
              <w:t>compensation</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tcPr>
          <w:p>
            <w:pPr>
              <w:ind w:left="260"/>
              <w:spacing w:after="0"/>
              <w:rPr>
                <w:sz w:val="20"/>
                <w:szCs w:val="20"/>
                <w:color w:val="auto"/>
              </w:rPr>
            </w:pPr>
            <w:r>
              <w:rPr>
                <w:rFonts w:ascii="Arial" w:cs="Arial" w:eastAsia="Arial" w:hAnsi="Arial"/>
                <w:sz w:val="13"/>
                <w:szCs w:val="13"/>
                <w:color w:val="auto"/>
              </w:rPr>
              <w:t>expense</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7,350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Unrealized loss on</w:t>
            </w:r>
          </w:p>
        </w:tc>
        <w:tc>
          <w:tcPr>
            <w:tcW w:w="7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6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marketable</w:t>
            </w:r>
          </w:p>
        </w:tc>
        <w:tc>
          <w:tcPr>
            <w:tcW w:w="7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6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securities</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w:t>
            </w:r>
          </w:p>
        </w:tc>
        <w:tc>
          <w:tcPr>
            <w:tcW w:w="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14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(70,819)</w:t>
            </w: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(70,819)</w:t>
            </w:r>
          </w:p>
        </w:tc>
        <w:tc>
          <w:tcPr>
            <w:tcW w:w="0" w:type="dxa"/>
            <w:vAlign w:val="bottom"/>
          </w:tcPr>
          <w:p>
            <w:pPr>
              <w:spacing w:after="0"/>
              <w:rPr>
                <w:sz w:val="1"/>
                <w:szCs w:val="1"/>
                <w:color w:val="auto"/>
              </w:rPr>
            </w:pPr>
          </w:p>
        </w:tc>
      </w:tr>
      <w:tr>
        <w:trPr>
          <w:trHeight w:val="145"/>
        </w:trPr>
        <w:tc>
          <w:tcPr>
            <w:tcW w:w="1420" w:type="dxa"/>
            <w:vAlign w:val="bottom"/>
            <w:tcBorders>
              <w:top w:val="single" w:sz="8" w:color="CFF0FC"/>
            </w:tcBorders>
            <w:shd w:val="clear" w:color="auto" w:fill="CFF0FC"/>
          </w:tcPr>
          <w:p>
            <w:pPr>
              <w:spacing w:after="0" w:line="145" w:lineRule="exact"/>
              <w:rPr>
                <w:sz w:val="20"/>
                <w:szCs w:val="20"/>
                <w:color w:val="auto"/>
              </w:rPr>
            </w:pPr>
            <w:r>
              <w:rPr>
                <w:rFonts w:ascii="Arial" w:cs="Arial" w:eastAsia="Arial" w:hAnsi="Arial"/>
                <w:sz w:val="13"/>
                <w:szCs w:val="13"/>
                <w:color w:val="auto"/>
              </w:rPr>
              <w:t>Balance at December</w:t>
            </w:r>
          </w:p>
        </w:tc>
        <w:tc>
          <w:tcPr>
            <w:tcW w:w="7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4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right w:val="single" w:sz="8" w:color="auto"/>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420" w:type="dxa"/>
            <w:vAlign w:val="bottom"/>
            <w:shd w:val="clear" w:color="auto" w:fill="CFF0FC"/>
          </w:tcPr>
          <w:p>
            <w:pPr>
              <w:spacing w:after="0"/>
              <w:rPr>
                <w:sz w:val="20"/>
                <w:szCs w:val="20"/>
                <w:color w:val="auto"/>
              </w:rPr>
            </w:pPr>
            <w:r>
              <w:rPr>
                <w:rFonts w:ascii="Arial" w:cs="Arial" w:eastAsia="Arial" w:hAnsi="Arial"/>
                <w:sz w:val="13"/>
                <w:szCs w:val="13"/>
                <w:color w:val="auto"/>
              </w:rPr>
              <w:t>31, 2020</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27,941,566</w:t>
            </w: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316,775</w:t>
            </w:r>
          </w:p>
        </w:tc>
        <w:tc>
          <w:tcPr>
            <w:tcW w:w="32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(221,620)</w:t>
            </w: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95,181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Year Ended</w:t>
      </w:r>
    </w:p>
    <w:p>
      <w:pPr>
        <w:jc w:val="center"/>
        <w:ind w:left="75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77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9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(70,819)</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(82,677)</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Depreciation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2,379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7,350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4,224</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In-process research and development expense</w:t>
            </w: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25,591</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amortization of premiums and discounts on marketable securities</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(68)</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receivable</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(2,000)</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Unbilled accounts receivable</w:t>
            </w:r>
          </w:p>
        </w:tc>
        <w:tc>
          <w:tcPr>
            <w:tcW w:w="9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(531)</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expenses and other current assets</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(697)</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(2,459)</w:t>
            </w: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9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(519)</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1,773</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Accrued expenses and other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1,976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2,949</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7,881</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Deferred rent and deferred lease incentive</w:t>
            </w:r>
          </w:p>
        </w:tc>
        <w:tc>
          <w:tcPr>
            <w:tcW w:w="9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(380)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4"/>
                <w:szCs w:val="14"/>
                <w:color w:val="auto"/>
              </w:rPr>
            </w:pPr>
          </w:p>
        </w:tc>
      </w:tr>
      <w:tr>
        <w:trPr>
          <w:trHeight w:val="155"/>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980" w:type="dxa"/>
            <w:vAlign w:val="bottom"/>
            <w:tcBorders>
              <w:top w:val="single" w:sz="8" w:color="auto"/>
            </w:tcBorders>
            <w:shd w:val="clear" w:color="auto" w:fill="CFF0FC"/>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(53,655)</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(39,483)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Purchases of marketable securities</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(124,270)</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Maturities of marketable securities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68,474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(1,342)</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(853)</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Transaction costs associated with asset acquisition</w:t>
            </w:r>
          </w:p>
        </w:tc>
        <w:tc>
          <w:tcPr>
            <w:tcW w:w="9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(91)</w:t>
            </w:r>
          </w:p>
        </w:tc>
      </w:tr>
      <w:tr>
        <w:trPr>
          <w:trHeight w:val="156"/>
        </w:trPr>
        <w:tc>
          <w:tcPr>
            <w:tcW w:w="77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9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(57,138)</w:t>
            </w:r>
          </w:p>
        </w:tc>
        <w:tc>
          <w:tcPr>
            <w:tcW w:w="28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(944)</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Payment of Series B convertible preferred stock issuance costs</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(34)</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Proceeds from initial public offering of common stock, net of underwriting discounts and commissions</w:t>
            </w:r>
          </w:p>
        </w:tc>
        <w:tc>
          <w:tcPr>
            <w:tcW w:w="9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(193)</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64,173</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 in connection with private placement, net of issuance costs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64,210</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Proceeds from issuance of common stock in connection with at-the-market offering, net of issuance costs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5,736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on capital lease obligations</w:t>
            </w:r>
          </w:p>
        </w:tc>
        <w:tc>
          <w:tcPr>
            <w:tcW w:w="9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(50)</w:t>
            </w: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(45)</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issuance of common stock under benefit plans, net</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1,429</w:t>
            </w:r>
          </w:p>
        </w:tc>
        <w:tc>
          <w:tcPr>
            <w:tcW w:w="2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FF0FC"/>
            </w:tcBorders>
          </w:tcPr>
          <w:p>
            <w:pPr>
              <w:spacing w:after="0"/>
              <w:rPr>
                <w:sz w:val="14"/>
                <w:szCs w:val="14"/>
                <w:color w:val="auto"/>
              </w:rPr>
            </w:pPr>
          </w:p>
        </w:tc>
      </w:tr>
      <w:tr>
        <w:trPr>
          <w:trHeight w:val="155"/>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auto"/>
            </w:tcBorders>
            <w:shd w:val="clear" w:color="auto" w:fill="CFF0FC"/>
          </w:tcPr>
          <w:p>
            <w:pPr>
              <w:spacing w:after="0"/>
              <w:rPr>
                <w:sz w:val="13"/>
                <w:szCs w:val="13"/>
                <w:color w:val="auto"/>
              </w:rPr>
            </w:pPr>
          </w:p>
        </w:tc>
        <w:tc>
          <w:tcPr>
            <w:tcW w:w="5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71,132</w:t>
            </w:r>
          </w:p>
        </w:tc>
        <w:tc>
          <w:tcPr>
            <w:tcW w:w="28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64,343</w:t>
            </w:r>
          </w:p>
        </w:tc>
        <w:tc>
          <w:tcPr>
            <w:tcW w:w="120" w:type="dxa"/>
            <w:vAlign w:val="bottom"/>
            <w:shd w:val="clear" w:color="auto" w:fill="CFF0FC"/>
          </w:tcPr>
          <w:p>
            <w:pPr>
              <w:spacing w:after="0"/>
              <w:rPr>
                <w:sz w:val="13"/>
                <w:szCs w:val="13"/>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(decrease) increase in cash, cash equivalents and restricted cash</w:t>
            </w:r>
          </w:p>
        </w:tc>
        <w:tc>
          <w:tcPr>
            <w:tcW w:w="9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(39,661)</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23,916</w:t>
            </w:r>
          </w:p>
        </w:tc>
        <w:tc>
          <w:tcPr>
            <w:tcW w:w="120" w:type="dxa"/>
            <w:vAlign w:val="bottom"/>
          </w:tcPr>
          <w:p>
            <w:pPr>
              <w:spacing w:after="0"/>
              <w:rPr>
                <w:sz w:val="13"/>
                <w:szCs w:val="13"/>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Cash, cash equivalents, and restricted cash, beginning of period</w:t>
            </w:r>
          </w:p>
        </w:tc>
        <w:tc>
          <w:tcPr>
            <w:tcW w:w="9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97,805</w:t>
            </w:r>
          </w:p>
        </w:tc>
        <w:tc>
          <w:tcPr>
            <w:tcW w:w="28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73,889</w:t>
            </w:r>
          </w:p>
        </w:tc>
        <w:tc>
          <w:tcPr>
            <w:tcW w:w="120" w:type="dxa"/>
            <w:vAlign w:val="bottom"/>
            <w:shd w:val="clear" w:color="auto" w:fill="CFF0FC"/>
          </w:tcPr>
          <w:p>
            <w:pPr>
              <w:spacing w:after="0"/>
              <w:rPr>
                <w:sz w:val="14"/>
                <w:szCs w:val="14"/>
                <w:color w:val="auto"/>
              </w:rPr>
            </w:pPr>
          </w:p>
        </w:tc>
      </w:tr>
      <w:tr>
        <w:trPr>
          <w:trHeight w:val="195"/>
        </w:trPr>
        <w:tc>
          <w:tcPr>
            <w:tcW w:w="77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cash equivalents, and restricted cash, end of period</w:t>
            </w:r>
          </w:p>
        </w:tc>
        <w:tc>
          <w:tcPr>
            <w:tcW w:w="98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58,144</w:t>
            </w:r>
          </w:p>
        </w:tc>
        <w:tc>
          <w:tcPr>
            <w:tcW w:w="28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97,805</w:t>
            </w:r>
          </w:p>
        </w:tc>
        <w:tc>
          <w:tcPr>
            <w:tcW w:w="120" w:type="dxa"/>
            <w:vAlign w:val="bottom"/>
            <w:tcBorders>
              <w:bottom w:val="single" w:sz="8" w:color="CFF0FC"/>
            </w:tcBorders>
          </w:tcPr>
          <w:p>
            <w:pPr>
              <w:spacing w:after="0"/>
              <w:rPr>
                <w:sz w:val="17"/>
                <w:szCs w:val="17"/>
                <w:color w:val="auto"/>
              </w:rPr>
            </w:pP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9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paid for interest</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Non-cash investing and financing activities:</w:t>
            </w:r>
          </w:p>
        </w:tc>
        <w:tc>
          <w:tcPr>
            <w:tcW w:w="9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Acquisition of in process research and development through issuance of stock</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25,500</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Conversion of convertible preferred stock into common stock</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165,136</w:t>
            </w:r>
          </w:p>
        </w:tc>
        <w:tc>
          <w:tcPr>
            <w:tcW w:w="120" w:type="dxa"/>
            <w:vAlign w:val="bottom"/>
            <w:shd w:val="clear" w:color="auto" w:fill="CFF0FC"/>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Property and equipment purchases unpaid at end of period</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262</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Public offering costs unpaid at end of period</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FF0FC"/>
          </w:tcPr>
          <w:p>
            <w:pPr>
              <w:spacing w:after="0"/>
              <w:rPr>
                <w:sz w:val="14"/>
                <w:szCs w:val="14"/>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57,052</w:t>
            </w:r>
          </w:p>
        </w:tc>
        <w:tc>
          <w:tcPr>
            <w:tcW w:w="2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96,713</w:t>
            </w:r>
          </w:p>
        </w:tc>
        <w:tc>
          <w:tcPr>
            <w:tcW w:w="120" w:type="dxa"/>
            <w:vAlign w:val="bottom"/>
            <w:shd w:val="clear" w:color="auto" w:fill="CFF0FC"/>
          </w:tcPr>
          <w:p>
            <w:pPr>
              <w:spacing w:after="0"/>
              <w:rPr>
                <w:sz w:val="13"/>
                <w:szCs w:val="13"/>
                <w:color w:val="auto"/>
              </w:rPr>
            </w:pP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w:t>
            </w:r>
          </w:p>
        </w:tc>
        <w:tc>
          <w:tcPr>
            <w:tcW w:w="120" w:type="dxa"/>
            <w:vAlign w:val="bottom"/>
            <w:tcBorders>
              <w:bottom w:val="single" w:sz="8" w:color="CFF0FC"/>
            </w:tcBorders>
          </w:tcPr>
          <w:p>
            <w:pPr>
              <w:spacing w:after="0"/>
              <w:rPr>
                <w:sz w:val="14"/>
                <w:szCs w:val="14"/>
                <w:color w:val="auto"/>
              </w:rPr>
            </w:pPr>
          </w:p>
        </w:tc>
      </w:tr>
      <w:tr>
        <w:trPr>
          <w:trHeight w:val="155"/>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cash, cash equivalents, and restricted cash</w:t>
            </w: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58,144</w:t>
            </w:r>
          </w:p>
        </w:tc>
        <w:tc>
          <w:tcPr>
            <w:tcW w:w="2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97,805</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5" w:name="page136"/>
    <w:bookmarkEnd w:id="135"/>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660" w:firstLine="546"/>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 defined rare diseases in areas of high unmet medical need.</w:t>
      </w:r>
    </w:p>
    <w:p>
      <w:pPr>
        <w:spacing w:after="0" w:line="170" w:lineRule="exact"/>
        <w:rPr>
          <w:sz w:val="20"/>
          <w:szCs w:val="20"/>
          <w:color w:val="auto"/>
        </w:rPr>
      </w:pPr>
    </w:p>
    <w:p>
      <w:pPr>
        <w:ind w:right="60" w:firstLine="546"/>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546"/>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117"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On July 22, 2019, the Company completed an initial public offering (“IPO”) of its common stock and issued and sold 4,500,000 shares of common stock at a public offering price of $16.00 per share, resulting in net proceeds of $63.9 million after deducting underwriting discounts and commissions and offering expenses. Upon the closing of the IPO, all 112,500,000 shares of outstanding preferred stock automatically converted into 16,071,418 shares of common stock.</w:t>
      </w:r>
    </w:p>
    <w:p>
      <w:pPr>
        <w:spacing w:after="0" w:line="18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On July 5, 2019, in connection with the IPO, the Company effected a one-for-seven reverse stock split of the Company’s issued and outstanding shares of common stock and a proportional adjustment to the existing conversion ratios for each of the Company’s outstanding series of preferred stock. All share and per share amounts in the accompanying consolidated financial statements and notes thereto for periods prior to the reverse stock split have been retroactively adjusted to give effect to this reverse stock split, including reclassifying an amount equal to the reduction in par value of common stock to additional paid-in capital.</w:t>
      </w:r>
    </w:p>
    <w:p>
      <w:pPr>
        <w:spacing w:after="0" w:line="188"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On June 9, 2020, the Company issued and sold 4,029,411 shares of common stock to investors in a private placement at a price of $17.00 per share, resulting in net proceeds of $64.3 million after deducting offering costs.</w:t>
      </w:r>
    </w:p>
    <w:p>
      <w:pPr>
        <w:spacing w:after="0" w:line="170" w:lineRule="exact"/>
        <w:rPr>
          <w:sz w:val="20"/>
          <w:szCs w:val="20"/>
          <w:color w:val="auto"/>
        </w:rPr>
      </w:pPr>
    </w:p>
    <w:p>
      <w:pPr>
        <w:ind w:right="140" w:firstLine="546"/>
        <w:spacing w:after="0" w:line="255" w:lineRule="auto"/>
        <w:rPr>
          <w:sz w:val="20"/>
          <w:szCs w:val="20"/>
          <w:color w:val="auto"/>
        </w:rPr>
      </w:pPr>
      <w:r>
        <w:rPr>
          <w:rFonts w:ascii="Arial" w:cs="Arial" w:eastAsia="Arial" w:hAnsi="Arial"/>
          <w:sz w:val="18"/>
          <w:szCs w:val="18"/>
          <w:color w:val="auto"/>
        </w:rPr>
        <w:t>On August 11, 2020, the Company entered into an Equity Distribution Agreement with Piper Sandler &amp; Co. (“Piper Sandler”), as sales agent, pursuant to which the Company may offer and sell shares of its common stock with an aggregate offering price of up to $75.0 million under an “at-the-market” offering program (the “ATM Offering”). The Equity Distribution Agreement provides that Piper Sandler will be entitled to a sales commission equal to 3.0% of the gross sales price per share of all shares sold under the ATM Offering. From the initiation of the ATM Offering through December 31, 2020, the Company has issued and sold 550,000 shares under the ATM Offering, resulting in aggregate net proceeds of $5.7 million after deducting issuance costs of $0.2 million.</w:t>
      </w:r>
    </w:p>
    <w:p>
      <w:pPr>
        <w:spacing w:after="0" w:line="192"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On January 22, 2021, the Company completed a public offering of its common stock and issued and sold 4,600,000 shares of common stock at a public offering price of $11.00 per share, resulting in net proceeds of $46.4 million after deducting underwriting discounts and commissions and estimated offering expenses.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00" w:firstLine="546"/>
        <w:spacing w:after="0" w:line="272" w:lineRule="auto"/>
        <w:rPr>
          <w:sz w:val="20"/>
          <w:szCs w:val="20"/>
          <w:color w:val="auto"/>
        </w:rPr>
      </w:pPr>
      <w:r>
        <w:rPr>
          <w:rFonts w:ascii="Arial" w:cs="Arial" w:eastAsia="Arial" w:hAnsi="Arial"/>
          <w:sz w:val="17"/>
          <w:szCs w:val="17"/>
          <w:color w:val="auto"/>
        </w:rPr>
        <w:t>The Company has incurred recurring losses and negative cash flows from operations since inception and has primarily funded its operations with proceeds from the sale of shares of common stock in public offerings, a private placement, and the ATM Offering, through issuances of convertible preferred stock, and from upfront payments received from the collaboration and license agreements with Acceleron Pharma Inc. (“Acceleron”) and MyoKardia, Inc. (“MyoKardia”), a wholly-owned subsidiary of Bristol Myers Squibb Company. As of December 31, 2020, the Company had an accumulated deficit of $221.6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77"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As of the date of issuance of these financial statements, the Company expects that its cash, cash equivalents, and marketable securities, together with the net proceeds from the sale of its common stock in a public offering on January 22, 2021 of $46.4 million,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the fair value of the Company’s common stock and convertible preferred stock prior to the completion of the IPO,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Cash equivalents are highly liquid investments that are readily convertible into cash with original maturities of three months or less when purchased. These assets include investments in money market funds that invest in U.S. Treasury obligations. The Company maintains its bank accounts at major financial institutions.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cash represents the cash held to secure a letter of credit associated with the Company’s facility lease.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40" w:firstLine="546"/>
        <w:spacing w:after="0" w:line="257" w:lineRule="auto"/>
        <w:rPr>
          <w:sz w:val="20"/>
          <w:szCs w:val="20"/>
          <w:color w:val="auto"/>
        </w:rPr>
      </w:pPr>
      <w:r>
        <w:rPr>
          <w:rFonts w:ascii="Arial" w:cs="Arial" w:eastAsia="Arial" w:hAnsi="Arial"/>
          <w:sz w:val="18"/>
          <w:szCs w:val="18"/>
          <w:color w:val="auto"/>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37" w:name="page138"/>
    <w:bookmarkEnd w:id="137"/>
    <w:p>
      <w:pPr>
        <w:ind w:right="220"/>
        <w:spacing w:after="0" w:line="277" w:lineRule="auto"/>
        <w:rPr>
          <w:sz w:val="20"/>
          <w:szCs w:val="20"/>
          <w:color w:val="auto"/>
        </w:rPr>
      </w:pPr>
      <w:r>
        <w:rPr>
          <w:rFonts w:ascii="Arial" w:cs="Arial" w:eastAsia="Arial" w:hAnsi="Arial"/>
          <w:sz w:val="18"/>
          <w:szCs w:val="18"/>
          <w:color w:val="auto"/>
        </w:rPr>
        <w:t>market participants would price assets and liabilities). The following fair value hierarchy is used to classify assets and liabilities based on the observable inputs and unobservable inputs used in order to value the assets and liabilities:</w:t>
      </w:r>
    </w:p>
    <w:p>
      <w:pPr>
        <w:spacing w:after="0" w:line="62"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2"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70"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Company’s cash equivalents and marketable securities are carried at fair value and are classified according to the fair value hierarchy described above (Note 3). The cash equivalents and marketable securities are initially valued at the transaction price, and subsequently revalued at the end of each reporting period, utilizing third-party pricing services. The pricing services utilize industry standard valuation models, including both income and market-based approaches, to determine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40" w:firstLine="620"/>
        <w:spacing w:after="0" w:line="311" w:lineRule="auto"/>
        <w:rPr>
          <w:sz w:val="20"/>
          <w:szCs w:val="20"/>
          <w:color w:val="auto"/>
        </w:rPr>
      </w:pPr>
      <w:r>
        <w:rPr>
          <w:rFonts w:ascii="Arial" w:cs="Arial" w:eastAsia="Arial" w:hAnsi="Arial"/>
          <w:sz w:val="16"/>
          <w:szCs w:val="16"/>
          <w:color w:val="auto"/>
        </w:rPr>
        <w:t>The Company classifies securities with a remaining maturity when purchased of greater than three months as marketable securities. As of December 31, 2020, the Company’s marketable securities consisted of investments in corporate bonds and commercial paper. Marketable securities are classified as current assets on the consolidated balance sheets if the marketable securities are available to be converted into cash to fund current operations.</w:t>
      </w:r>
    </w:p>
    <w:p>
      <w:pPr>
        <w:spacing w:after="0" w:line="149" w:lineRule="exact"/>
        <w:rPr>
          <w:sz w:val="20"/>
          <w:szCs w:val="20"/>
          <w:color w:val="auto"/>
        </w:rPr>
      </w:pPr>
    </w:p>
    <w:p>
      <w:pPr>
        <w:ind w:firstLine="620"/>
        <w:spacing w:after="0" w:line="257" w:lineRule="auto"/>
        <w:rPr>
          <w:sz w:val="20"/>
          <w:szCs w:val="20"/>
          <w:color w:val="auto"/>
        </w:rPr>
      </w:pPr>
      <w:r>
        <w:rPr>
          <w:rFonts w:ascii="Arial" w:cs="Arial" w:eastAsia="Arial" w:hAnsi="Arial"/>
          <w:sz w:val="18"/>
          <w:szCs w:val="18"/>
          <w:color w:val="auto"/>
        </w:rPr>
        <w:t>Marketable securities are carried at fair value with the unrealized gains and losses included in accumulated other comprehensive loss, which is a component of stockholders’ equity, until such gains and losses are realized. Any premium arising at purchase is amortized to interest expense (a component of other income, net) over the period of the earliest call date, and any discount arising at purchase is accreted to interest income (a component of other income, net) over the life of the instrument. Realized gains and losses are determined using the specific identification method and are included in other income, net.</w:t>
      </w:r>
    </w:p>
    <w:p>
      <w:pPr>
        <w:spacing w:after="0" w:line="188" w:lineRule="exact"/>
        <w:rPr>
          <w:sz w:val="20"/>
          <w:szCs w:val="20"/>
          <w:color w:val="auto"/>
        </w:rPr>
      </w:pPr>
    </w:p>
    <w:p>
      <w:pPr>
        <w:ind w:right="80" w:firstLine="620"/>
        <w:spacing w:after="0" w:line="263"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right="20" w:firstLine="546"/>
        <w:spacing w:after="0" w:line="342" w:lineRule="auto"/>
        <w:rPr>
          <w:sz w:val="20"/>
          <w:szCs w:val="20"/>
          <w:color w:val="auto"/>
        </w:rPr>
      </w:pPr>
      <w:r>
        <w:rPr>
          <w:rFonts w:ascii="Arial" w:cs="Arial" w:eastAsia="Arial" w:hAnsi="Arial"/>
          <w:sz w:val="16"/>
          <w:szCs w:val="16"/>
          <w:color w:val="auto"/>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20" w:type="dxa"/>
            <w:vAlign w:val="bottom"/>
          </w:tcPr>
          <w:p>
            <w:pPr>
              <w:jc w:val="center"/>
              <w:ind w:left="33"/>
              <w:spacing w:after="0"/>
              <w:rPr>
                <w:sz w:val="20"/>
                <w:szCs w:val="20"/>
                <w:color w:val="auto"/>
              </w:rPr>
            </w:pPr>
            <w:r>
              <w:rPr>
                <w:rFonts w:ascii="Arial" w:cs="Arial" w:eastAsia="Arial" w:hAnsi="Arial"/>
                <w:sz w:val="14"/>
                <w:szCs w:val="14"/>
                <w:b w:val="1"/>
                <w:bCs w:val="1"/>
                <w:color w:val="auto"/>
                <w:w w:val="93"/>
              </w:rPr>
              <w:t>Estimated Useful Life (in years)</w:t>
            </w:r>
          </w:p>
        </w:tc>
      </w:tr>
      <w:tr>
        <w:trPr>
          <w:trHeight w:val="25"/>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51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5120" w:type="dxa"/>
            <w:vAlign w:val="bottom"/>
          </w:tcPr>
          <w:p>
            <w:pPr>
              <w:jc w:val="center"/>
              <w:ind w:left="33"/>
              <w:spacing w:after="0"/>
              <w:rPr>
                <w:sz w:val="20"/>
                <w:szCs w:val="20"/>
                <w:color w:val="auto"/>
              </w:rPr>
            </w:pPr>
            <w:r>
              <w:rPr>
                <w:rFonts w:ascii="Arial" w:cs="Arial" w:eastAsia="Arial" w:hAnsi="Arial"/>
                <w:sz w:val="18"/>
                <w:szCs w:val="18"/>
                <w:color w:val="auto"/>
                <w:w w:val="79"/>
              </w:rPr>
              <w:t>4</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51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Software</w:t>
            </w:r>
          </w:p>
        </w:tc>
        <w:tc>
          <w:tcPr>
            <w:tcW w:w="5120" w:type="dxa"/>
            <w:vAlign w:val="bottom"/>
          </w:tcPr>
          <w:p>
            <w:pPr>
              <w:jc w:val="center"/>
              <w:ind w:left="33"/>
              <w:spacing w:after="0"/>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1"/>
              </w:rPr>
              <w:t>Shorter of useful life or remaining lease term</w:t>
            </w:r>
          </w:p>
        </w:tc>
      </w:tr>
    </w:tbl>
    <w:p>
      <w:pPr>
        <w:spacing w:after="0" w:line="229"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Construction-in-progress is stated at cost, which includes direct costs attributable to the setup or construction of the related asset. Depreciation expense is not recorded on construction-in-progress until 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2020 and 2019.</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46"/>
        <w:spacing w:after="0" w:line="257" w:lineRule="auto"/>
        <w:rPr>
          <w:sz w:val="20"/>
          <w:szCs w:val="20"/>
          <w:color w:val="auto"/>
        </w:rPr>
      </w:pPr>
      <w:r>
        <w:rPr>
          <w:rFonts w:ascii="Arial" w:cs="Arial" w:eastAsia="Arial" w:hAnsi="Arial"/>
          <w:sz w:val="18"/>
          <w:szCs w:val="18"/>
          <w:color w:val="auto"/>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220" w:firstLine="546"/>
        <w:spacing w:after="0" w:line="263" w:lineRule="auto"/>
        <w:rPr>
          <w:sz w:val="20"/>
          <w:szCs w:val="20"/>
          <w:color w:val="auto"/>
        </w:rPr>
      </w:pPr>
      <w:r>
        <w:rPr>
          <w:rFonts w:ascii="Arial" w:cs="Arial" w:eastAsia="Arial" w:hAnsi="Arial"/>
          <w:sz w:val="18"/>
          <w:szCs w:val="18"/>
          <w:color w:val="auto"/>
        </w:rPr>
        <w:t xml:space="preserve">Under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 entity recognizes revenue when its customer obtains control of promised goods or services, in an amount that reflects the consideration that the entity expects to receive in exchange for those goods or services. In applying ASC 606, the Company performs the following five steps: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1) Identify the contract with the customer</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A contract with a customer exists when (i) the Company enters into an enforceable contract with a customer that defines each party’s rights regarding the goods or services to be transferred and identifies the related payment terms, (ii) the contract has commercial substance and (iii) the Company determines that collection of substantially all consideration for goods and services that are transferred is probable based on the customer’s intent and ability to pay the promised consideration.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2) Identify the promises and performance obligations in the contract</w:t>
      </w:r>
    </w:p>
    <w:p>
      <w:pPr>
        <w:spacing w:after="0" w:line="117"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readily available resources, and are distinct in the context of the contract, whereby the transfer of the good or service is separately identifiable from other promises in the contract. To the extent a contract includes multiple promised goods and services, the Company must apply judgment to determine whether promised goods and services are capable of being distinct and distinct in the context of the contract. In assessing whether a promised good or service is distinct, the Company considers factors such as the research, manufacturing and commercialization capabilities of the customer and the availability of the associated expertise in the marketplace. The Company also considers the intended benefit of the contract in assessing whether a promised good or service is separately identifiable from other promises in the contract. If these criteria are not met, the promised goods and services are accounted for as a combined performance obligation.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3) Determine the transaction price</w:t>
      </w:r>
    </w:p>
    <w:p>
      <w:pPr>
        <w:spacing w:after="0" w:line="117"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goods and services to the customer.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unconstrained amount of estimated variable consideration in the transaction price.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the estimate of the overall transaction price. Any such adjustments are recorded on a cumulative catch-up basis in the period of adjustment. Changes to the constraint of variable consideration can have a material effect on the amount of revenue recognized in the period.</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39" w:name="page140"/>
    <w:bookmarkEnd w:id="139"/>
    <w:p>
      <w:pPr>
        <w:ind w:right="80" w:firstLine="546"/>
        <w:spacing w:after="0" w:line="257" w:lineRule="auto"/>
        <w:rPr>
          <w:sz w:val="20"/>
          <w:szCs w:val="20"/>
          <w:color w:val="auto"/>
        </w:rPr>
      </w:pPr>
      <w:r>
        <w:rPr>
          <w:rFonts w:ascii="Arial" w:cs="Arial" w:eastAsia="Arial" w:hAnsi="Arial"/>
          <w:sz w:val="18"/>
          <w:szCs w:val="18"/>
          <w:color w:val="auto"/>
        </w:rPr>
        <w:t>If an arrangement includes research and development milestone payments,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based on the occurrence of events not within the Company’s control, such as regulatory approvals, are generally not considered probable of being achieved until the underlying events occur or the associated approvals are received.</w:t>
      </w:r>
    </w:p>
    <w:p>
      <w:pPr>
        <w:spacing w:after="0" w:line="188" w:lineRule="exact"/>
        <w:rPr>
          <w:sz w:val="20"/>
          <w:szCs w:val="20"/>
          <w:color w:val="auto"/>
        </w:rPr>
      </w:pPr>
    </w:p>
    <w:p>
      <w:pPr>
        <w:jc w:val="both"/>
        <w:ind w:right="60" w:firstLine="546"/>
        <w:spacing w:after="0" w:line="311" w:lineRule="auto"/>
        <w:rPr>
          <w:sz w:val="20"/>
          <w:szCs w:val="20"/>
          <w:color w:val="auto"/>
        </w:rPr>
      </w:pPr>
      <w:r>
        <w:rPr>
          <w:rFonts w:ascii="Arial" w:cs="Arial" w:eastAsia="Arial" w:hAnsi="Arial"/>
          <w:sz w:val="16"/>
          <w:szCs w:val="16"/>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49" w:lineRule="exact"/>
        <w:rPr>
          <w:sz w:val="20"/>
          <w:szCs w:val="20"/>
          <w:color w:val="auto"/>
        </w:rPr>
      </w:pPr>
    </w:p>
    <w:p>
      <w:pPr>
        <w:ind w:right="100" w:firstLine="546"/>
        <w:spacing w:after="0" w:line="263" w:lineRule="auto"/>
        <w:rPr>
          <w:sz w:val="20"/>
          <w:szCs w:val="20"/>
          <w:color w:val="auto"/>
        </w:rPr>
      </w:pPr>
      <w:r>
        <w:rPr>
          <w:rFonts w:ascii="Arial" w:cs="Arial" w:eastAsia="Arial" w:hAnsi="Arial"/>
          <w:sz w:val="18"/>
          <w:szCs w:val="18"/>
          <w:color w:val="auto"/>
        </w:rPr>
        <w:t>In determining the transaction price, the Company adjusts consideration for the effects of the time value of money if the timing of payments provides the Company with a significant benefit of financing. The Company assesses its revenue generating arrangements in order to determine whether a significant financing component exists.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4) Allocate the transaction price to the performance obligations in the contract</w:t>
      </w:r>
    </w:p>
    <w:p>
      <w:pPr>
        <w:spacing w:after="0" w:line="117"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except for any variable consideration that meets the criteria to be allocated entirely to a single performance obligation or to a distinct service that forms part of a single performance obligation.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5) Recognize revenue when or as the Company satisfies a performance obligation</w:t>
      </w:r>
    </w:p>
    <w:p>
      <w:pPr>
        <w:spacing w:after="0" w:line="11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The Company may satisfy performance obligations over time or at a point in time, depending on the nature of the performance obligation. Revenue is recognized over time if the customer simultaneously receives and consumes the benefits provided by the entity’s performance, the entity’s performance creates or enhances an asset that the customer controls as the asset is created or enhanced, or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w:t>
      </w:r>
    </w:p>
    <w:p>
      <w:pPr>
        <w:spacing w:after="0" w:line="192"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For revenue that the Company recognizes over time, the Company assesses whether an input or an output method is the appropriate measure of progress associated with the satisfaction of the performance obligation. In determining the appropriate method for measuring progress, the Company considers the nature of the good or service that it has promised to transfer to the customer. Output methods recognize revenue on the basis of direct measurements of the value to the customer of the goods or services transferred to date relative to the remaining goods or services promised under the contract. Input methods recognize revenue on the basis of the entity’s efforts or inputs to the satisfaction of a performance obligation. Estimates inherent to the measurement of progress associated with the satisfaction of performance obligations based on an input method include the total estimated costs to satisfy the associated performance obligation.</w:t>
      </w:r>
    </w:p>
    <w:p>
      <w:pPr>
        <w:spacing w:after="0" w:line="195" w:lineRule="exact"/>
        <w:rPr>
          <w:sz w:val="20"/>
          <w:szCs w:val="20"/>
          <w:color w:val="auto"/>
        </w:rPr>
      </w:pPr>
    </w:p>
    <w:p>
      <w:pPr>
        <w:jc w:val="both"/>
        <w:ind w:right="360" w:firstLine="546"/>
        <w:spacing w:after="0" w:line="263" w:lineRule="auto"/>
        <w:rPr>
          <w:sz w:val="20"/>
          <w:szCs w:val="20"/>
          <w:color w:val="auto"/>
        </w:rPr>
      </w:pPr>
      <w:r>
        <w:rPr>
          <w:rFonts w:ascii="Arial" w:cs="Arial" w:eastAsia="Arial" w:hAnsi="Arial"/>
          <w:sz w:val="18"/>
          <w:szCs w:val="18"/>
          <w:color w:val="auto"/>
        </w:rPr>
        <w:t>See Note 10, “Collaboration and License Agreements”, for further information on the application of ASC 606 to the collaboration and license agreement with Acceleron (the “Acceleron Collaboration Agreement”) and the collaboration and license agreement with MyoKardia (the “MyoKardia Collaboration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right="80" w:firstLine="546"/>
        <w:spacing w:after="0" w:line="301" w:lineRule="auto"/>
        <w:rPr>
          <w:sz w:val="20"/>
          <w:szCs w:val="20"/>
          <w:color w:val="auto"/>
        </w:rPr>
      </w:pPr>
      <w:r>
        <w:rPr>
          <w:rFonts w:ascii="Arial" w:cs="Arial" w:eastAsia="Arial" w:hAnsi="Arial"/>
          <w:sz w:val="16"/>
          <w:szCs w:val="16"/>
          <w:color w:val="auto"/>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or the extent of services provided during the reporting periods, including invoices received and contracted costs. Significant judgments and estimates are made in determining the accrued balances at each reporting period. Actual results could differ from the Company’s estimates.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Costs</w:t>
      </w:r>
    </w:p>
    <w:p>
      <w:pPr>
        <w:spacing w:after="0" w:line="117" w:lineRule="exact"/>
        <w:rPr>
          <w:sz w:val="20"/>
          <w:szCs w:val="20"/>
          <w:color w:val="auto"/>
        </w:rPr>
      </w:pPr>
    </w:p>
    <w:p>
      <w:pPr>
        <w:ind w:right="560" w:firstLine="546"/>
        <w:spacing w:after="0" w:line="342" w:lineRule="auto"/>
        <w:rPr>
          <w:sz w:val="20"/>
          <w:szCs w:val="20"/>
          <w:color w:val="auto"/>
        </w:rPr>
      </w:pPr>
      <w:r>
        <w:rPr>
          <w:rFonts w:ascii="Arial" w:cs="Arial" w:eastAsia="Arial" w:hAnsi="Arial"/>
          <w:sz w:val="16"/>
          <w:szCs w:val="16"/>
          <w:color w:val="auto"/>
        </w:rPr>
        <w:t>Patent-related costs incurred in connection with patent applications are expensed as incurred due to the uncertainty about the recovery of the expenditure. Amounts incurred are classified as general and administrative expenses in the accompanying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 and Series B Convertible Preferred Stock</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The Company determined the estimated fair value of common stock and Series B convertible preferred stock (the “Series B Preferred Stock”) issued prior to the completion of the IPO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initial public offering,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prior to the completion of the IPO included the guideline public company method and/or the precedent transaction method to estimate the equity value, and the option-pricing method or the hybrid method, which is a probability-weighted expected return method, to allocate equity value to the common stock and preferred stock. The Company utilized the hybrid method to estimate the fair value of the Series B Preferred Stock prior to the completion of the IPO. Significant changes to the key assumptions used in the valuations could result in different fair values of common stock and the Series B Preferred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The Company measures stock-based awards based on the fair value on the date of grant. Compensation expense associated with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77"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85"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Company accounts for forfeitures as they occur. The Company classifies stock-based compensation expense in its statements of operations in the same manner in which the award recipient’s payroll or service costs are classified.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92"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firstLine="546"/>
        <w:spacing w:after="0" w:line="342" w:lineRule="auto"/>
        <w:rPr>
          <w:sz w:val="20"/>
          <w:szCs w:val="20"/>
          <w:color w:val="auto"/>
        </w:rPr>
      </w:pPr>
      <w:r>
        <w:rPr>
          <w:rFonts w:ascii="Arial" w:cs="Arial" w:eastAsia="Arial" w:hAnsi="Arial"/>
          <w:sz w:val="16"/>
          <w:szCs w:val="16"/>
          <w:color w:val="auto"/>
        </w:rPr>
        <w:t>Comprehensive loss is defined as the change in equity of a business enterprise during a period from transactions and other events and circumstances from non-owner sources. For the years ended December 31, 2020 and 2019, comprehensive loss consists of net loss and unrealized losses on investments.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17" w:lineRule="exact"/>
        <w:rPr>
          <w:sz w:val="20"/>
          <w:szCs w:val="20"/>
          <w:color w:val="auto"/>
        </w:rPr>
      </w:pPr>
    </w:p>
    <w:p>
      <w:pPr>
        <w:ind w:firstLine="546"/>
        <w:spacing w:after="0" w:line="291" w:lineRule="auto"/>
        <w:rPr>
          <w:sz w:val="20"/>
          <w:szCs w:val="20"/>
          <w:color w:val="auto"/>
        </w:rPr>
      </w:pPr>
      <w:r>
        <w:rPr>
          <w:rFonts w:ascii="Arial" w:cs="Arial" w:eastAsia="Arial" w:hAnsi="Arial"/>
          <w:sz w:val="16"/>
          <w:szCs w:val="16"/>
          <w:color w:val="auto"/>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66" w:lineRule="exact"/>
        <w:rPr>
          <w:sz w:val="20"/>
          <w:szCs w:val="20"/>
          <w:color w:val="auto"/>
        </w:rPr>
      </w:pPr>
    </w:p>
    <w:p>
      <w:pPr>
        <w:ind w:right="120" w:firstLine="546"/>
        <w:spacing w:after="0" w:line="253"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117" w:lineRule="exact"/>
        <w:rPr>
          <w:sz w:val="20"/>
          <w:szCs w:val="20"/>
          <w:color w:val="auto"/>
        </w:rPr>
      </w:pPr>
    </w:p>
    <w:p>
      <w:pPr>
        <w:ind w:right="40" w:firstLine="546"/>
        <w:spacing w:after="0" w:line="290"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The Company’s marketable securities primarily consist of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160" w:firstLine="546"/>
        <w:spacing w:after="0" w:line="311" w:lineRule="auto"/>
        <w:rPr>
          <w:sz w:val="20"/>
          <w:szCs w:val="20"/>
          <w:color w:val="auto"/>
        </w:rPr>
      </w:pPr>
      <w:r>
        <w:rPr>
          <w:rFonts w:ascii="Arial" w:cs="Arial" w:eastAsia="Arial" w:hAnsi="Arial"/>
          <w:sz w:val="16"/>
          <w:szCs w:val="16"/>
          <w:color w:val="auto"/>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620"/>
        <w:spacing w:after="0" w:line="301" w:lineRule="auto"/>
        <w:rPr>
          <w:sz w:val="20"/>
          <w:szCs w:val="20"/>
          <w:color w:val="auto"/>
        </w:rPr>
      </w:pPr>
      <w:r>
        <w:rPr>
          <w:rFonts w:ascii="Arial" w:cs="Arial" w:eastAsia="Arial" w:hAnsi="Arial"/>
          <w:sz w:val="16"/>
          <w:szCs w:val="16"/>
          <w:color w:val="auto"/>
        </w:rPr>
        <w:t xml:space="preserve">In March 2017, the FASB issued ASU No. 2017-08, </w:t>
      </w:r>
      <w:r>
        <w:rPr>
          <w:rFonts w:ascii="Arial" w:cs="Arial" w:eastAsia="Arial" w:hAnsi="Arial"/>
          <w:sz w:val="16"/>
          <w:szCs w:val="16"/>
          <w:i w:val="1"/>
          <w:iCs w:val="1"/>
          <w:color w:val="auto"/>
        </w:rPr>
        <w:t>Receivables - Nonrefundable Fees and Other Costs (Subtopic 310-20): Premium Amortization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Purchased Callable Debt Securities </w:t>
      </w:r>
      <w:r>
        <w:rPr>
          <w:rFonts w:ascii="Arial" w:cs="Arial" w:eastAsia="Arial" w:hAnsi="Arial"/>
          <w:sz w:val="16"/>
          <w:szCs w:val="16"/>
          <w:color w:val="auto"/>
        </w:rPr>
        <w:t>(“ASU 2017-08”). This standard amends the amortization period for certain purchased callable debt securities held</w:t>
      </w:r>
      <w:r>
        <w:rPr>
          <w:rFonts w:ascii="Arial" w:cs="Arial" w:eastAsia="Arial" w:hAnsi="Arial"/>
          <w:sz w:val="16"/>
          <w:szCs w:val="16"/>
          <w:i w:val="1"/>
          <w:iCs w:val="1"/>
          <w:color w:val="auto"/>
        </w:rPr>
        <w:t xml:space="preserve"> </w:t>
      </w:r>
      <w:r>
        <w:rPr>
          <w:rFonts w:ascii="Arial" w:cs="Arial" w:eastAsia="Arial" w:hAnsi="Arial"/>
          <w:sz w:val="16"/>
          <w:szCs w:val="16"/>
          <w:color w:val="auto"/>
        </w:rPr>
        <w:t>at a premium by shortening the amortization period to the earliest call date. The new standard became effective for the Company on January 1, 2020. The adoption of this standard did not have a material impact on the Company’s consolidated financial statements or footnote disclosures.</w:t>
      </w:r>
    </w:p>
    <w:p>
      <w:pPr>
        <w:spacing w:after="0" w:line="157" w:lineRule="exact"/>
        <w:rPr>
          <w:sz w:val="20"/>
          <w:szCs w:val="20"/>
          <w:color w:val="auto"/>
        </w:rPr>
      </w:pPr>
    </w:p>
    <w:p>
      <w:pPr>
        <w:ind w:right="40" w:firstLine="620"/>
        <w:spacing w:after="0" w:line="290" w:lineRule="auto"/>
        <w:rPr>
          <w:sz w:val="20"/>
          <w:szCs w:val="20"/>
          <w:color w:val="auto"/>
        </w:rPr>
      </w:pPr>
      <w:r>
        <w:rPr>
          <w:rFonts w:ascii="Arial" w:cs="Arial" w:eastAsia="Arial" w:hAnsi="Arial"/>
          <w:sz w:val="16"/>
          <w:szCs w:val="16"/>
          <w:color w:val="auto"/>
        </w:rPr>
        <w:t xml:space="preserve">In July 2017, the FASB issued ASU No. 2017-11, </w:t>
      </w:r>
      <w:r>
        <w:rPr>
          <w:rFonts w:ascii="Arial" w:cs="Arial" w:eastAsia="Arial" w:hAnsi="Arial"/>
          <w:sz w:val="16"/>
          <w:szCs w:val="16"/>
          <w:i w:val="1"/>
          <w:iCs w:val="1"/>
          <w:color w:val="auto"/>
        </w:rPr>
        <w:t>Earnings Per Share (Topic 260), Distinguishing Liabilities from Equity (Topic 480),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(“ASU 2017-11”). Part I of the standard applies to entities that issue financial instruments such as warrants, convertible debt or 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that contain down-round features. Part II of the standard replaces the indefinite deferral for certain mandatorily redeemable noncontrolling interests and mandatorily redeemable financial instruments of nonpublic entities contained within ASC 480 with a scope exception and does not impact the accounting for these mandatorily redeemable instruments. The new standard became effective for the Company on January 1, 2020 under the extended transition period. The adoption of this standard did not have a material impact on the Company’s consolidated financial statements or footnote disclosures.</w:t>
      </w:r>
    </w:p>
    <w:p>
      <w:pPr>
        <w:spacing w:after="0" w:line="165" w:lineRule="exact"/>
        <w:rPr>
          <w:sz w:val="20"/>
          <w:szCs w:val="20"/>
          <w:color w:val="auto"/>
        </w:rPr>
      </w:pPr>
    </w:p>
    <w:p>
      <w:pPr>
        <w:ind w:right="100" w:firstLine="620"/>
        <w:spacing w:after="0" w:line="291" w:lineRule="auto"/>
        <w:rPr>
          <w:sz w:val="20"/>
          <w:szCs w:val="20"/>
          <w:color w:val="auto"/>
        </w:rPr>
      </w:pPr>
      <w:r>
        <w:rPr>
          <w:rFonts w:ascii="Arial" w:cs="Arial" w:eastAsia="Arial" w:hAnsi="Arial"/>
          <w:sz w:val="16"/>
          <w:szCs w:val="16"/>
          <w:color w:val="auto"/>
        </w:rPr>
        <w:t xml:space="preserve">In November 2018, the FASB issued ASU No. 2018-18, </w:t>
      </w:r>
      <w:r>
        <w:rPr>
          <w:rFonts w:ascii="Arial" w:cs="Arial" w:eastAsia="Arial" w:hAnsi="Arial"/>
          <w:sz w:val="16"/>
          <w:szCs w:val="16"/>
          <w:i w:val="1"/>
          <w:iCs w:val="1"/>
          <w:color w:val="auto"/>
        </w:rPr>
        <w:t>Collaborative Arrangements (Topic 808): Clarifying the Interaction between Topic 808</w:t>
      </w:r>
      <w:r>
        <w:rPr>
          <w:rFonts w:ascii="Arial" w:cs="Arial" w:eastAsia="Arial" w:hAnsi="Arial"/>
          <w:sz w:val="16"/>
          <w:szCs w:val="16"/>
          <w:color w:val="auto"/>
        </w:rPr>
        <w:t xml:space="preserve"> </w:t>
      </w:r>
      <w:r>
        <w:rPr>
          <w:rFonts w:ascii="Arial" w:cs="Arial" w:eastAsia="Arial" w:hAnsi="Arial"/>
          <w:sz w:val="16"/>
          <w:szCs w:val="16"/>
          <w:i w:val="1"/>
          <w:iCs w:val="1"/>
          <w:color w:val="auto"/>
        </w:rPr>
        <w:t>and Topic 606</w:t>
      </w:r>
      <w:r>
        <w:rPr>
          <w:rFonts w:ascii="Arial" w:cs="Arial" w:eastAsia="Arial" w:hAnsi="Arial"/>
          <w:sz w:val="16"/>
          <w:szCs w:val="16"/>
          <w:color w:val="auto"/>
        </w:rPr>
        <w:t>. The standard clarifies that certain transactions between collaborative arrangement participants should be accounted for as revenue under</w:t>
      </w:r>
      <w:r>
        <w:rPr>
          <w:rFonts w:ascii="Arial" w:cs="Arial" w:eastAsia="Arial" w:hAnsi="Arial"/>
          <w:sz w:val="16"/>
          <w:szCs w:val="16"/>
          <w:i w:val="1"/>
          <w:iCs w:val="1"/>
          <w:color w:val="auto"/>
        </w:rPr>
        <w:t xml:space="preserve"> </w:t>
      </w:r>
      <w:r>
        <w:rPr>
          <w:rFonts w:ascii="Arial" w:cs="Arial" w:eastAsia="Arial" w:hAnsi="Arial"/>
          <w:sz w:val="16"/>
          <w:szCs w:val="16"/>
          <w:color w:val="auto"/>
        </w:rPr>
        <w:t>ASC 606 when the collaborative arrangement participant is a customer in the context of a unit-of-account. The standard amends ASC 808 to refer to the unit-of-account guidance in ASC 606 and requires it to be used only when assessing whether the collaborative arrangement or a part of the arrangement is within the scope of ASC 606. The standard requires that collaborative arrangement revenue not within the scope of ASC 606 be presented separately from revenues from transactions within the scope of ASC 606. The new standard became effective for the Company on January 1, 2020. The adoption of this standard did not have a material impact on the Company’s consolidated financial statements or footnote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Pronouncements—To Be Adopted</w:t>
      </w:r>
    </w:p>
    <w:p>
      <w:pPr>
        <w:spacing w:after="0" w:line="117"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(“ASU 2018-11”), which permits entities to continue applying legacy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including its disclosure requirements, in the comparative periods presented in the year that the entity adopts the new leasing standard. In November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3" w:name="page144"/>
    <w:bookmarkEnd w:id="143"/>
    <w:p>
      <w:pPr>
        <w:ind w:right="60"/>
        <w:spacing w:after="0" w:line="290" w:lineRule="auto"/>
        <w:rPr>
          <w:sz w:val="20"/>
          <w:szCs w:val="20"/>
          <w:color w:val="auto"/>
        </w:rPr>
      </w:pPr>
      <w:r>
        <w:rPr>
          <w:rFonts w:ascii="Arial" w:cs="Arial" w:eastAsia="Arial" w:hAnsi="Arial"/>
          <w:sz w:val="16"/>
          <w:szCs w:val="16"/>
          <w:color w:val="auto"/>
        </w:rPr>
        <w:t>2019, the FASB deferred the effective date of ASU 2016-02, as amended, for private companies to fiscal years beginning after December 15, 2020. In June 2020, the FASB further deferred the effective date of ASU 2016-02, as amended, for private companies to fiscal years beginning after December 15, 2021. The new standard will become effective for the Company on January 1, 2022. The Company will apply the transition method permitted by ASU 2016-02, as amended.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65"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The standard requires that credit losses be reported using an expected losses model rather than the incurred losses model</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2023. The Company is currently evaluating the potential impact that this standard may have on its consolidated financial position and results of operations.</w:t>
      </w:r>
    </w:p>
    <w:p>
      <w:pPr>
        <w:spacing w:after="0" w:line="19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xml:space="preserve"> (“ASU 2019-12”).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new standard will be effective for the Company on January 1, 2023. The Company is currently evaluating the potential impact that this standard may have on its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December 31, 2020 and 2019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Fair Value Measurements at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December 31, 2020</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57,052</w:t>
            </w:r>
          </w:p>
        </w:tc>
        <w:tc>
          <w:tcPr>
            <w:tcW w:w="4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57,052</w:t>
            </w:r>
          </w:p>
        </w:tc>
        <w:tc>
          <w:tcPr>
            <w:tcW w:w="4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23,339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ind w:left="74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32,523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112,914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55,862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Fair Value Measurements at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5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35"/>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gridSpan w:val="2"/>
          </w:tcPr>
          <w:p>
            <w:pPr>
              <w:spacing w:after="0"/>
              <w:rPr>
                <w:sz w:val="13"/>
                <w:szCs w:val="13"/>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96,713</w:t>
            </w:r>
          </w:p>
        </w:tc>
        <w:tc>
          <w:tcPr>
            <w:tcW w:w="4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96,713</w:t>
            </w:r>
          </w:p>
        </w:tc>
        <w:tc>
          <w:tcPr>
            <w:tcW w:w="44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720"/>
              <w:spacing w:after="0"/>
              <w:rPr>
                <w:sz w:val="20"/>
                <w:szCs w:val="20"/>
                <w:color w:val="auto"/>
              </w:rPr>
            </w:pPr>
            <w:r>
              <w:rPr>
                <w:rFonts w:ascii="Arial" w:cs="Arial" w:eastAsia="Arial" w:hAnsi="Arial"/>
                <w:sz w:val="18"/>
                <w:szCs w:val="18"/>
                <w:color w:val="auto"/>
              </w:rPr>
              <w:t>—</w:t>
            </w:r>
          </w:p>
        </w:tc>
      </w:tr>
      <w:tr>
        <w:trPr>
          <w:trHeight w:val="223"/>
        </w:trPr>
        <w:tc>
          <w:tcPr>
            <w:tcW w:w="58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levels during the years ended December 31, 2020 or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Marketable securities consisted of the following as of December 31, 2020 (in thousands):</w:t>
      </w:r>
    </w:p>
    <w:p>
      <w:pPr>
        <w:spacing w:after="0" w:line="257" w:lineRule="exact"/>
        <w:rPr>
          <w:sz w:val="20"/>
          <w:szCs w:val="20"/>
          <w:color w:val="auto"/>
        </w:rPr>
      </w:pPr>
    </w:p>
    <w:p>
      <w:pPr>
        <w:jc w:val="center"/>
        <w:ind w:left="5700"/>
        <w:spacing w:after="0"/>
        <w:rPr>
          <w:sz w:val="20"/>
          <w:szCs w:val="20"/>
          <w:color w:val="auto"/>
        </w:rPr>
      </w:pPr>
      <w:r>
        <w:rPr>
          <w:rFonts w:ascii="Arial" w:cs="Arial" w:eastAsia="Arial" w:hAnsi="Arial"/>
          <w:sz w:val="14"/>
          <w:szCs w:val="14"/>
          <w:b w:val="1"/>
          <w:bCs w:val="1"/>
          <w:color w:val="auto"/>
        </w:rPr>
        <w:t>Fair Value Measurements at</w:t>
      </w:r>
    </w:p>
    <w:p>
      <w:pPr>
        <w:jc w:val="center"/>
        <w:ind w:left="5700"/>
        <w:spacing w:after="0" w:line="236" w:lineRule="auto"/>
        <w:rPr>
          <w:sz w:val="20"/>
          <w:szCs w:val="20"/>
          <w:color w:val="auto"/>
        </w:rPr>
      </w:pPr>
      <w:r>
        <w:rPr>
          <w:rFonts w:ascii="Arial" w:cs="Arial" w:eastAsia="Arial" w:hAnsi="Arial"/>
          <w:sz w:val="14"/>
          <w:szCs w:val="14"/>
          <w:b w:val="1"/>
          <w:bCs w:val="1"/>
          <w:color w:val="auto"/>
        </w:rPr>
        <w:t>December 31, 2020</w:t>
      </w:r>
    </w:p>
    <w:tbl>
      <w:tblPr>
        <w:tblLayout w:type="fixed"/>
        <w:tblInd w:w="0" w:type="dxa"/>
        <w:tblCellMar>
          <w:top w:w="0" w:type="dxa"/>
          <w:left w:w="0" w:type="dxa"/>
          <w:bottom w:w="0" w:type="dxa"/>
          <w:right w:w="0" w:type="dxa"/>
        </w:tblCellMar>
      </w:tblPr>
      <w:tr>
        <w:trPr>
          <w:trHeight w:val="133"/>
        </w:trPr>
        <w:tc>
          <w:tcPr>
            <w:tcW w:w="5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57,052</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ind w:left="500"/>
              <w:spacing w:after="0"/>
              <w:rPr>
                <w:sz w:val="20"/>
                <w:szCs w:val="20"/>
                <w:color w:val="auto"/>
              </w:rPr>
            </w:pPr>
            <w:r>
              <w:rPr>
                <w:rFonts w:ascii="Arial" w:cs="Arial" w:eastAsia="Arial" w:hAnsi="Arial"/>
                <w:sz w:val="18"/>
                <w:szCs w:val="18"/>
                <w:color w:val="auto"/>
              </w:rPr>
              <w:t>Total cash equivalents and marketable securities</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112,916</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hold any marketable securities as of December 31, 2019.</w:t>
      </w:r>
    </w:p>
    <w:p>
      <w:pPr>
        <w:spacing w:after="0" w:line="225" w:lineRule="exact"/>
        <w:rPr>
          <w:sz w:val="20"/>
          <w:szCs w:val="20"/>
          <w:color w:val="auto"/>
        </w:rPr>
      </w:pPr>
    </w:p>
    <w:p>
      <w:pPr>
        <w:ind w:right="500" w:firstLine="546"/>
        <w:spacing w:after="0" w:line="277" w:lineRule="auto"/>
        <w:rPr>
          <w:sz w:val="20"/>
          <w:szCs w:val="20"/>
          <w:color w:val="auto"/>
        </w:rPr>
      </w:pPr>
      <w:r>
        <w:rPr>
          <w:rFonts w:ascii="Arial" w:cs="Arial" w:eastAsia="Arial" w:hAnsi="Arial"/>
          <w:sz w:val="18"/>
          <w:szCs w:val="18"/>
          <w:color w:val="auto"/>
        </w:rPr>
        <w:t>There were no sales of marketable securities during the year ended December 31, 2020. As of December 31, 2020, the aggregate fair value of securities that were in an unrealized loss position for less than twelve months was $13.4 million.</w:t>
      </w:r>
    </w:p>
    <w:p>
      <w:pPr>
        <w:spacing w:after="0" w:line="170"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The Company determined that it did not hold any securities with any other-than-temporary impairment as of December 31, 2020. As of December 31, 2020, the fair value and amortized cost of securities with a remaining contractual maturity of greater than one year was $3.1 million. As of December 31, 2020, the Company did not intend to sell, and would not be more likely than not required to sell, the securities in an unrealized loss position before recovery of their amortized cost bases.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process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(6,118)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(3,947)</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46"/>
        <w:spacing w:after="0" w:line="259" w:lineRule="auto"/>
        <w:rPr>
          <w:sz w:val="20"/>
          <w:szCs w:val="20"/>
          <w:color w:val="auto"/>
        </w:rPr>
      </w:pPr>
      <w:r>
        <w:rPr>
          <w:rFonts w:ascii="Arial" w:cs="Arial" w:eastAsia="Arial" w:hAnsi="Arial"/>
          <w:sz w:val="18"/>
          <w:szCs w:val="18"/>
          <w:color w:val="auto"/>
        </w:rPr>
        <w:t>Depreciation expense for the years ended December 31, 2020 and 2019 was $2.4 million and $2.1 million, respectively. Total property and equipment, gross, as of each of December 31, 2020 and 2019 included $0.2 million of property and equipment recorded under capital leases. Accumulated depreciation, as of December 31, 2020 and 2019, included $0.2 million and $0.1 million, respectively, for property and equipment recorded under capital leases.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prepaid expenses and other current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w w:val="93"/>
              </w:rPr>
              <w:t>Accrued expenses and other current liabilities consisted of the following (in thousands):</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Payroll and benefits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Capital lease obligation, current portion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liability, current portion</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color w:val="auto"/>
        </w:rPr>
        <w:t>Future minimum lease payments associated with the Company’s capital lease obligations are less than $0.1 million in the year ending December 31, 2021. No minimum lease payments associated with the Company’s capital lease obligations are due after December 31,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In July 2016, the Company entered into a Series A convertible preferred stock purchase agreement, pursuant to which the Company sold 55,000,000 shares of Series A convertible preferred stock (the “Series A Preferred Stock”) at a price of $1.00 per share. In April 2017, the Company entered into an additional Series A Preferred Stock purchase agreement, pursuant to which the Company sold 5,000,000 shares of Series A Preferred Stock at a price of $1.00 per share.</w:t>
      </w:r>
    </w:p>
    <w:p>
      <w:pPr>
        <w:spacing w:after="0" w:line="187"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In August 2018, the Company entered into a Series B convertible preferred stock purchase agreement, pursuant to which the Company sold 40,000,000 shares of the Series B Preferred Stock at a purchase price of $2.00 per share. During the year ended December 31, 2019, the Company issued 12,500,000 shares of Series B Preferred Stock in connection with the right of reference and license agreement, as amended, entered into with subsidiaries of GlaxoSmithKline plc (collectively referred to as “GSK”) (the “GSK Agreement”) (Note 11).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78"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64" w:lineRule="exact"/>
        <w:rPr>
          <w:sz w:val="20"/>
          <w:szCs w:val="20"/>
          <w:color w:val="auto"/>
        </w:rPr>
      </w:pPr>
    </w:p>
    <w:p>
      <w:pPr>
        <w:jc w:val="both"/>
        <w:ind w:right="120" w:firstLine="546"/>
        <w:spacing w:after="0" w:line="263" w:lineRule="auto"/>
        <w:rPr>
          <w:sz w:val="20"/>
          <w:szCs w:val="20"/>
          <w:color w:val="auto"/>
        </w:rPr>
      </w:pPr>
      <w:r>
        <w:rPr>
          <w:rFonts w:ascii="Arial" w:cs="Arial" w:eastAsia="Arial" w:hAnsi="Arial"/>
          <w:sz w:val="18"/>
          <w:szCs w:val="18"/>
          <w:color w:val="auto"/>
        </w:rPr>
        <w:t>As the Preferred Stock was redeemable upon the occurrence of a Deemed Liquidation Event (as defined below), the Preferred Stock was classified outside of stockholders’ equity. Since the Preferred Stock was not initially redeemable and the Company determined that it was not probable that it would be redeemable, the carrying value of the Preferred Stock was not adjusted.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6" w:name="page147"/>
    <w:bookmarkEnd w:id="146"/>
    <w:p>
      <w:pPr>
        <w:ind w:right="400" w:firstLine="546"/>
        <w:spacing w:after="0" w:line="308" w:lineRule="auto"/>
        <w:rPr>
          <w:sz w:val="20"/>
          <w:szCs w:val="20"/>
          <w:color w:val="auto"/>
        </w:rPr>
      </w:pPr>
      <w:r>
        <w:rPr>
          <w:rFonts w:ascii="Arial" w:cs="Arial" w:eastAsia="Arial" w:hAnsi="Arial"/>
          <w:sz w:val="17"/>
          <w:szCs w:val="17"/>
          <w:color w:val="auto"/>
        </w:rPr>
        <w:t>On July 5, 2019, the Company eliminated the gross proceeds threshold of $45.0 million for a firm-commitment underwritten public offering in order to effect an automatic conversion of all outstanding shares of Preferred Stock into common stock upon the closing of the IPO.</w:t>
      </w:r>
    </w:p>
    <w:p>
      <w:pPr>
        <w:spacing w:after="0" w:line="146" w:lineRule="exact"/>
        <w:rPr>
          <w:sz w:val="20"/>
          <w:szCs w:val="20"/>
          <w:color w:val="auto"/>
        </w:rPr>
      </w:pPr>
    </w:p>
    <w:p>
      <w:pPr>
        <w:ind w:right="200" w:firstLine="546"/>
        <w:spacing w:after="0" w:line="279" w:lineRule="auto"/>
        <w:rPr>
          <w:sz w:val="20"/>
          <w:szCs w:val="20"/>
          <w:color w:val="auto"/>
        </w:rPr>
      </w:pPr>
      <w:r>
        <w:rPr>
          <w:rFonts w:ascii="Arial" w:cs="Arial" w:eastAsia="Arial" w:hAnsi="Arial"/>
          <w:sz w:val="17"/>
          <w:szCs w:val="17"/>
          <w:color w:val="auto"/>
        </w:rPr>
        <w:t>Upon the completion of the IPO on July 22, 2019, all 112,500,000 shares of outstanding Preferred Stock automatically converted into 16,071,418 shares of common stock. In addition, upon the completion of the IPO, the Company amended and restated its certificate of incorporation to authorize 5,000,000 shares of preferred stock, which shares of preferred stock are currently undesignated. As of December 31, 2020 and 2019, 5,000,000 shares of undesignated preferred stock were authorized and no shares of preferred stock were issued or outstanding.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the closing of the IPO, the holders of the Preferred Stock had the following rights, privileges, and preferences: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60" w:firstLine="546"/>
        <w:spacing w:after="0" w:line="255" w:lineRule="auto"/>
        <w:rPr>
          <w:sz w:val="20"/>
          <w:szCs w:val="20"/>
          <w:color w:val="auto"/>
        </w:rPr>
      </w:pPr>
      <w:r>
        <w:rPr>
          <w:rFonts w:ascii="Arial" w:cs="Arial" w:eastAsia="Arial" w:hAnsi="Arial"/>
          <w:sz w:val="18"/>
          <w:szCs w:val="18"/>
          <w:color w:val="auto"/>
        </w:rPr>
        <w:t>The holders of the Preferred Stock were entitled to vote on all matters submitted to stockholders for a vote and had the right to vote the number of shares equal to the number of shares of common stock into which such shares of Preferred Stock could convert on the record date for determination of stockholders entitled to vote. The holders of Preferred Stock voted together with the holders of common stock as a single class, on an as-converted basis, unless otherwise specified by law or the Certificate of Incorporation. For example, the holders of Series A Preferred Stock, exclusively and as a separate class, were entitled to elect one director of the Company and the holders of Series B Preferred Stock, exclusively and as a separate class, were entitled to elect one director of the Company.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firstLine="546"/>
        <w:spacing w:after="0" w:line="271" w:lineRule="auto"/>
        <w:rPr>
          <w:sz w:val="20"/>
          <w:szCs w:val="20"/>
          <w:color w:val="auto"/>
        </w:rPr>
      </w:pPr>
      <w:r>
        <w:rPr>
          <w:rFonts w:ascii="Arial" w:cs="Arial" w:eastAsia="Arial" w:hAnsi="Arial"/>
          <w:sz w:val="17"/>
          <w:szCs w:val="17"/>
          <w:color w:val="auto"/>
        </w:rPr>
        <w:t>Each share of Preferred Stock was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 Preferred Stock in effect at the time of conversion. The Original Issue Price was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was $7.00 per share for Series A Preferred Stock and $14.00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78" w:lineRule="exact"/>
        <w:rPr>
          <w:sz w:val="20"/>
          <w:szCs w:val="20"/>
          <w:color w:val="auto"/>
        </w:rPr>
      </w:pPr>
    </w:p>
    <w:p>
      <w:pPr>
        <w:ind w:right="100" w:firstLine="546"/>
        <w:spacing w:after="0" w:line="290" w:lineRule="auto"/>
        <w:rPr>
          <w:sz w:val="20"/>
          <w:szCs w:val="20"/>
          <w:color w:val="auto"/>
        </w:rPr>
      </w:pPr>
      <w:r>
        <w:rPr>
          <w:rFonts w:ascii="Arial" w:cs="Arial" w:eastAsia="Arial" w:hAnsi="Arial"/>
          <w:sz w:val="16"/>
          <w:szCs w:val="16"/>
          <w:color w:val="auto"/>
        </w:rPr>
        <w:t>Each share of Preferred Stock would have been automatically converted into shares of common stock at the then-effective conversion ratio upon either (i) the closing of the sale of shares of common stock to the public in a firm-commitment underwritten public offering pursuant to an effective registration statement under the Securities Act of 1933, as amended (the “Securities Act”), and, following such offering, the common stock was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approved a mandatory conversion in connection with a proposed Deemed Liquidation Event in which the holders of Series B Preferred Stock would have received less than the full liquidation preference applicable to the Series B Preferred Stock (as discussed below), then the mandatory conversion would have also required the consent of the holders of a majority of the outstanding shares of Series B Preferred Stock, voting together as a separate class.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From the date of issuance of the Series B Preferred Stock, dividends at an annual rate of $0.16 per share accrued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accrued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were cumulative and were payable only when and if declared by the board of directors of the Company or in the event of a liquidation, dissolution or winding up of the Company or a Deemed Liquidation Event. The Company could not declare dividends on the common stock unless the holders of Preferred Stock first received, or simultaneously received, a dividend on each outstanding share of Preferred Stock. No dividends have been declared since inception.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17"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the holders of shares of Preferred Stock then outstanding would have been entitled to be paid out of the assets of the Company available for distribution to its stockholders before any payment was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 (ii) such amount per share as would have been payable had all shares of Preferred Stock been converted into common stock immediately prior to such liquidation, dissolution, winding up or Deemed Liquidation Event.</w:t>
      </w:r>
    </w:p>
    <w:p>
      <w:pPr>
        <w:spacing w:after="0" w:line="178"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After the payment of all preferential amounts required to be paid to the holders of shares of Preferred Stock, the remaining assets of the Company available for distribution to its stockholders would have been distributed among the holders of the shares of common stock, pro rata based on the number of shares held by each such holder.</w:t>
      </w:r>
    </w:p>
    <w:p>
      <w:pPr>
        <w:spacing w:after="0" w:line="184"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Unless the holders of at least 65% of the outstanding shares of Preferred Stock, voting together as a single class, elected otherwise, a “Deemed Liquidation Event” included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21"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As of December 31, 2020, the Company’s restated certificate of incorporation authorized the Company to issue 200,000,000 shares of common stock, $0.001 par value per share.</w:t>
      </w:r>
    </w:p>
    <w:p>
      <w:pPr>
        <w:spacing w:after="0" w:line="170" w:lineRule="exact"/>
        <w:rPr>
          <w:sz w:val="20"/>
          <w:szCs w:val="20"/>
          <w:color w:val="auto"/>
        </w:rPr>
      </w:pPr>
    </w:p>
    <w:p>
      <w:pPr>
        <w:ind w:right="260" w:firstLine="546"/>
        <w:spacing w:after="0" w:line="286" w:lineRule="auto"/>
        <w:rPr>
          <w:sz w:val="20"/>
          <w:szCs w:val="20"/>
          <w:color w:val="auto"/>
        </w:rPr>
      </w:pPr>
      <w:r>
        <w:rPr>
          <w:rFonts w:ascii="Arial" w:cs="Arial" w:eastAsia="Arial" w:hAnsi="Arial"/>
          <w:sz w:val="17"/>
          <w:szCs w:val="17"/>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and 2019, the Company has reserved for future issuance the following number of shares of common stock:</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2,962,347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80" w:type="dxa"/>
            <w:vAlign w:val="bottom"/>
            <w:shd w:val="clear" w:color="auto" w:fill="CFF0FC"/>
          </w:tcPr>
          <w:p>
            <w:pPr>
              <w:spacing w:after="0"/>
              <w:rPr>
                <w:sz w:val="19"/>
                <w:szCs w:val="19"/>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Shares reserved for future issuance under the 2019 Stock</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Incentive Plan</w:t>
            </w:r>
          </w:p>
        </w:tc>
        <w:tc>
          <w:tcPr>
            <w:tcW w:w="1080" w:type="dxa"/>
            <w:vAlign w:val="bottom"/>
          </w:tcPr>
          <w:p>
            <w:pPr>
              <w:jc w:val="right"/>
              <w:spacing w:after="0"/>
              <w:rPr>
                <w:sz w:val="20"/>
                <w:szCs w:val="20"/>
                <w:color w:val="auto"/>
              </w:rPr>
            </w:pPr>
            <w:r>
              <w:rPr>
                <w:rFonts w:ascii="Arial" w:cs="Arial" w:eastAsia="Arial" w:hAnsi="Arial"/>
                <w:sz w:val="18"/>
                <w:szCs w:val="18"/>
                <w:color w:val="auto"/>
              </w:rPr>
              <w:t>1,728,616</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1,866,694</w:t>
            </w:r>
          </w:p>
        </w:tc>
        <w:tc>
          <w:tcPr>
            <w:tcW w:w="80" w:type="dxa"/>
            <w:vAlign w:val="bottom"/>
          </w:tcPr>
          <w:p>
            <w:pPr>
              <w:spacing w:after="0"/>
              <w:rPr>
                <w:sz w:val="20"/>
                <w:szCs w:val="20"/>
                <w:color w:val="auto"/>
              </w:rPr>
            </w:pPr>
          </w:p>
        </w:tc>
      </w:tr>
      <w:tr>
        <w:trPr>
          <w:trHeight w:val="215"/>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issuance under the 2019</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Employee Stock Purchase Plan</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465,999</w:t>
            </w:r>
          </w:p>
        </w:tc>
        <w:tc>
          <w:tcPr>
            <w:tcW w:w="200" w:type="dxa"/>
            <w:vAlign w:val="bottom"/>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252,142</w:t>
            </w:r>
          </w:p>
        </w:tc>
        <w:tc>
          <w:tcPr>
            <w:tcW w:w="80" w:type="dxa"/>
            <w:vAlign w:val="bottom"/>
            <w:shd w:val="clear" w:color="auto" w:fill="CFF0FC"/>
          </w:tcPr>
          <w:p>
            <w:pPr>
              <w:spacing w:after="0"/>
              <w:rPr>
                <w:sz w:val="20"/>
                <w:szCs w:val="20"/>
                <w:color w:val="auto"/>
              </w:rPr>
            </w:pPr>
          </w:p>
        </w:tc>
      </w:tr>
      <w:tr>
        <w:trPr>
          <w:trHeight w:val="223"/>
        </w:trPr>
        <w:tc>
          <w:tcPr>
            <w:tcW w:w="54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5,156,962</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4,142,664</w:t>
            </w:r>
          </w:p>
        </w:tc>
        <w:tc>
          <w:tcPr>
            <w:tcW w:w="8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117"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December 31, 2020 and 2019, no shares remained available for future issuance under the 2016 Plan. Any options or awards outstanding under the 2016 Plan remain outstanding and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117"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will be annually increased on January 1, 2020 and each January 1 thereafter through January 1, 2029 by the least of (i) 2,000,000 shares, (ii) 4% of the number of shares of the Company’s common stock outstanding on the first day of each such year or (iii) an amount determined by the Company’s board of directors. As of December 31, 2020, there were 1,728,616 shares available for future issuance under the 2019 Plan. On January 1, 2021, the number of shares reserved for issuance under the 2019 Plan was increased by 1,122,696 shares.</w:t>
      </w:r>
    </w:p>
    <w:p>
      <w:pPr>
        <w:spacing w:after="0" w:line="178"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184"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For financial reporting purposes, the Company performed common stock valuations with the assistance of a third-party specialist as of May 10, 2019, March 15, 2019, November 30, 2018, August 24, 2018, June 1, 2018, December 31, 2017, and December 31, 2016 to determine stock-based compensation expense for restricted stock awards and stock options. Following the completion of the IPO, the fair value of the common stock on the grant date was based on the closing price of the stock on the Nasdaq Global Market on the date of grant.</w:t>
      </w:r>
    </w:p>
    <w:p>
      <w:pPr>
        <w:spacing w:after="0" w:line="187" w:lineRule="exact"/>
        <w:rPr>
          <w:sz w:val="20"/>
          <w:szCs w:val="20"/>
          <w:color w:val="auto"/>
        </w:rPr>
      </w:pPr>
    </w:p>
    <w:p>
      <w:pPr>
        <w:ind w:right="280" w:firstLine="546"/>
        <w:spacing w:after="0" w:line="257" w:lineRule="auto"/>
        <w:rPr>
          <w:sz w:val="20"/>
          <w:szCs w:val="20"/>
          <w:color w:val="auto"/>
        </w:rPr>
      </w:pPr>
      <w:r>
        <w:rPr>
          <w:rFonts w:ascii="Arial" w:cs="Arial" w:eastAsia="Arial" w:hAnsi="Arial"/>
          <w:sz w:val="18"/>
          <w:szCs w:val="18"/>
          <w:color w:val="auto"/>
        </w:rPr>
        <w:t>The Company may repurchase unvested shares at the original purchase price if employees or non-employees are terminated or cease their employment or service relationship with the Company. Shares of common stock repurchased from employees and non-employees are shares held in the Company’s treasury (“Treasury Shares”). The board of directors may, at its discretion, authorize that the Treasury Shares be returned to the pool of authorized but unissued common stock. Shares issued upon the exercise of stock options are issued from the Company’s pool of authorized but unissued common stock.</w:t>
      </w:r>
    </w:p>
    <w:p>
      <w:pPr>
        <w:spacing w:after="0" w:line="188"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The shares of common stock underlying restricted stock awards typically vest over a four-year period. The shares of common stock are recorded in stockholders’ equity as they vest.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restricted stock activity under the 2019 Plan and 2016 Plan since December 31,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Date Fair</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2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757,022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2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(349,149)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(61,450)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23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346,423</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Granted</w:t>
            </w:r>
          </w:p>
        </w:tc>
        <w:tc>
          <w:tcPr>
            <w:tcW w:w="2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35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(233,563)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3560" w:type="dxa"/>
            <w:vAlign w:val="bottom"/>
            <w:gridSpan w:val="3"/>
          </w:tcPr>
          <w:p>
            <w:pPr>
              <w:jc w:val="right"/>
              <w:ind w:right="80"/>
              <w:spacing w:after="0"/>
              <w:rPr>
                <w:sz w:val="20"/>
                <w:szCs w:val="20"/>
                <w:color w:val="auto"/>
              </w:rPr>
            </w:pPr>
            <w:r>
              <w:rPr>
                <w:rFonts w:ascii="Arial" w:cs="Arial" w:eastAsia="Arial" w:hAnsi="Arial"/>
                <w:sz w:val="18"/>
                <w:szCs w:val="18"/>
                <w:color w:val="auto"/>
              </w:rPr>
              <w:t>(29,882)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236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82,978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60" w:type="dxa"/>
            <w:vAlign w:val="bottom"/>
            <w:gridSpan w:val="3"/>
          </w:tcPr>
          <w:p>
            <w:pPr>
              <w:jc w:val="right"/>
              <w:ind w:right="2500"/>
              <w:spacing w:after="0"/>
              <w:rPr>
                <w:sz w:val="20"/>
                <w:szCs w:val="20"/>
                <w:color w:val="auto"/>
              </w:rPr>
            </w:pPr>
            <w:r>
              <w:rPr>
                <w:rFonts w:ascii="Arial" w:cs="Arial" w:eastAsia="Arial" w:hAnsi="Arial"/>
                <w:sz w:val="18"/>
                <w:szCs w:val="18"/>
                <w:color w:val="auto"/>
              </w:rPr>
              <w:t>F-20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149" w:name="page150"/>
    <w:bookmarkEnd w:id="149"/>
    <w:p>
      <w:pPr>
        <w:ind w:right="80" w:firstLine="546"/>
        <w:spacing w:after="0" w:line="277" w:lineRule="auto"/>
        <w:rPr>
          <w:sz w:val="20"/>
          <w:szCs w:val="20"/>
          <w:color w:val="auto"/>
        </w:rPr>
      </w:pPr>
      <w:r>
        <w:rPr>
          <w:rFonts w:ascii="Arial" w:cs="Arial" w:eastAsia="Arial" w:hAnsi="Arial"/>
          <w:sz w:val="18"/>
          <w:szCs w:val="18"/>
          <w:color w:val="auto"/>
        </w:rPr>
        <w:t>Stock options granted by the Company typically vest over a four year period and have a ten year contractual term. The following table summarizes the Company’s stock option activity under the 2019 Plan and 2016 Plan during the year ended December 31, 2020:</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14,840,035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1,352,306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14.60</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(162,861)</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(250,926)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12.30</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2,962,347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5,767,895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Exercisable at December 31, 2020</w:t>
            </w: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10.54</w:t>
            </w:r>
          </w:p>
        </w:tc>
        <w:tc>
          <w:tcPr>
            <w:tcW w:w="2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7.98</w:t>
            </w: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2,256,315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873,748</w:t>
            </w:r>
          </w:p>
        </w:tc>
        <w:tc>
          <w:tcPr>
            <w:tcW w:w="14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46"/>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The weighted average grant date fair value of stock options granted in the years ended December 31, 2020 and 2019 was $9.76 per share and $6.97 per share, respectively. The total intrinsic value of stock options exercised in the years ended December 31, 2020 and 2019 was $1.4 million and $0.2 million, respectively.</w:t>
      </w:r>
    </w:p>
    <w:p>
      <w:pPr>
        <w:spacing w:after="0" w:line="184"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fair value of stock options granted during the years ended December 31, 2020 and 2019 under the 2019 Plan and 2016 Plan has been calculated on the date of grant using the following weighted average assumptions: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Year</w:t>
            </w:r>
          </w:p>
        </w:tc>
      </w:tr>
      <w:tr>
        <w:trPr>
          <w:trHeight w:val="148"/>
        </w:trPr>
        <w:tc>
          <w:tcPr>
            <w:tcW w:w="418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1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18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Borders>
              <w:bottom w:val="single" w:sz="8" w:color="CFF0FC"/>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CFF0FC"/>
            </w:tcBorders>
          </w:tcPr>
          <w:p>
            <w:pPr>
              <w:spacing w:after="0"/>
              <w:rPr>
                <w:sz w:val="14"/>
                <w:szCs w:val="14"/>
                <w:color w:val="auto"/>
              </w:rPr>
            </w:pPr>
          </w:p>
        </w:tc>
      </w:tr>
      <w:tr>
        <w:trPr>
          <w:trHeight w:val="22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r>
        <w:trPr>
          <w:trHeight w:val="243"/>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21"/>
                <w:szCs w:val="2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900" w:type="dxa"/>
            <w:vAlign w:val="bottom"/>
            <w:gridSpan w:val="2"/>
          </w:tcPr>
          <w:p>
            <w:pPr>
              <w:jc w:val="right"/>
              <w:ind w:right="160"/>
              <w:spacing w:after="0"/>
              <w:rPr>
                <w:sz w:val="20"/>
                <w:szCs w:val="20"/>
                <w:color w:val="auto"/>
              </w:rPr>
            </w:pPr>
            <w:r>
              <w:rPr>
                <w:rFonts w:ascii="Arial" w:cs="Arial" w:eastAsia="Arial" w:hAnsi="Arial"/>
                <w:sz w:val="18"/>
                <w:szCs w:val="18"/>
                <w:color w:val="auto"/>
              </w:rPr>
              <w:t>77.6%</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Outside of the 2016 Stock Incentive Plan and the 2019 Stock Incentive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restricted stock activity outside of the 2019 Plan and 2016 Plan since December 31, 2018:</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446,789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(112,142)</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334,647</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(291,789)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Repurchased</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The aggregate intrinsic value of all restricted stock awards that vested during the years ended December 31, 2020 and 2019 was $8.8 million and $4.8 million,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compensation cost recognized in the statements of operations associated with all stock-based compensation awards granted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is as follows (in thousands):</w:t>
      </w:r>
    </w:p>
    <w:p>
      <w:pPr>
        <w:spacing w:after="0" w:line="243" w:lineRule="exact"/>
        <w:rPr>
          <w:sz w:val="20"/>
          <w:szCs w:val="20"/>
          <w:color w:val="auto"/>
        </w:rPr>
      </w:pPr>
    </w:p>
    <w:p>
      <w:pPr>
        <w:jc w:val="center"/>
        <w:ind w:left="5260"/>
        <w:spacing w:after="0"/>
        <w:rPr>
          <w:sz w:val="20"/>
          <w:szCs w:val="20"/>
          <w:color w:val="auto"/>
        </w:rPr>
      </w:pPr>
      <w:r>
        <w:rPr>
          <w:rFonts w:ascii="Arial" w:cs="Arial" w:eastAsia="Arial" w:hAnsi="Arial"/>
          <w:sz w:val="14"/>
          <w:szCs w:val="14"/>
          <w:b w:val="1"/>
          <w:bCs w:val="1"/>
          <w:color w:val="auto"/>
        </w:rPr>
        <w:t>Year Ended</w:t>
      </w:r>
    </w:p>
    <w:p>
      <w:pPr>
        <w:jc w:val="center"/>
        <w:ind w:left="52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56"/>
        </w:trPr>
        <w:tc>
          <w:tcPr>
            <w:tcW w:w="414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3,970</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80" w:type="dxa"/>
            <w:vAlign w:val="bottom"/>
            <w:shd w:val="clear" w:color="auto" w:fill="CFF0FC"/>
          </w:tcPr>
          <w:p>
            <w:pPr>
              <w:spacing w:after="0"/>
              <w:rPr>
                <w:sz w:val="19"/>
                <w:szCs w:val="19"/>
                <w:color w:val="auto"/>
              </w:rPr>
            </w:pPr>
          </w:p>
        </w:tc>
      </w:tr>
      <w:tr>
        <w:trPr>
          <w:trHeight w:val="230"/>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3,380</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80" w:type="dxa"/>
            <w:vAlign w:val="bottom"/>
            <w:tcBorders>
              <w:bottom w:val="single" w:sz="8" w:color="CFF0FC"/>
            </w:tcBorders>
          </w:tcPr>
          <w:p>
            <w:pPr>
              <w:spacing w:after="0"/>
              <w:rPr>
                <w:sz w:val="19"/>
                <w:szCs w:val="19"/>
                <w:color w:val="auto"/>
              </w:rPr>
            </w:pPr>
          </w:p>
        </w:tc>
      </w:tr>
      <w:tr>
        <w:trPr>
          <w:trHeight w:val="223"/>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7,350</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As of December 31, 2020, the Company had an aggregate of $16.0 million of unrecognized stock-based compensation expense, which is expected to be recognized over a weighted average period of 2.57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will be annually increased on January 1, 2020, and each January 1 thereafter through January 1, 2029, by the least of (i) 428,571 shares of common stock, (ii) 1% of the number of shares of the Company’s common stock outstanding on the first day of each such year or (iii) an amount determined by the Company’s board of directors. As of December 31, 2020, there were 465,999 shares available for future issuance under the ESPP. On January 1, 2021, the number of shares reserved for issuance under the 2019 ESPP was increased by 280,674 shares.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Pursuant to a mutually agreed research plan, the Company will perform assay screening and related research activities to identify and validate potential biological targets for further research, in order to support the development, manufacture and commercialization of product candidates by Acceleron. Upon completion of the research activities, the Company will deliver a data package to Acceleron with respect to the biological targets identified by the Company in the conduct of the research activities for the treatment, prophylaxis, or diagnosis of the Indication. As provided for under the exclusive worldwide license that was conveyed at the inception of the arrangement, Acceleron has the right to designate a specified number of the biological targets identified by the Company for Acceleron’s research, development, manufacture and commercialization of products or molecules directed to such targets for the treatment, prophylaxis, or diagnosis of the Indication (the “Targets”). If Acceleron does not designate any Targets during the designated period, then the Acceleron Collaboration Agreement will automatically terminate. If Acceleron designates one or more Targets, then Acceleron will be obligated to use commercially reasonable efforts to seek regulatory approval for one product directed to a Target in certain specified countries. Upon receipt of regulatory approval for any product directed to a Target, Acceleron must use commercially reasonable efforts to commercialize such product in certain specified countries.</w:t>
      </w:r>
    </w:p>
    <w:p>
      <w:pPr>
        <w:spacing w:after="0" w:line="182"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Acceleron may also request that the Company perform medicinal chemistry services related to the generation and optimization of molecules directed against or expressing biological targets for the treatment, prophylaxis, or diagnosis of the Indication beyond the scope of the research plan. If the Company agrees to provide such medicinal chemistry services, the Company and Acceleron will negotiate to determine the scope, timeline and budget for such medicinal chemistry services.</w:t>
      </w:r>
    </w:p>
    <w:p>
      <w:pPr>
        <w:spacing w:after="0" w:line="187"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The Company received a non-refundable upfront payment of $10.0 million in December 2019 upon the execution of the Acceleron Collaboration Agreement. The Company is entitled to research milestone payments of up to $18.5 million in the aggregate upon achievement of specified research milestones, development milestone payments of up to $202.5 million in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51" w:name="page152"/>
    <w:bookmarkEnd w:id="151"/>
    <w:p>
      <w:pPr>
        <w:ind w:right="180"/>
        <w:spacing w:after="0" w:line="255" w:lineRule="auto"/>
        <w:rPr>
          <w:sz w:val="20"/>
          <w:szCs w:val="20"/>
          <w:color w:val="auto"/>
        </w:rPr>
      </w:pPr>
      <w:r>
        <w:rPr>
          <w:rFonts w:ascii="Arial" w:cs="Arial" w:eastAsia="Arial" w:hAnsi="Arial"/>
          <w:sz w:val="18"/>
          <w:szCs w:val="18"/>
          <w:color w:val="auto"/>
        </w:rPr>
        <w:t>the aggregate upon achievement of specified clinical and regulatory milestones, and sales milestones payments of up to $217.5 million in the aggregate upon the achievement of certain aggregate annual worldwide net sales milestones for certain products directed to a Target that have achieved such milestones. To date, the Company achieved $2.0 million of specified research milestones. In addition, the Company is entitled to tiered royalties ranging from a mid single-digit percentage to a low double-digit percentage on Acceleron’s annual worldwide net sales of products directed to any Target, subject to reduction in specified circumstances. The Company is also entitled to receive reimbursement from Acceleron for research costs incurred under the research plan, including internal and external costs.</w:t>
      </w:r>
    </w:p>
    <w:p>
      <w:pPr>
        <w:spacing w:after="0" w:line="19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The Acceleron Collaboration Agreement continues on a country-by-country and Target-by-Target basis until the last to expire royalty term for a product directed to such Target, at which time the Acceleron Collaboration Agreement expires with respect to such Target in such country. Either party has the right to terminate the Acceleron Collaboration Agreement if the other party has materially breached in the performance of its obligations under the contract and such breach has not been cured within the applicable cure period. Acceleron also has the right to terminate the Acceleron Collaboration Agreement for convenience in its entirety or on a Target-by-Target and, if the Company performs medicinal chemistry services, on a molecule-by-molecule basis with respect to any molecule directed against a Target.</w:t>
      </w:r>
    </w:p>
    <w:p>
      <w:pPr>
        <w:spacing w:after="0" w:line="192" w:lineRule="exact"/>
        <w:rPr>
          <w:sz w:val="20"/>
          <w:szCs w:val="20"/>
          <w:color w:val="auto"/>
        </w:rPr>
      </w:pPr>
    </w:p>
    <w:p>
      <w:pPr>
        <w:ind w:right="160" w:firstLine="546"/>
        <w:spacing w:after="0" w:line="255" w:lineRule="auto"/>
        <w:rPr>
          <w:sz w:val="20"/>
          <w:szCs w:val="20"/>
          <w:color w:val="auto"/>
        </w:rPr>
      </w:pPr>
      <w:r>
        <w:rPr>
          <w:rFonts w:ascii="Arial" w:cs="Arial" w:eastAsia="Arial" w:hAnsi="Arial"/>
          <w:sz w:val="18"/>
          <w:szCs w:val="18"/>
          <w:color w:val="auto"/>
        </w:rPr>
        <w:t>While the Company is performing the research activities pursuant to the research plan and for a specified period thereafter, the Company may not research, develop, manufacture, commercialize, use, or otherwise exploit any compound or product for the treatment, prophylaxis, or diagnosis of the Indication other than for Acceleron. While the Company is performing the research activities pursuant to the research plan and for a specified period thereafter, other than for Acceleron, the Company may not research, develop, manufacture, commercialize, use, or otherwise exploit any compound or product for the treatment, prophylaxis, or diagnosis of the Indication that is directed against certain specified biological targets identified by the Company in the performance of the research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The Company assessed the Acceleron Collaboration Agreement and concluded that it represents a contract with a customer within the scope of ASC 606.</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17" w:lineRule="exact"/>
        <w:rPr>
          <w:sz w:val="20"/>
          <w:szCs w:val="20"/>
          <w:color w:val="auto"/>
        </w:rPr>
      </w:pPr>
    </w:p>
    <w:p>
      <w:pPr>
        <w:ind w:right="100" w:firstLine="546"/>
        <w:spacing w:after="0" w:line="301" w:lineRule="auto"/>
        <w:rPr>
          <w:sz w:val="20"/>
          <w:szCs w:val="20"/>
          <w:color w:val="auto"/>
        </w:rPr>
      </w:pPr>
      <w:r>
        <w:rPr>
          <w:rFonts w:ascii="Arial" w:cs="Arial" w:eastAsia="Arial" w:hAnsi="Arial"/>
          <w:sz w:val="16"/>
          <w:szCs w:val="16"/>
          <w:color w:val="auto"/>
        </w:rPr>
        <w:t>The Company determined that the Acceleron Collaboration Agreement contains the following promises: (i) an exclusive worldwide license under certain intellectual property rights, including rights to a specified number of biological targets identified by the Company for the treatment, prophylaxis, or diagnosis of a targeted indication within the pulmonary disease space that was conveyed at the inception of the arrangement (the “License”), (ii) research services to identify and validate potential biological targets (the “Research Services”), and (iii) participation in the joint steering committee (the “JSC”).</w:t>
      </w:r>
    </w:p>
    <w:p>
      <w:pPr>
        <w:spacing w:after="0" w:line="157" w:lineRule="exact"/>
        <w:rPr>
          <w:sz w:val="20"/>
          <w:szCs w:val="20"/>
          <w:color w:val="auto"/>
        </w:rPr>
      </w:pPr>
    </w:p>
    <w:p>
      <w:pPr>
        <w:jc w:val="both"/>
        <w:ind w:firstLine="546"/>
        <w:spacing w:after="0" w:line="311" w:lineRule="auto"/>
        <w:rPr>
          <w:sz w:val="20"/>
          <w:szCs w:val="20"/>
          <w:color w:val="auto"/>
        </w:rPr>
      </w:pPr>
      <w:r>
        <w:rPr>
          <w:rFonts w:ascii="Arial" w:cs="Arial" w:eastAsia="Arial" w:hAnsi="Arial"/>
          <w:sz w:val="16"/>
          <w:szCs w:val="16"/>
          <w:color w:val="auto"/>
        </w:rPr>
        <w:t>The Company assessed the above promises and concluded that the License is not capable of being distinct from the Research Services given that the License has limited value without the performance of the Research Services and the Research Services can only be performed by the Company due to their specialized nature. Therefore, the Company has concluded that the License and the Research Services represent a single combined performance obligation.</w:t>
      </w:r>
    </w:p>
    <w:p>
      <w:pPr>
        <w:spacing w:after="0" w:line="149" w:lineRule="exact"/>
        <w:rPr>
          <w:sz w:val="20"/>
          <w:szCs w:val="20"/>
          <w:color w:val="auto"/>
        </w:rPr>
      </w:pPr>
    </w:p>
    <w:p>
      <w:pPr>
        <w:ind w:right="40" w:firstLine="546"/>
        <w:spacing w:after="0" w:line="342" w:lineRule="auto"/>
        <w:rPr>
          <w:sz w:val="20"/>
          <w:szCs w:val="20"/>
          <w:color w:val="auto"/>
        </w:rPr>
      </w:pPr>
      <w:r>
        <w:rPr>
          <w:rFonts w:ascii="Arial" w:cs="Arial" w:eastAsia="Arial" w:hAnsi="Arial"/>
          <w:sz w:val="16"/>
          <w:szCs w:val="16"/>
          <w:color w:val="auto"/>
        </w:rPr>
        <w:t>The Company also assessed the participation on the JSC and concluded that the promise is quantitatively and qualitatively immaterial in the context of the Acceleron Collaboration Agreement. Accordingly, the Company has disregarded its participation on the JSC as a performance obligation.</w:t>
      </w:r>
    </w:p>
    <w:p>
      <w:pPr>
        <w:spacing w:after="0" w:line="124" w:lineRule="exact"/>
        <w:rPr>
          <w:sz w:val="20"/>
          <w:szCs w:val="20"/>
          <w:color w:val="auto"/>
        </w:rPr>
      </w:pPr>
    </w:p>
    <w:p>
      <w:pPr>
        <w:ind w:right="580" w:firstLine="546"/>
        <w:spacing w:after="0" w:line="277" w:lineRule="auto"/>
        <w:rPr>
          <w:sz w:val="20"/>
          <w:szCs w:val="20"/>
          <w:color w:val="auto"/>
        </w:rPr>
      </w:pPr>
      <w:r>
        <w:rPr>
          <w:rFonts w:ascii="Arial" w:cs="Arial" w:eastAsia="Arial" w:hAnsi="Arial"/>
          <w:sz w:val="18"/>
          <w:szCs w:val="18"/>
          <w:color w:val="auto"/>
        </w:rPr>
        <w:t>The potential medicinal chemistry services were not identified as a promised good or service because the Company is under no obligation to provide those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2" w:name="page153"/>
    <w:bookmarkEnd w:id="152"/>
    <w:p>
      <w:pPr>
        <w:ind w:left="56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The Company received a non-refundable upfront payment of $10.0 million upon the execution of the Acceleron Collaboration Agreement, which the Company included in the transaction price. In December 2020, the Company achieved $2.0 million of specified research milestones associated with the Acceleron Collaboration Agreement, which were previously constrained due to the significant uncertainty regarding whether such research milestones would be achieved. The Company included this amount in the transaction price as of December 31, 2020. Based on the continued uncertainty associated with the achievement of any of the remaining research and development milestone payments that the Company is eligible to receive, the Company has constrained the variable consideration associated with those remaining milestone payments and excluded them from the transaction price. As part of its evaluation of constraining the research and development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also included in the transaction price the expected amount of costs to be reimbursed for the Research Services.</w:t>
      </w:r>
    </w:p>
    <w:p>
      <w:pPr>
        <w:spacing w:after="0" w:line="117" w:lineRule="exact"/>
        <w:rPr>
          <w:sz w:val="20"/>
          <w:szCs w:val="20"/>
          <w:color w:val="auto"/>
        </w:rPr>
      </w:pPr>
    </w:p>
    <w:p>
      <w:pPr>
        <w:ind w:right="560" w:firstLine="546"/>
        <w:spacing w:after="0" w:line="277" w:lineRule="auto"/>
        <w:rPr>
          <w:sz w:val="20"/>
          <w:szCs w:val="20"/>
          <w:color w:val="auto"/>
        </w:rPr>
      </w:pPr>
      <w:r>
        <w:rPr>
          <w:rFonts w:ascii="Arial" w:cs="Arial" w:eastAsia="Arial" w:hAnsi="Arial"/>
          <w:sz w:val="18"/>
          <w:szCs w:val="18"/>
          <w:color w:val="auto"/>
        </w:rPr>
        <w:t>The Company will reassess the transaction price at the end of each reporting period and as uncertain events are resolved or other changes in circumstances occur, and, if necessary, adjust its estimate of the transaction price.</w:t>
      </w:r>
    </w:p>
    <w:p>
      <w:pPr>
        <w:spacing w:after="0" w:line="170" w:lineRule="exact"/>
        <w:rPr>
          <w:sz w:val="20"/>
          <w:szCs w:val="20"/>
          <w:color w:val="auto"/>
        </w:rPr>
      </w:pPr>
    </w:p>
    <w:p>
      <w:pPr>
        <w:jc w:val="both"/>
        <w:ind w:right="80" w:firstLine="546"/>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Acceleron and therefore are recognized at the later of when the related sales occur or the performance obligation is satisfied.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117"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Acceleron Collaboration Agreement. Therefore, the Company will allocate the entire amount of the transaction price to the identified single performance obligation.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The Company recognizes revenue related to the Acceleron Collaboration Agreement over time as the Research Services are rendered. The Company has concluded that an input method is a representative depiction of the transfer of services under the Acceleron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Research Services. Changes in estimates of total internal and external costs expected to be incurred are recognized in the period of change as a cumulative catch-up adjustment.</w:t>
      </w:r>
    </w:p>
    <w:p>
      <w:pPr>
        <w:spacing w:after="0" w:line="178"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During the year ended December 31, 2020, the Company recognized $6.3 million of collaboration revenue associated with the Acceleron Collaboration Agreement, which includes a cumulative catch-up adjustment of $0.5 million attributable to the removal of the constraint associated with the $2.0 million of research milestones achieved in December 2020, and $3.4 million of revenue recognized that was included in deferred revenue as of December 31, 2019. During the year ended December 31, 2019, the Company did not recognize any revenue under the Acceleron Collaboration Agreement, as no Research Services had been performed. As of December 31, 2020 and 2019, the Company recorded deferred revenue associated with the Acceleron Collaboration Agreement of $7.9 million and $10.0 million, respectively, which is classified as either current or net of current portion in the accompanying consolidated balance sheets based on the period over which the revenue is expected to be recognized. The aggregate deferred revenue balance represents the aggregate amount of the transaction price allocated to the performance obligations that are unsatisfied as of December 31, 2020. As of December 31, 2020, the Company had received $1.7 million of cost reimbursement payments, and no milestone or royalty payments under the Acceleron Collaboration Agreement. As of December 31, 2019, the Company had not received any milestone, royalty, or cost reimbursement payments under the Acceleron Collaboration Agreement. As of December 31, 2020, the Company recorded unbilled accounts receivable of $0.5 million related to reimbursable research and development costs under the Acceleron Collaboration Agreement for activities performed during the three months ended December 31, 2020. As of December 31, 2020, the Company recorded accounts receivable of $2.0 million associated with the achievement of specified research milestones in December 2020. As of December 31, 2019, the Company had recorded no accounts receivable under the Acceleron Collaboration Agreement.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On July 20, 2020, the Company entered into the MyoKardia Collaboration Agreement,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88" w:lineRule="exact"/>
        <w:rPr>
          <w:sz w:val="20"/>
          <w:szCs w:val="20"/>
          <w:color w:val="auto"/>
        </w:rPr>
      </w:pPr>
    </w:p>
    <w:p>
      <w:pPr>
        <w:ind w:right="40" w:firstLine="546"/>
        <w:spacing w:after="0" w:line="283"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6" w:lineRule="exact"/>
        <w:rPr>
          <w:sz w:val="20"/>
          <w:szCs w:val="20"/>
          <w:color w:val="auto"/>
        </w:rPr>
      </w:pPr>
    </w:p>
    <w:p>
      <w:pPr>
        <w:ind w:right="200" w:firstLine="546"/>
        <w:spacing w:after="0" w:line="265"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 w:lineRule="exact"/>
        <w:rPr>
          <w:sz w:val="20"/>
          <w:szCs w:val="20"/>
          <w:color w:val="auto"/>
        </w:rPr>
      </w:pPr>
    </w:p>
    <w:p>
      <w:pPr>
        <w:ind w:right="20" w:firstLine="546"/>
        <w:spacing w:after="0" w:line="268" w:lineRule="auto"/>
        <w:rPr>
          <w:sz w:val="20"/>
          <w:szCs w:val="20"/>
          <w:color w:val="auto"/>
        </w:rPr>
      </w:pPr>
      <w:r>
        <w:rPr>
          <w:rFonts w:ascii="Arial" w:cs="Arial" w:eastAsia="Arial" w:hAnsi="Arial"/>
          <w:sz w:val="17"/>
          <w:szCs w:val="17"/>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81"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Analysis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Identification of the Contract</w:t>
      </w:r>
    </w:p>
    <w:p>
      <w:pPr>
        <w:spacing w:after="0" w:line="117"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4" w:name="page155"/>
    <w:bookmarkEnd w:id="154"/>
    <w:p>
      <w:pPr>
        <w:ind w:left="560"/>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117"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68" w:lineRule="exact"/>
        <w:rPr>
          <w:sz w:val="20"/>
          <w:szCs w:val="20"/>
          <w:color w:val="auto"/>
        </w:rPr>
      </w:pPr>
    </w:p>
    <w:p>
      <w:pPr>
        <w:ind w:right="180" w:firstLine="546"/>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63"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The Company received a non-refundable upfront payment of $10.0 million, which the Company included in the transaction price. Based on the uncertainty associated with the achievement of any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84"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62" w:lineRule="exact"/>
        <w:rPr>
          <w:sz w:val="20"/>
          <w:szCs w:val="20"/>
          <w:color w:val="auto"/>
        </w:rPr>
      </w:pPr>
    </w:p>
    <w:p>
      <w:pPr>
        <w:ind w:right="800" w:firstLine="546"/>
        <w:spacing w:after="0" w:line="277"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w:t>
      </w:r>
    </w:p>
    <w:p>
      <w:pPr>
        <w:spacing w:after="0" w:line="62"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117"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Recognition of Revenue</w:t>
      </w:r>
    </w:p>
    <w:p>
      <w:pPr>
        <w:spacing w:after="0" w:line="117" w:lineRule="exact"/>
        <w:rPr>
          <w:sz w:val="20"/>
          <w:szCs w:val="20"/>
          <w:color w:val="auto"/>
        </w:rPr>
      </w:pPr>
    </w:p>
    <w:p>
      <w:pPr>
        <w:ind w:right="80" w:firstLine="546"/>
        <w:spacing w:after="0" w:line="273" w:lineRule="auto"/>
        <w:rPr>
          <w:sz w:val="20"/>
          <w:szCs w:val="20"/>
          <w:color w:val="auto"/>
        </w:rPr>
      </w:pPr>
      <w:r>
        <w:rPr>
          <w:rFonts w:ascii="Arial" w:cs="Arial" w:eastAsia="Arial" w:hAnsi="Arial"/>
          <w:sz w:val="17"/>
          <w:szCs w:val="17"/>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70" w:lineRule="exact"/>
        <w:rPr>
          <w:sz w:val="20"/>
          <w:szCs w:val="20"/>
          <w:color w:val="auto"/>
        </w:rPr>
      </w:pPr>
    </w:p>
    <w:p>
      <w:pPr>
        <w:ind w:right="340" w:firstLine="546"/>
        <w:spacing w:after="0" w:line="263" w:lineRule="auto"/>
        <w:rPr>
          <w:sz w:val="20"/>
          <w:szCs w:val="20"/>
          <w:color w:val="auto"/>
        </w:rPr>
      </w:pPr>
      <w:r>
        <w:rPr>
          <w:rFonts w:ascii="Arial" w:cs="Arial" w:eastAsia="Arial" w:hAnsi="Arial"/>
          <w:sz w:val="18"/>
          <w:szCs w:val="18"/>
          <w:color w:val="auto"/>
        </w:rPr>
        <w:t>During the year ended December 31, 2020, the Company recognized $2.5 million of collaboration revenue associated with the MyoKardia Collaboration Agreement. During the year ended December 31, 2019, the Company did not recognize any revenue under the MyoKardia Collaboration Agreement as it had not yet entered into the MyoKardia Collaboration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5" w:name="page156"/>
    <w:bookmarkEnd w:id="155"/>
    <w:p>
      <w:pPr>
        <w:spacing w:after="0" w:line="271" w:lineRule="auto"/>
        <w:rPr>
          <w:sz w:val="20"/>
          <w:szCs w:val="20"/>
          <w:color w:val="auto"/>
        </w:rPr>
      </w:pPr>
      <w:r>
        <w:rPr>
          <w:rFonts w:ascii="Arial" w:cs="Arial" w:eastAsia="Arial" w:hAnsi="Arial"/>
          <w:sz w:val="17"/>
          <w:szCs w:val="17"/>
          <w:color w:val="auto"/>
        </w:rPr>
        <w:t>Agreement. As of December 31, 2020, the Company recorded deferred revenue of $10.0 million associated with the MyoKardia Collaboration Agreement, which is classified as either current or net of current portion in the accompanying consolidated balance sheets based on the period over which the revenue is expected to be recognized. As of December 31, 2019, the Company recorded no deferred revenue associated with the MyoKardia Collaboration Agreement as it had not yet entered into the MyoKardia Collaboration Agreement. The aggregate deferred revenue balance represents the aggregate amount of the transaction price allocated to the performance obligations that are unsatisfied as of December 31, 2020. As of December 31, 2020, the Company had not received any milestone, royalty, or cost reimbursement payments under the MyoKardia Collaboration Agreement, other than the $2.5 million payment as prepaid research funding in July 2020. As of December 31, 2020, the Company has recorded no accounts receivable related to reimbursable MyoKardia Research Services costs under the MyoKardia Collaboration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Asset Acquisition</w:t>
      </w:r>
    </w:p>
    <w:p>
      <w:pPr>
        <w:spacing w:after="0" w:line="121"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In February 2019, the Company entered into the GSK Agreement,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1"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Under the GSK Agreement, the Company issued 12,500,000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including $2.5 million due upon the initiation of a Phase 2 clinical trial, which was achieved and paid during the third quarter of 2019,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 The Company recorded the $2.5 million milestone due upon the initiation of a Phase 2 clinical trial as research and development expense in the Company’s consolidated statement of operations and comprehensive loss for the year ended December 31, 2019.</w:t>
      </w:r>
    </w:p>
    <w:p>
      <w:pPr>
        <w:spacing w:after="0" w:line="166" w:lineRule="exact"/>
        <w:rPr>
          <w:sz w:val="20"/>
          <w:szCs w:val="20"/>
          <w:color w:val="auto"/>
        </w:rPr>
      </w:pPr>
    </w:p>
    <w:p>
      <w:pPr>
        <w:ind w:right="320" w:firstLine="546"/>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during the year ended December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80" w:firstLine="546"/>
        <w:spacing w:after="0" w:line="287" w:lineRule="auto"/>
        <w:rPr>
          <w:sz w:val="20"/>
          <w:szCs w:val="20"/>
          <w:color w:val="auto"/>
        </w:rPr>
      </w:pPr>
      <w:r>
        <w:rPr>
          <w:rFonts w:ascii="Arial" w:cs="Arial" w:eastAsia="Arial" w:hAnsi="Arial"/>
          <w:sz w:val="16"/>
          <w:szCs w:val="16"/>
          <w:color w:val="auto"/>
        </w:rPr>
        <w:t>In November 2017, the Company entered into a lease agreement for its current corporate headquarters for approximately 28,731 square feet of office and laboratory space in Cambridge, Massachusetts, commencing December 2017 when the Company gained access to the leased space for purposes of making leasehold improvements.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2020 and 2019. The Company records rent expense for this lease on a straight-line basis. Rent expense associated with this lease for the years ended December 31, 2020 and 2019 was approximately $1.9 million.</w:t>
      </w:r>
    </w:p>
    <w:p>
      <w:pPr>
        <w:spacing w:after="0" w:line="168"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future minimum lease payments associated with the lease for the Company’s current headquarters as of December 31, 2020 are as follows (in thousands):</w:t>
      </w:r>
    </w:p>
    <w:p>
      <w:pPr>
        <w:spacing w:after="0" w:line="212"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2,354</w:t>
            </w:r>
          </w:p>
        </w:tc>
        <w:tc>
          <w:tcPr>
            <w:tcW w:w="6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2022</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2,424</w:t>
            </w:r>
          </w:p>
        </w:tc>
        <w:tc>
          <w:tcPr>
            <w:tcW w:w="6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6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2024</w:t>
            </w:r>
          </w:p>
        </w:tc>
        <w:tc>
          <w:tcPr>
            <w:tcW w:w="1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2,572</w:t>
            </w:r>
          </w:p>
        </w:tc>
        <w:tc>
          <w:tcPr>
            <w:tcW w:w="6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60" w:type="dxa"/>
            <w:vAlign w:val="bottom"/>
            <w:shd w:val="clear" w:color="auto" w:fill="CFF0FC"/>
          </w:tcPr>
          <w:p>
            <w:pPr>
              <w:spacing w:after="0"/>
              <w:rPr>
                <w:sz w:val="19"/>
                <w:szCs w:val="19"/>
                <w:color w:val="auto"/>
              </w:rPr>
            </w:pPr>
          </w:p>
        </w:tc>
      </w:tr>
      <w:tr>
        <w:trPr>
          <w:trHeight w:val="230"/>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w:t>
            </w:r>
          </w:p>
        </w:tc>
        <w:tc>
          <w:tcPr>
            <w:tcW w:w="60" w:type="dxa"/>
            <w:vAlign w:val="bottom"/>
            <w:tcBorders>
              <w:bottom w:val="single" w:sz="8" w:color="CFF0FC"/>
            </w:tcBorders>
          </w:tcPr>
          <w:p>
            <w:pPr>
              <w:spacing w:after="0"/>
              <w:rPr>
                <w:sz w:val="19"/>
                <w:szCs w:val="19"/>
                <w:color w:val="auto"/>
              </w:rPr>
            </w:pPr>
          </w:p>
        </w:tc>
      </w:tr>
      <w:tr>
        <w:trPr>
          <w:trHeight w:val="223"/>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16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19,462</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2020, the Company has not exercised its rights to license such technologies.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2020 or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0" w:firstLine="546"/>
        <w:spacing w:after="0" w:line="259" w:lineRule="auto"/>
        <w:rPr>
          <w:sz w:val="20"/>
          <w:szCs w:val="20"/>
          <w:color w:val="auto"/>
        </w:rPr>
      </w:pPr>
      <w:r>
        <w:rPr>
          <w:rFonts w:ascii="Arial" w:cs="Arial" w:eastAsia="Arial" w:hAnsi="Arial"/>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2020 and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5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Federal income tax at statutory rate</w:t>
            </w:r>
          </w:p>
        </w:tc>
        <w:tc>
          <w:tcPr>
            <w:tcW w:w="1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21.00%</w:t>
            </w: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Permanent differences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(0.79)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Federal and state research and development credits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Federal orphan drug credits</w:t>
            </w:r>
          </w:p>
        </w:tc>
        <w:tc>
          <w:tcPr>
            <w:tcW w:w="1200" w:type="dxa"/>
            <w:vAlign w:val="bottom"/>
          </w:tcPr>
          <w:p>
            <w:pPr>
              <w:jc w:val="right"/>
              <w:spacing w:after="0"/>
              <w:rPr>
                <w:sz w:val="20"/>
                <w:szCs w:val="20"/>
                <w:color w:val="auto"/>
              </w:rPr>
            </w:pPr>
            <w:r>
              <w:rPr>
                <w:rFonts w:ascii="Arial" w:cs="Arial" w:eastAsia="Arial" w:hAnsi="Arial"/>
                <w:sz w:val="18"/>
                <w:szCs w:val="18"/>
                <w:color w:val="auto"/>
              </w:rPr>
              <w:t>4.28</w:t>
            </w:r>
          </w:p>
        </w:tc>
        <w:tc>
          <w:tcPr>
            <w:tcW w:w="3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 net of federal benefit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200" w:type="dxa"/>
            <w:vAlign w:val="bottom"/>
          </w:tcPr>
          <w:p>
            <w:pPr>
              <w:jc w:val="right"/>
              <w:spacing w:after="0"/>
              <w:rPr>
                <w:sz w:val="20"/>
                <w:szCs w:val="20"/>
                <w:color w:val="auto"/>
              </w:rPr>
            </w:pPr>
            <w:r>
              <w:rPr>
                <w:rFonts w:ascii="Arial" w:cs="Arial" w:eastAsia="Arial" w:hAnsi="Arial"/>
                <w:sz w:val="18"/>
                <w:szCs w:val="18"/>
                <w:color w:val="auto"/>
              </w:rPr>
              <w:t>0.47</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(33.67)</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(29.03)</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1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80" w:firstLine="546"/>
        <w:spacing w:after="0" w:line="277" w:lineRule="auto"/>
        <w:rPr>
          <w:sz w:val="20"/>
          <w:szCs w:val="20"/>
          <w:color w:val="auto"/>
        </w:rPr>
      </w:pPr>
      <w:r>
        <w:rPr>
          <w:rFonts w:ascii="Arial" w:cs="Arial" w:eastAsia="Arial" w:hAnsi="Arial"/>
          <w:sz w:val="18"/>
          <w:szCs w:val="18"/>
          <w:color w:val="auto"/>
        </w:rPr>
        <w:t>During the years ended December 31, 2020 and 2019, the Company incurred book and tax losses and, because it maintains a full valuation allowance on its net deferred tax assets, did not recognize federal or state income tax expense or benefit.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deferred tax assets and liabilities consist of the following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December 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3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46,603</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30,444</w:t>
            </w:r>
          </w:p>
        </w:tc>
        <w:tc>
          <w:tcPr>
            <w:tcW w:w="80" w:type="dxa"/>
            <w:vAlign w:val="bottom"/>
          </w:tcPr>
          <w:p>
            <w:pPr>
              <w:spacing w:after="0"/>
              <w:rPr>
                <w:sz w:val="19"/>
                <w:szCs w:val="19"/>
                <w:color w:val="auto"/>
              </w:rPr>
            </w:pP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 carryforwards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4,658</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Orphan drug credit carryforwards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Intangible assets</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7,235</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Deferred lease incentive</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1,090</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w:t>
            </w:r>
          </w:p>
        </w:tc>
        <w:tc>
          <w:tcPr>
            <w:tcW w:w="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Gross deferred tax assets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68,642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45,002</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(67,427)</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(43,586)</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8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(1,215)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(1,416)</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net deferred tax assets. The Company considered its history of cumulative net losses incurred since inception and its lack of commercialization of any products since inception and has concluded that it is more likely than not that the Company will not realize the benefits of the net deferred tax assets. Accordingly, a full valuation allowance has been established against the net deferred tax assets as of December 31, 2020 and 2019. The valuation allowance increased by $23.8 million during the year ended December 31, 2020, which is primarily attributable to increases in net operating loss carryforwards as a result of current year net losses and the generation of research and development and orphan drug tax credit carryforwards. The Company reevaluates the positive and negative evidence at each reporting period.</w:t>
      </w:r>
    </w:p>
    <w:p>
      <w:pPr>
        <w:spacing w:after="0" w:line="195"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As of December 31, 2020, the Company had federal net operating loss carryforwards of approximately $170.7 million which begin to expire in 2035. Approximately $139.7 million of the federal net operating losses can be carried forward indefinitely. As of December 31, 2020, the Company also had state net operating loss carryforwards of approximately $170.2 million, which begin to expire in 2035.</w:t>
      </w:r>
    </w:p>
    <w:p>
      <w:pPr>
        <w:spacing w:after="0" w:line="184" w:lineRule="exact"/>
        <w:rPr>
          <w:sz w:val="20"/>
          <w:szCs w:val="20"/>
          <w:color w:val="auto"/>
        </w:rPr>
      </w:pPr>
    </w:p>
    <w:p>
      <w:pPr>
        <w:ind w:right="160" w:firstLine="546"/>
        <w:spacing w:after="0" w:line="259" w:lineRule="auto"/>
        <w:rPr>
          <w:sz w:val="20"/>
          <w:szCs w:val="20"/>
          <w:color w:val="auto"/>
        </w:rPr>
      </w:pPr>
      <w:r>
        <w:rPr>
          <w:rFonts w:ascii="Arial" w:cs="Arial" w:eastAsia="Arial" w:hAnsi="Arial"/>
          <w:sz w:val="18"/>
          <w:szCs w:val="18"/>
          <w:color w:val="auto"/>
        </w:rPr>
        <w:t>As of December 31, 2020, the Company had federal orphan drug credits of approximately $3.0 million, which begin to expire in 2040. As of December 31, 2020, the Company had federal research and development tax credit carryforwards of approximately $4.6 million, which begin to expire in 2035. As of December 31, 2020, the Company also had state research and development tax credit carryforwards of approximately $2.8 million, which begin to expire in 2030.</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58" w:name="page159"/>
    <w:bookmarkEnd w:id="158"/>
    <w:p>
      <w:pPr>
        <w:ind w:right="140" w:firstLine="546"/>
        <w:spacing w:after="0" w:line="287" w:lineRule="auto"/>
        <w:rPr>
          <w:sz w:val="20"/>
          <w:szCs w:val="20"/>
          <w:color w:val="auto"/>
        </w:rPr>
      </w:pPr>
      <w:r>
        <w:rPr>
          <w:rFonts w:ascii="Arial" w:cs="Arial" w:eastAsia="Arial" w:hAnsi="Arial"/>
          <w:sz w:val="16"/>
          <w:szCs w:val="16"/>
          <w:color w:val="auto"/>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68"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2020, the Company’s tax years are still open under statute from 2016 to the present.</w:t>
      </w:r>
    </w:p>
    <w:p>
      <w:pPr>
        <w:spacing w:after="0" w:line="184"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the provision for income taxes. As of December 31, 2020 and 2019, the Company had no accrued interest or penalties related to uncertain tax positions and no amounts have been recognized in the Company’s statements of operations. For the year ended December 31, 2020,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w:t>
      </w:r>
    </w:p>
    <w:p>
      <w:pPr>
        <w:spacing w:after="0" w:line="121" w:lineRule="exact"/>
        <w:rPr>
          <w:sz w:val="20"/>
          <w:szCs w:val="20"/>
          <w:color w:val="auto"/>
        </w:rPr>
      </w:pPr>
    </w:p>
    <w:p>
      <w:pPr>
        <w:ind w:right="60" w:firstLine="546"/>
        <w:spacing w:after="0" w:line="311" w:lineRule="auto"/>
        <w:rPr>
          <w:sz w:val="20"/>
          <w:szCs w:val="20"/>
          <w:color w:val="auto"/>
        </w:rPr>
      </w:pPr>
      <w:r>
        <w:rPr>
          <w:rFonts w:ascii="Arial" w:cs="Arial" w:eastAsia="Arial" w:hAnsi="Arial"/>
          <w:sz w:val="16"/>
          <w:szCs w:val="16"/>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21"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attributable to common stockholders for the periods indicated because including them would have had an anti-dilutive effect:</w:t>
      </w:r>
    </w:p>
    <w:p>
      <w:pPr>
        <w:spacing w:after="0" w:line="202"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Year Ended</w:t>
      </w:r>
    </w:p>
    <w:p>
      <w:pPr>
        <w:jc w:val="center"/>
        <w:ind w:left="49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55"/>
        </w:trPr>
        <w:tc>
          <w:tcPr>
            <w:tcW w:w="1700" w:type="dxa"/>
            <w:vAlign w:val="bottom"/>
          </w:tcPr>
          <w:p>
            <w:pPr>
              <w:spacing w:after="0"/>
              <w:rPr>
                <w:sz w:val="13"/>
                <w:szCs w:val="13"/>
                <w:color w:val="auto"/>
              </w:rPr>
            </w:pPr>
          </w:p>
        </w:tc>
        <w:tc>
          <w:tcPr>
            <w:tcW w:w="3060" w:type="dxa"/>
            <w:vAlign w:val="bottom"/>
            <w:tcBorders>
              <w:bottom w:val="single" w:sz="8" w:color="CFF0FC"/>
            </w:tcBorders>
          </w:tcPr>
          <w:p>
            <w:pPr>
              <w:spacing w:after="0"/>
              <w:rPr>
                <w:sz w:val="13"/>
                <w:szCs w:val="13"/>
                <w:color w:val="auto"/>
              </w:rPr>
            </w:pPr>
          </w:p>
        </w:tc>
        <w:tc>
          <w:tcPr>
            <w:tcW w:w="198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700" w:type="dxa"/>
            <w:vAlign w:val="bottom"/>
          </w:tcPr>
          <w:p>
            <w:pPr>
              <w:spacing w:after="0"/>
              <w:rPr>
                <w:sz w:val="13"/>
                <w:szCs w:val="13"/>
                <w:color w:val="auto"/>
              </w:rPr>
            </w:pPr>
          </w:p>
        </w:tc>
      </w:tr>
      <w:tr>
        <w:trPr>
          <w:trHeight w:val="223"/>
        </w:trPr>
        <w:tc>
          <w:tcPr>
            <w:tcW w:w="170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9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2,962,347</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2,023,828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Unvested restricted stock awards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125,836</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681,070</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3,088,183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2,704,898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40" w:type="dxa"/>
            <w:vAlign w:val="bottom"/>
            <w:gridSpan w:val="3"/>
          </w:tcPr>
          <w:p>
            <w:pPr>
              <w:ind w:left="700"/>
              <w:spacing w:after="0"/>
              <w:rPr>
                <w:sz w:val="20"/>
                <w:szCs w:val="20"/>
                <w:color w:val="auto"/>
              </w:rPr>
            </w:pPr>
            <w:r>
              <w:rPr>
                <w:rFonts w:ascii="Arial" w:cs="Arial" w:eastAsia="Arial" w:hAnsi="Arial"/>
                <w:sz w:val="18"/>
                <w:szCs w:val="18"/>
                <w:color w:val="auto"/>
              </w:rPr>
              <w:t>F-30</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During the year ended December 31, 2019, the Company paid fees to Third Rock Ventures, LLC (“TRV”), an affiliate of one of the Company’s principal stockholders, in exchange for consulting services. The Company recorded expenses related to such fees of less than $0.1 million during the year ended December 31, 2019. The Company did not record expenses related to such fees during the year ended December 31, 2020. During the year ended December 31, 2020, the Company did not pay fees to TRV in exchange for services. As of December 31, 2019, there was less than $0.1 million of amounts due to TRV for such services that were included in accounts payable and accrued expenses. As of December 31, 2020, there were no amounts due to TRV for such services that were included in accounts payable and accrued expenses. Additionally, consultants that provided services to the Company are employees of TRV. The Company has issued an aggregate of 142,284 shares of common stock to these consultants in exchange for their continuing consulting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20" w:type="dxa"/>
            <w:vAlign w:val="bottom"/>
            <w:gridSpan w:val="21"/>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39"/>
        </w:trPr>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20" w:type="dxa"/>
            <w:vAlign w:val="bottom"/>
            <w:gridSpan w:val="21"/>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220" w:type="dxa"/>
            <w:vAlign w:val="bottom"/>
            <w:tcBorders>
              <w:bottom w:val="single" w:sz="8" w:color="auto"/>
            </w:tcBorders>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80" w:type="dxa"/>
            <w:vAlign w:val="bottom"/>
          </w:tcPr>
          <w:p>
            <w:pPr>
              <w:ind w:left="180"/>
              <w:spacing w:after="0" w:line="182" w:lineRule="exact"/>
              <w:rPr>
                <w:sz w:val="20"/>
                <w:szCs w:val="20"/>
                <w:color w:val="auto"/>
              </w:rPr>
            </w:pPr>
            <w:r>
              <w:rPr>
                <w:rFonts w:ascii="Arial" w:cs="Arial" w:eastAsia="Arial" w:hAnsi="Arial"/>
                <w:sz w:val="18"/>
                <w:szCs w:val="18"/>
                <w:color w:val="auto"/>
              </w:rPr>
              <w:t>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25"/>
          </w:tcPr>
          <w:p>
            <w:pPr>
              <w:spacing w:after="0" w:line="182"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Restated Certificate of Incorporation of the Registrant (incorporated by reference to Exhibit 3.1 to the Registrant’s Current Report on Form 8-</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214">
              <w:r>
                <w:rPr>
                  <w:rFonts w:ascii="Arial" w:cs="Arial" w:eastAsia="Arial" w:hAnsi="Arial"/>
                  <w:sz w:val="18"/>
                  <w:szCs w:val="18"/>
                  <w:color w:val="0000EE"/>
                  <w:w w:val="91"/>
                </w:rPr>
                <w:t>K (File No. 001-38978) filed with the Securities and Exchange Commission on July 22, 2019).</w:t>
              </w:r>
            </w:hyperlink>
          </w:p>
        </w:tc>
        <w:tc>
          <w:tcPr>
            <w:tcW w:w="3360" w:type="dxa"/>
            <w:vAlign w:val="bottom"/>
            <w:tcBorders>
              <w:top w:val="single" w:sz="8" w:color="0000EE"/>
            </w:tcBorders>
            <w:gridSpan w:val="14"/>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8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4"/>
              </w:rPr>
            </w:pPr>
            <w:hyperlink r:id="rId215">
              <w:r>
                <w:rPr>
                  <w:rFonts w:ascii="Arial" w:cs="Arial" w:eastAsia="Arial" w:hAnsi="Arial"/>
                  <w:sz w:val="18"/>
                  <w:szCs w:val="18"/>
                  <w:color w:val="0000EE"/>
                  <w:w w:val="94"/>
                </w:rPr>
                <w:t>Amended and Restated Bylaws of the Registrant (incorporated by reference to Exhibit 3.2 to the Registrant’s Current Report on Form 8-K</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15">
              <w:r>
                <w:rPr>
                  <w:rFonts w:ascii="Arial" w:cs="Arial" w:eastAsia="Arial" w:hAnsi="Arial"/>
                  <w:sz w:val="18"/>
                  <w:szCs w:val="18"/>
                  <w:color w:val="0000EE"/>
                  <w:w w:val="91"/>
                </w:rPr>
                <w:t>(File No. 001-38978) filed with the Securities and Exchange Commission on July 22, 2019).</w:t>
              </w:r>
            </w:hyperlink>
          </w:p>
        </w:tc>
        <w:tc>
          <w:tcPr>
            <w:tcW w:w="3280" w:type="dxa"/>
            <w:vAlign w:val="bottom"/>
            <w:tcBorders>
              <w:top w:val="single" w:sz="8" w:color="0000EE"/>
            </w:tcBorders>
            <w:gridSpan w:val="10"/>
          </w:tcPr>
          <w:p>
            <w:pPr>
              <w:spacing w:after="0"/>
              <w:rPr>
                <w:sz w:val="17"/>
                <w:szCs w:val="17"/>
                <w:color w:val="auto"/>
              </w:rPr>
            </w:pPr>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8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216">
              <w:r>
                <w:rPr>
                  <w:rFonts w:ascii="Arial" w:cs="Arial" w:eastAsia="Arial" w:hAnsi="Arial"/>
                  <w:sz w:val="18"/>
                  <w:szCs w:val="18"/>
                  <w:color w:val="0000EE"/>
                  <w:w w:val="91"/>
                </w:rPr>
                <w:t>Specimen Stock Certificate evidencing shares of common stock (incorporated by reference to Exhibit 4.1 to the Registrant’s Registration</w:t>
              </w:r>
            </w:hyperlink>
          </w:p>
        </w:tc>
        <w:tc>
          <w:tcPr>
            <w:tcW w:w="42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gridSpan w:val="26"/>
          </w:tcPr>
          <w:p>
            <w:pPr>
              <w:spacing w:after="0"/>
              <w:rPr>
                <w:rFonts w:ascii="Arial" w:cs="Arial" w:eastAsia="Arial" w:hAnsi="Arial"/>
                <w:sz w:val="18"/>
                <w:szCs w:val="18"/>
                <w:u w:val="single" w:color="auto"/>
                <w:color w:val="0000EE"/>
              </w:rPr>
            </w:pPr>
            <w:hyperlink r:id="rId216">
              <w:r>
                <w:rPr>
                  <w:rFonts w:ascii="Arial" w:cs="Arial" w:eastAsia="Arial" w:hAnsi="Arial"/>
                  <w:sz w:val="18"/>
                  <w:szCs w:val="18"/>
                  <w:u w:val="single" w:color="auto"/>
                  <w:color w:val="0000EE"/>
                </w:rPr>
                <w:t>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190"/>
        </w:trPr>
        <w:tc>
          <w:tcPr>
            <w:tcW w:w="880" w:type="dxa"/>
            <w:vAlign w:val="bottom"/>
          </w:tcPr>
          <w:p>
            <w:pPr>
              <w:ind w:left="180"/>
              <w:spacing w:after="0" w:line="190" w:lineRule="exact"/>
              <w:rPr>
                <w:sz w:val="20"/>
                <w:szCs w:val="20"/>
                <w:color w:val="auto"/>
              </w:rPr>
            </w:pPr>
            <w:r>
              <w:rPr>
                <w:rFonts w:ascii="Arial" w:cs="Arial" w:eastAsia="Arial" w:hAnsi="Arial"/>
                <w:sz w:val="18"/>
                <w:szCs w:val="18"/>
                <w:color w:val="auto"/>
              </w:rPr>
              <w:t>4.2</w:t>
            </w:r>
          </w:p>
        </w:tc>
        <w:tc>
          <w:tcPr>
            <w:tcW w:w="60" w:type="dxa"/>
            <w:vAlign w:val="bottom"/>
          </w:tcPr>
          <w:p>
            <w:pPr>
              <w:spacing w:after="0"/>
              <w:rPr>
                <w:sz w:val="16"/>
                <w:szCs w:val="16"/>
                <w:color w:val="auto"/>
              </w:rPr>
            </w:pPr>
          </w:p>
        </w:tc>
        <w:tc>
          <w:tcPr>
            <w:tcW w:w="10320" w:type="dxa"/>
            <w:vAlign w:val="bottom"/>
            <w:gridSpan w:val="26"/>
          </w:tcPr>
          <w:p>
            <w:pPr>
              <w:spacing w:after="0" w:line="190" w:lineRule="exact"/>
              <w:rPr>
                <w:rFonts w:ascii="Arial" w:cs="Arial" w:eastAsia="Arial" w:hAnsi="Arial"/>
                <w:sz w:val="18"/>
                <w:szCs w:val="18"/>
                <w:color w:val="0000EE"/>
                <w:w w:val="93"/>
              </w:rPr>
            </w:pPr>
            <w:hyperlink r:id="rId217">
              <w:r>
                <w:rPr>
                  <w:rFonts w:ascii="Arial" w:cs="Arial" w:eastAsia="Arial" w:hAnsi="Arial"/>
                  <w:sz w:val="18"/>
                  <w:szCs w:val="18"/>
                  <w:color w:val="0000EE"/>
                  <w:w w:val="93"/>
                </w:rPr>
                <w:t>Description of the Registrant’s Securities Registered under Section 12 of the Exchange Act (incorporated by reference to Exhibit 4.2 to the</w:t>
              </w:r>
            </w:hyperlink>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80" w:type="dxa"/>
            <w:vAlign w:val="bottom"/>
            <w:tcBorders>
              <w:top w:val="single" w:sz="8" w:color="0000EE"/>
            </w:tcBorders>
            <w:gridSpan w:val="19"/>
          </w:tcPr>
          <w:p>
            <w:pPr>
              <w:spacing w:after="0"/>
              <w:rPr>
                <w:rFonts w:ascii="Arial" w:cs="Arial" w:eastAsia="Arial" w:hAnsi="Arial"/>
                <w:sz w:val="18"/>
                <w:szCs w:val="18"/>
                <w:u w:val="single" w:color="auto"/>
                <w:color w:val="0000EE"/>
                <w:w w:val="93"/>
              </w:rPr>
            </w:pPr>
            <w:hyperlink r:id="rId217">
              <w:r>
                <w:rPr>
                  <w:rFonts w:ascii="Arial" w:cs="Arial" w:eastAsia="Arial" w:hAnsi="Arial"/>
                  <w:sz w:val="18"/>
                  <w:szCs w:val="18"/>
                  <w:u w:val="single" w:color="auto"/>
                  <w:color w:val="0000EE"/>
                  <w:w w:val="93"/>
                </w:rPr>
                <w:t>Registrant’s Annual Report on Form 10-K (File No. 001-38978) filed with the Securities and Exchange Commission on March 5, 2020).</w:t>
              </w:r>
            </w:hyperlink>
          </w:p>
        </w:tc>
        <w:tc>
          <w:tcPr>
            <w:tcW w:w="3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00"/>
              <w:spacing w:after="0" w:line="190"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6"/>
                <w:szCs w:val="16"/>
                <w:color w:val="auto"/>
              </w:rPr>
            </w:pPr>
          </w:p>
        </w:tc>
        <w:tc>
          <w:tcPr>
            <w:tcW w:w="10320" w:type="dxa"/>
            <w:vAlign w:val="bottom"/>
            <w:gridSpan w:val="26"/>
          </w:tcPr>
          <w:p>
            <w:pPr>
              <w:spacing w:after="0" w:line="190"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Amended and Restated Investors' Rights Agreement, dated as of August 24, 2018, by and among the Registrant and the other parties thereto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(incorporated by reference to Exhibit 10.1 to the Registrant’s Registration Statement on Form S-1 (File No. 333-232260) filed with the</w:t>
              </w:r>
            </w:hyperlink>
          </w:p>
        </w:tc>
        <w:tc>
          <w:tcPr>
            <w:tcW w:w="380" w:type="dxa"/>
            <w:vAlign w:val="bottom"/>
            <w:tcBorders>
              <w:top w:val="single" w:sz="8" w:color="0000EE"/>
            </w:tcBorders>
            <w:gridSpan w:val="9"/>
          </w:tcPr>
          <w:p>
            <w:pPr>
              <w:spacing w:after="0"/>
              <w:rPr>
                <w:sz w:val="17"/>
                <w:szCs w:val="17"/>
                <w:color w:val="auto"/>
              </w:rPr>
            </w:pPr>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rPr>
            </w:pPr>
            <w:hyperlink r:id="rId218">
              <w:r>
                <w:rPr>
                  <w:rFonts w:ascii="Arial" w:cs="Arial" w:eastAsia="Arial" w:hAnsi="Arial"/>
                  <w:sz w:val="18"/>
                  <w:szCs w:val="18"/>
                  <w:color w:val="0000EE"/>
                </w:rPr>
                <w:t>Securities and Exchange Commission on June 21, 2019).</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0"/>
              </w:rPr>
            </w:pPr>
            <w:hyperlink r:id="rId219">
              <w:r>
                <w:rPr>
                  <w:rFonts w:ascii="Arial" w:cs="Arial" w:eastAsia="Arial" w:hAnsi="Arial"/>
                  <w:sz w:val="18"/>
                  <w:szCs w:val="18"/>
                  <w:color w:val="0000EE"/>
                  <w:w w:val="90"/>
                </w:rPr>
                <w:t>2016 Stock Incentive Plan, as amended (incorporated by reference to Exhibit 10.2 to the Registrant’s Registration Statement on Form S-1 (File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219">
              <w:r>
                <w:rPr>
                  <w:rFonts w:ascii="Arial" w:cs="Arial" w:eastAsia="Arial" w:hAnsi="Arial"/>
                  <w:sz w:val="18"/>
                  <w:szCs w:val="18"/>
                  <w:color w:val="0000EE"/>
                  <w:w w:val="90"/>
                </w:rPr>
                <w:t>No. 333-232260) filed with the Securities and Exchange Commission on June 21, 2019).</w:t>
              </w:r>
            </w:hyperlink>
          </w:p>
        </w:tc>
        <w:tc>
          <w:tcPr>
            <w:tcW w:w="3880" w:type="dxa"/>
            <w:vAlign w:val="bottom"/>
            <w:tcBorders>
              <w:top w:val="single" w:sz="8" w:color="0000EE"/>
            </w:tcBorders>
            <w:gridSpan w:val="1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Form of Incentive Stock Option Agreement under the 2016 Stock Incentive Plan (incorporated by reference to Exhibit 10.3 to the Registrant’s</w:t>
              </w:r>
            </w:hyperlink>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20" w:type="dxa"/>
            <w:vAlign w:val="bottom"/>
            <w:tcBorders>
              <w:top w:val="single" w:sz="8" w:color="0000EE"/>
            </w:tcBorders>
            <w:gridSpan w:val="23"/>
          </w:tcPr>
          <w:p>
            <w:pPr>
              <w:spacing w:after="0"/>
              <w:rPr>
                <w:rFonts w:ascii="Arial" w:cs="Arial" w:eastAsia="Arial" w:hAnsi="Arial"/>
                <w:sz w:val="18"/>
                <w:szCs w:val="18"/>
                <w:u w:val="single" w:color="auto"/>
                <w:color w:val="0000EE"/>
                <w:w w:val="98"/>
              </w:rPr>
            </w:pPr>
            <w:hyperlink r:id="rId220">
              <w:r>
                <w:rPr>
                  <w:rFonts w:ascii="Arial" w:cs="Arial" w:eastAsia="Arial" w:hAnsi="Arial"/>
                  <w:sz w:val="18"/>
                  <w:szCs w:val="18"/>
                  <w:u w:val="single" w:color="auto"/>
                  <w:color w:val="0000EE"/>
                  <w:w w:val="98"/>
                </w:rPr>
                <w:t>Registration Statement on Form S-1 (File No. 333-232260) filed with the Securities and Exchange Commission on June 21, 2019)</w:t>
              </w:r>
              <w:r>
                <w:rPr>
                  <w:rFonts w:ascii="Arial" w:cs="Arial" w:eastAsia="Arial" w:hAnsi="Arial"/>
                  <w:sz w:val="18"/>
                  <w:szCs w:val="18"/>
                  <w:u w:val="single" w:color="auto"/>
                  <w:color w:val="000000"/>
                  <w:w w:val="98"/>
                </w:rPr>
                <w:t>.</w:t>
              </w:r>
            </w:hyperlink>
          </w:p>
        </w:tc>
        <w:tc>
          <w:tcPr>
            <w:tcW w:w="1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00"/>
              <w:spacing w:after="0" w:line="190"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6"/>
                <w:szCs w:val="16"/>
                <w:color w:val="auto"/>
              </w:rPr>
            </w:pPr>
          </w:p>
        </w:tc>
        <w:tc>
          <w:tcPr>
            <w:tcW w:w="10320" w:type="dxa"/>
            <w:vAlign w:val="bottom"/>
            <w:gridSpan w:val="26"/>
          </w:tcPr>
          <w:p>
            <w:pPr>
              <w:spacing w:after="0" w:line="190" w:lineRule="exact"/>
              <w:rPr>
                <w:rFonts w:ascii="Arial" w:cs="Arial" w:eastAsia="Arial" w:hAnsi="Arial"/>
                <w:sz w:val="18"/>
                <w:szCs w:val="18"/>
                <w:color w:val="0000EE"/>
                <w:w w:val="97"/>
              </w:rPr>
            </w:pPr>
            <w:hyperlink r:id="rId221">
              <w:r>
                <w:rPr>
                  <w:rFonts w:ascii="Arial" w:cs="Arial" w:eastAsia="Arial" w:hAnsi="Arial"/>
                  <w:sz w:val="18"/>
                  <w:szCs w:val="18"/>
                  <w:color w:val="0000EE"/>
                  <w:w w:val="97"/>
                </w:rPr>
                <w:t>Form of Non-Statutory Stock Option Agreement under the 2016 Stock Incentive Plan (incorporated by reference to Exhibit 10.4 to the</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340" w:type="dxa"/>
            <w:vAlign w:val="bottom"/>
            <w:gridSpan w:val="5"/>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221">
              <w:r>
                <w:rPr>
                  <w:rFonts w:ascii="Arial" w:cs="Arial" w:eastAsia="Arial" w:hAnsi="Arial"/>
                  <w:sz w:val="18"/>
                  <w:szCs w:val="18"/>
                  <w:color w:val="0000EE"/>
                  <w:w w:val="90"/>
                </w:rPr>
                <w:t>Registrant’s Registration Statement on Form S-1 (File No. 333-232260) filed with the Securities and Exchange Commission on June 21,</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0" w:type="dxa"/>
            <w:vAlign w:val="bottom"/>
            <w:gridSpan w:val="3"/>
          </w:tcPr>
          <w:p>
            <w:pPr>
              <w:ind w:left="60"/>
              <w:spacing w:after="0" w:line="196" w:lineRule="exact"/>
              <w:rPr>
                <w:rFonts w:ascii="Arial" w:cs="Arial" w:eastAsia="Arial" w:hAnsi="Arial"/>
                <w:sz w:val="18"/>
                <w:szCs w:val="18"/>
                <w:color w:val="0000EE"/>
                <w:w w:val="86"/>
              </w:rPr>
            </w:pPr>
            <w:hyperlink r:id="rId221">
              <w:r>
                <w:rPr>
                  <w:rFonts w:ascii="Arial" w:cs="Arial" w:eastAsia="Arial" w:hAnsi="Arial"/>
                  <w:sz w:val="18"/>
                  <w:szCs w:val="18"/>
                  <w:color w:val="0000EE"/>
                  <w:w w:val="86"/>
                </w:rPr>
                <w:t>2019).</w:t>
              </w:r>
            </w:hyperlink>
          </w:p>
        </w:tc>
        <w:tc>
          <w:tcPr>
            <w:tcW w:w="1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9760" w:type="dxa"/>
            <w:vAlign w:val="bottom"/>
            <w:tcBorders>
              <w:bottom w:val="single" w:sz="8" w:color="0000EE"/>
            </w:tcBorders>
            <w:gridSpan w:val="14"/>
          </w:tcPr>
          <w:p>
            <w:pPr>
              <w:spacing w:after="0"/>
              <w:rPr>
                <w:rFonts w:ascii="Arial" w:cs="Arial" w:eastAsia="Arial" w:hAnsi="Arial"/>
                <w:sz w:val="18"/>
                <w:szCs w:val="18"/>
                <w:color w:val="0000EE"/>
                <w:w w:val="90"/>
              </w:rPr>
            </w:pPr>
            <w:hyperlink r:id="rId222">
              <w:r>
                <w:rPr>
                  <w:rFonts w:ascii="Arial" w:cs="Arial" w:eastAsia="Arial" w:hAnsi="Arial"/>
                  <w:sz w:val="18"/>
                  <w:szCs w:val="18"/>
                  <w:color w:val="0000EE"/>
                  <w:w w:val="90"/>
                </w:rPr>
                <w:t>Form of Restricted Stock Agreement under the 2016 Stock Incentive Plan (incorporated by reference to Exhibit 10.5 to the Registrant’s</w:t>
              </w:r>
            </w:hyperlink>
          </w:p>
        </w:tc>
        <w:tc>
          <w:tcPr>
            <w:tcW w:w="56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gridSpan w:val="26"/>
          </w:tcPr>
          <w:p>
            <w:pPr>
              <w:spacing w:after="0"/>
              <w:rPr>
                <w:rFonts w:ascii="Arial" w:cs="Arial" w:eastAsia="Arial" w:hAnsi="Arial"/>
                <w:sz w:val="18"/>
                <w:szCs w:val="18"/>
                <w:u w:val="single" w:color="auto"/>
                <w:color w:val="0000EE"/>
                <w:w w:val="99"/>
              </w:rPr>
            </w:pPr>
            <w:hyperlink r:id="rId222">
              <w:r>
                <w:rPr>
                  <w:rFonts w:ascii="Arial" w:cs="Arial" w:eastAsia="Arial" w:hAnsi="Arial"/>
                  <w:sz w:val="18"/>
                  <w:szCs w:val="18"/>
                  <w:u w:val="single" w:color="auto"/>
                  <w:color w:val="0000EE"/>
                  <w:w w:val="99"/>
                </w:rPr>
                <w:t>Registration Statement on Form S-1 (File No. 333-232260) filed with the Securities and Exchange Commission on June 21, 2019).</w:t>
              </w:r>
            </w:hyperlink>
          </w:p>
        </w:tc>
        <w:tc>
          <w:tcPr>
            <w:tcW w:w="0" w:type="dxa"/>
            <w:vAlign w:val="bottom"/>
          </w:tcPr>
          <w:p>
            <w:pPr>
              <w:spacing w:after="0"/>
              <w:rPr>
                <w:sz w:val="1"/>
                <w:szCs w:val="1"/>
                <w:color w:val="auto"/>
              </w:rPr>
            </w:pPr>
          </w:p>
        </w:tc>
      </w:tr>
      <w:tr>
        <w:trPr>
          <w:trHeight w:val="190"/>
        </w:trPr>
        <w:tc>
          <w:tcPr>
            <w:tcW w:w="880" w:type="dxa"/>
            <w:vAlign w:val="bottom"/>
          </w:tcPr>
          <w:p>
            <w:pPr>
              <w:ind w:left="100"/>
              <w:spacing w:after="0" w:line="190"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6"/>
                <w:szCs w:val="16"/>
                <w:color w:val="auto"/>
              </w:rPr>
            </w:pPr>
          </w:p>
        </w:tc>
        <w:tc>
          <w:tcPr>
            <w:tcW w:w="10280" w:type="dxa"/>
            <w:vAlign w:val="bottom"/>
            <w:tcBorders>
              <w:bottom w:val="single" w:sz="8" w:color="0000EE"/>
            </w:tcBorders>
            <w:gridSpan w:val="25"/>
          </w:tcPr>
          <w:p>
            <w:pPr>
              <w:spacing w:after="0" w:line="190"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2019 Stock Incentive Plan (incorporated by reference to Exhibit 10.6 to Amendment No. 1 to Registrant’s Registration Statement on Form S-1</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(File No. 333-232260) filed with the Securities and Exchange Commission on July 8, 2019).</w:t>
              </w:r>
            </w:hyperlink>
          </w:p>
        </w:tc>
        <w:tc>
          <w:tcPr>
            <w:tcW w:w="3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5"/>
              </w:rPr>
            </w:pPr>
            <w:hyperlink r:id="rId224">
              <w:r>
                <w:rPr>
                  <w:rFonts w:ascii="Arial" w:cs="Arial" w:eastAsia="Arial" w:hAnsi="Arial"/>
                  <w:sz w:val="18"/>
                  <w:szCs w:val="18"/>
                  <w:color w:val="0000EE"/>
                  <w:w w:val="95"/>
                </w:rPr>
                <w:t>Form of Stock Option Agreement under the 2019 Stock Incentive Plan (incorporated by reference to Exhibit 10.7 to Amendment No. 1 to</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340" w:type="dxa"/>
            <w:vAlign w:val="bottom"/>
            <w:gridSpan w:val="5"/>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gridSpan w:val="26"/>
          </w:tcPr>
          <w:p>
            <w:pPr>
              <w:spacing w:after="0"/>
              <w:rPr>
                <w:rFonts w:ascii="Arial" w:cs="Arial" w:eastAsia="Arial" w:hAnsi="Arial"/>
                <w:sz w:val="18"/>
                <w:szCs w:val="18"/>
                <w:u w:val="single" w:color="auto"/>
                <w:color w:val="0000EE"/>
                <w:w w:val="92"/>
              </w:rPr>
            </w:pPr>
            <w:hyperlink r:id="rId224">
              <w:r>
                <w:rPr>
                  <w:rFonts w:ascii="Arial" w:cs="Arial" w:eastAsia="Arial" w:hAnsi="Arial"/>
                  <w:sz w:val="18"/>
                  <w:szCs w:val="18"/>
                  <w:u w:val="single" w:color="auto"/>
                  <w:color w:val="0000EE"/>
                  <w:w w:val="92"/>
                </w:rPr>
                <w:t>Registrant’s Registration Statement on Form S-1 (File No. 333-232260) filed with the Securities and Exchange Commission on July 8, 2019).</w:t>
              </w:r>
            </w:hyperlink>
          </w:p>
        </w:tc>
        <w:tc>
          <w:tcPr>
            <w:tcW w:w="0" w:type="dxa"/>
            <w:vAlign w:val="bottom"/>
          </w:tcPr>
          <w:p>
            <w:pPr>
              <w:spacing w:after="0"/>
              <w:rPr>
                <w:sz w:val="1"/>
                <w:szCs w:val="1"/>
                <w:color w:val="auto"/>
              </w:rPr>
            </w:pPr>
          </w:p>
        </w:tc>
      </w:tr>
      <w:tr>
        <w:trPr>
          <w:trHeight w:val="190"/>
        </w:trPr>
        <w:tc>
          <w:tcPr>
            <w:tcW w:w="880" w:type="dxa"/>
            <w:vAlign w:val="bottom"/>
          </w:tcPr>
          <w:p>
            <w:pPr>
              <w:ind w:left="100"/>
              <w:spacing w:after="0" w:line="190"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6"/>
                <w:szCs w:val="16"/>
                <w:color w:val="auto"/>
              </w:rPr>
            </w:pPr>
          </w:p>
        </w:tc>
        <w:tc>
          <w:tcPr>
            <w:tcW w:w="10320" w:type="dxa"/>
            <w:vAlign w:val="bottom"/>
            <w:gridSpan w:val="26"/>
          </w:tcPr>
          <w:p>
            <w:pPr>
              <w:spacing w:after="0" w:line="190"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2019 Employee Stock Purchase Plan (incorporated by reference to Exhibit 10.8 to Amendment No. 1 to Registrant’s Registration Statement on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Form S-1 (File No. 333-232260) filed with the Securities and Exchange Commission on July 8, 2019).</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80" w:type="dxa"/>
            <w:vAlign w:val="bottom"/>
          </w:tcPr>
          <w:p>
            <w:pPr>
              <w:ind w:left="10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21"/>
                <w:szCs w:val="21"/>
                <w:color w:val="auto"/>
              </w:rPr>
            </w:pPr>
          </w:p>
        </w:tc>
        <w:tc>
          <w:tcPr>
            <w:tcW w:w="738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Summary of Non-Employee Director Compensation Program.</w:t>
              </w:r>
            </w:hyperlink>
          </w:p>
        </w:tc>
        <w:tc>
          <w:tcPr>
            <w:tcW w:w="29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00"/>
              <w:spacing w:after="0" w:line="190" w:lineRule="exact"/>
              <w:rPr>
                <w:sz w:val="20"/>
                <w:szCs w:val="20"/>
                <w:color w:val="auto"/>
              </w:rPr>
            </w:pPr>
            <w:r>
              <w:rPr>
                <w:rFonts w:ascii="Arial" w:cs="Arial" w:eastAsia="Arial" w:hAnsi="Arial"/>
                <w:sz w:val="18"/>
                <w:szCs w:val="18"/>
                <w:color w:val="auto"/>
              </w:rPr>
              <w:t>10.10</w:t>
            </w: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320" w:type="dxa"/>
            <w:vAlign w:val="bottom"/>
            <w:gridSpan w:val="26"/>
          </w:tcPr>
          <w:p>
            <w:pPr>
              <w:spacing w:after="0" w:line="190" w:lineRule="exact"/>
              <w:rPr>
                <w:rFonts w:ascii="Arial" w:cs="Arial" w:eastAsia="Arial" w:hAnsi="Arial"/>
                <w:sz w:val="18"/>
                <w:szCs w:val="18"/>
                <w:color w:val="0000EE"/>
                <w:w w:val="97"/>
              </w:rPr>
            </w:pPr>
            <w:hyperlink r:id="rId226">
              <w:r>
                <w:rPr>
                  <w:rFonts w:ascii="Arial" w:cs="Arial" w:eastAsia="Arial" w:hAnsi="Arial"/>
                  <w:sz w:val="18"/>
                  <w:szCs w:val="18"/>
                  <w:color w:val="0000EE"/>
                  <w:w w:val="97"/>
                </w:rPr>
                <w:t>Right of Reference and License Agreement, dated as of February 8, 2019, by and among the Registrant, GlaxoSmithKline Intellectual</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520" w:type="dxa"/>
            <w:vAlign w:val="bottom"/>
            <w:gridSpan w:val="6"/>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w w:val="96"/>
              </w:rPr>
            </w:pPr>
            <w:hyperlink r:id="rId226">
              <w:r>
                <w:rPr>
                  <w:rFonts w:ascii="Arial" w:cs="Arial" w:eastAsia="Arial" w:hAnsi="Arial"/>
                  <w:sz w:val="18"/>
                  <w:szCs w:val="18"/>
                  <w:color w:val="0000EE"/>
                  <w:w w:val="96"/>
                </w:rPr>
                <w:t>Property (No. 2) Limited, GlaxoSmithKline LLC and Glaxo Group Limited (incorporated by reference to Exhibit 10.10 to the Registrant’s</w:t>
              </w:r>
            </w:hyperlink>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60" w:type="dxa"/>
            <w:vAlign w:val="bottom"/>
            <w:tcBorders>
              <w:top w:val="single" w:sz="8" w:color="0000EE"/>
            </w:tcBorders>
            <w:gridSpan w:val="18"/>
          </w:tcPr>
          <w:p>
            <w:pPr>
              <w:spacing w:after="0"/>
              <w:rPr>
                <w:rFonts w:ascii="Arial" w:cs="Arial" w:eastAsia="Arial" w:hAnsi="Arial"/>
                <w:sz w:val="18"/>
                <w:szCs w:val="18"/>
                <w:u w:val="single" w:color="auto"/>
                <w:color w:val="0000EE"/>
                <w:w w:val="95"/>
              </w:rPr>
            </w:pPr>
            <w:hyperlink r:id="rId226">
              <w:r>
                <w:rPr>
                  <w:rFonts w:ascii="Arial" w:cs="Arial" w:eastAsia="Arial" w:hAnsi="Arial"/>
                  <w:sz w:val="18"/>
                  <w:szCs w:val="18"/>
                  <w:u w:val="single" w:color="auto"/>
                  <w:color w:val="0000EE"/>
                  <w:w w:val="95"/>
                </w:rPr>
                <w:t>Registration Statement on Form S-1 (File No. 333-232260) filed with the Securities and Exchange Commission on June 21, 2019).</w:t>
              </w:r>
            </w:hyperlink>
          </w:p>
        </w:tc>
        <w:tc>
          <w:tcPr>
            <w:tcW w:w="36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00"/>
              <w:spacing w:after="0" w:line="190"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6"/>
                <w:szCs w:val="16"/>
                <w:color w:val="auto"/>
              </w:rPr>
            </w:pPr>
          </w:p>
        </w:tc>
        <w:tc>
          <w:tcPr>
            <w:tcW w:w="10260" w:type="dxa"/>
            <w:vAlign w:val="bottom"/>
            <w:tcBorders>
              <w:bottom w:val="single" w:sz="8" w:color="0000EE"/>
            </w:tcBorders>
            <w:gridSpan w:val="24"/>
          </w:tcPr>
          <w:p>
            <w:pPr>
              <w:spacing w:after="0" w:line="190"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Lease for 26 Landsdowne Street, dated November 22, 2017, by and between the UP 26 Landsdowne, LLC and the Registrant (incorporated by</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w w:val="97"/>
              </w:rPr>
            </w:pPr>
            <w:hyperlink r:id="rId227">
              <w:r>
                <w:rPr>
                  <w:rFonts w:ascii="Arial" w:cs="Arial" w:eastAsia="Arial" w:hAnsi="Arial"/>
                  <w:sz w:val="18"/>
                  <w:szCs w:val="18"/>
                  <w:color w:val="0000EE"/>
                  <w:w w:val="97"/>
                </w:rPr>
                <w:t>reference to Exhibit 10.11 to the Registrant’s Registration Statement on Form S-1 (File No. 333-232260) filed with the Securities and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27">
              <w:r>
                <w:rPr>
                  <w:rFonts w:ascii="Arial" w:cs="Arial" w:eastAsia="Arial" w:hAnsi="Arial"/>
                  <w:sz w:val="18"/>
                  <w:szCs w:val="18"/>
                  <w:color w:val="0000EE"/>
                </w:rPr>
                <w:t>Exchange Commission on June 21, 2019).</w:t>
              </w:r>
            </w:hyperlink>
          </w:p>
        </w:tc>
        <w:tc>
          <w:tcPr>
            <w:tcW w:w="6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0" w:type="dxa"/>
            <w:vAlign w:val="bottom"/>
          </w:tcPr>
          <w:p>
            <w:pPr>
              <w:ind w:left="100"/>
              <w:spacing w:after="0"/>
              <w:rPr>
                <w:sz w:val="20"/>
                <w:szCs w:val="20"/>
                <w:color w:val="auto"/>
              </w:rPr>
            </w:pPr>
            <w:r>
              <w:rPr>
                <w:rFonts w:ascii="Arial" w:cs="Arial" w:eastAsia="Arial" w:hAnsi="Arial"/>
                <w:sz w:val="18"/>
                <w:szCs w:val="18"/>
                <w:color w:val="auto"/>
              </w:rPr>
              <w:t>10.12#</w:t>
            </w:r>
          </w:p>
        </w:tc>
        <w:tc>
          <w:tcPr>
            <w:tcW w:w="6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6"/>
              </w:rPr>
            </w:pPr>
            <w:hyperlink r:id="rId228">
              <w:r>
                <w:rPr>
                  <w:rFonts w:ascii="Arial" w:cs="Arial" w:eastAsia="Arial" w:hAnsi="Arial"/>
                  <w:sz w:val="18"/>
                  <w:szCs w:val="18"/>
                  <w:color w:val="0000EE"/>
                  <w:w w:val="96"/>
                </w:rPr>
                <w:t>Form of Employment Agreement for Executive Officers (incorporated by reference to Exhibit 10.12 to Amendment No. 1 to Registrant’s</w:t>
              </w:r>
            </w:hyperlink>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900" w:type="dxa"/>
            <w:vAlign w:val="bottom"/>
            <w:tcBorders>
              <w:top w:val="single" w:sz="8" w:color="0000EE"/>
            </w:tcBorders>
            <w:gridSpan w:val="16"/>
          </w:tcPr>
          <w:p>
            <w:pPr>
              <w:spacing w:after="0"/>
              <w:rPr>
                <w:rFonts w:ascii="Arial" w:cs="Arial" w:eastAsia="Arial" w:hAnsi="Arial"/>
                <w:sz w:val="18"/>
                <w:szCs w:val="18"/>
                <w:u w:val="single" w:color="auto"/>
                <w:color w:val="0000EE"/>
                <w:w w:val="96"/>
              </w:rPr>
            </w:pPr>
            <w:hyperlink r:id="rId228">
              <w:r>
                <w:rPr>
                  <w:rFonts w:ascii="Arial" w:cs="Arial" w:eastAsia="Arial" w:hAnsi="Arial"/>
                  <w:sz w:val="18"/>
                  <w:szCs w:val="18"/>
                  <w:u w:val="single" w:color="auto"/>
                  <w:color w:val="0000EE"/>
                  <w:w w:val="96"/>
                </w:rPr>
                <w:t>Registration Statement on Form S-1 (File No. 333-232260) filed with the Securities and Exchange Commission on July 8, 2019).</w:t>
              </w:r>
            </w:hyperlink>
          </w:p>
        </w:tc>
        <w:tc>
          <w:tcPr>
            <w:tcW w:w="42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80" w:type="dxa"/>
            <w:vAlign w:val="bottom"/>
          </w:tcPr>
          <w:p>
            <w:pPr>
              <w:ind w:left="100"/>
              <w:spacing w:after="0" w:line="190"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6"/>
                <w:szCs w:val="16"/>
                <w:color w:val="auto"/>
              </w:rPr>
            </w:pPr>
          </w:p>
        </w:tc>
        <w:tc>
          <w:tcPr>
            <w:tcW w:w="10320" w:type="dxa"/>
            <w:vAlign w:val="bottom"/>
            <w:gridSpan w:val="26"/>
          </w:tcPr>
          <w:p>
            <w:pPr>
              <w:spacing w:after="0" w:line="190"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Employment Agreement, dated June 30, 2019, by and between the Registrant and Robert J. Gould (incorporated by reference to Exhibit 10.13</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7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229">
              <w:r>
                <w:rPr>
                  <w:rFonts w:ascii="Arial" w:cs="Arial" w:eastAsia="Arial" w:hAnsi="Arial"/>
                  <w:sz w:val="18"/>
                  <w:szCs w:val="18"/>
                  <w:color w:val="0000EE"/>
                  <w:w w:val="91"/>
                </w:rPr>
                <w:t>to Amendment No. 2 to Registrant’s Registration Statement on Form S-1 (File No. 333-232260) filed with the Securities and Exchange</w:t>
              </w:r>
            </w:hyperlink>
          </w:p>
        </w:tc>
        <w:tc>
          <w:tcPr>
            <w:tcW w:w="480" w:type="dxa"/>
            <w:vAlign w:val="bottom"/>
            <w:tcBorders>
              <w:top w:val="single" w:sz="8" w:color="0000EE"/>
            </w:tcBorders>
            <w:gridSpan w:val="10"/>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Commission on July 12, 2019).</w:t>
              </w:r>
            </w:hyperlink>
          </w:p>
        </w:tc>
        <w:tc>
          <w:tcPr>
            <w:tcW w:w="80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80" w:type="dxa"/>
            <w:vAlign w:val="bottom"/>
          </w:tcPr>
          <w:p>
            <w:pPr>
              <w:ind w:left="100"/>
              <w:spacing w:after="0"/>
              <w:rPr>
                <w:sz w:val="20"/>
                <w:szCs w:val="20"/>
                <w:color w:val="auto"/>
              </w:rPr>
            </w:pPr>
            <w:r>
              <w:rPr>
                <w:rFonts w:ascii="Arial" w:cs="Arial" w:eastAsia="Arial" w:hAnsi="Arial"/>
                <w:sz w:val="18"/>
                <w:szCs w:val="18"/>
                <w:color w:val="auto"/>
              </w:rPr>
              <w:t>10.14#</w:t>
            </w:r>
          </w:p>
        </w:tc>
        <w:tc>
          <w:tcPr>
            <w:tcW w:w="60" w:type="dxa"/>
            <w:vAlign w:val="bottom"/>
          </w:tcPr>
          <w:p>
            <w:pPr>
              <w:spacing w:after="0"/>
              <w:rPr>
                <w:sz w:val="18"/>
                <w:szCs w:val="18"/>
                <w:color w:val="auto"/>
              </w:rPr>
            </w:pPr>
          </w:p>
        </w:tc>
        <w:tc>
          <w:tcPr>
            <w:tcW w:w="10320" w:type="dxa"/>
            <w:vAlign w:val="bottom"/>
            <w:gridSpan w:val="26"/>
          </w:tcPr>
          <w:p>
            <w:pPr>
              <w:spacing w:after="0"/>
              <w:rPr>
                <w:rFonts w:ascii="Arial" w:cs="Arial" w:eastAsia="Arial" w:hAnsi="Arial"/>
                <w:sz w:val="18"/>
                <w:szCs w:val="18"/>
                <w:color w:val="0000EE"/>
                <w:w w:val="92"/>
              </w:rPr>
            </w:pPr>
            <w:hyperlink r:id="rId230">
              <w:r>
                <w:rPr>
                  <w:rFonts w:ascii="Arial" w:cs="Arial" w:eastAsia="Arial" w:hAnsi="Arial"/>
                  <w:sz w:val="18"/>
                  <w:szCs w:val="18"/>
                  <w:color w:val="0000EE"/>
                  <w:w w:val="92"/>
                </w:rPr>
                <w:t>Employment Agreement, dated July 3, 2019, by and between the Registrant and Bryan Stuart (incorporated by reference to Exhibit 10.14 to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30">
              <w:r>
                <w:rPr>
                  <w:rFonts w:ascii="Arial" w:cs="Arial" w:eastAsia="Arial" w:hAnsi="Arial"/>
                  <w:sz w:val="18"/>
                  <w:szCs w:val="18"/>
                  <w:color w:val="0000EE"/>
                  <w:w w:val="91"/>
                </w:rPr>
                <w:t>Amendment No. 2 to Registrant’s Registration Statement on Form S-1 (File No. 333-232260) filed with the Securities and Exchange</w:t>
              </w:r>
            </w:hyperlink>
          </w:p>
        </w:tc>
        <w:tc>
          <w:tcPr>
            <w:tcW w:w="500" w:type="dxa"/>
            <w:vAlign w:val="bottom"/>
            <w:tcBorders>
              <w:top w:val="single" w:sz="8" w:color="0000EE"/>
            </w:tcBorders>
            <w:gridSpan w:val="10"/>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320" w:type="dxa"/>
            <w:vAlign w:val="bottom"/>
            <w:gridSpan w:val="26"/>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Commission on July 12, 2019).</w:t>
              </w:r>
            </w:hyperlink>
          </w:p>
        </w:tc>
        <w:tc>
          <w:tcPr>
            <w:tcW w:w="0" w:type="dxa"/>
            <w:vAlign w:val="bottom"/>
          </w:tcPr>
          <w:p>
            <w:pPr>
              <w:spacing w:after="0"/>
              <w:rPr>
                <w:sz w:val="1"/>
                <w:szCs w:val="1"/>
                <w:color w:val="auto"/>
              </w:rPr>
            </w:pPr>
          </w:p>
        </w:tc>
      </w:tr>
      <w:tr>
        <w:trPr>
          <w:trHeight w:val="568"/>
        </w:trPr>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1800" w:type="dxa"/>
            <w:vAlign w:val="bottom"/>
            <w:tcBorders>
              <w:top w:val="single" w:sz="8" w:color="0000EE"/>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940" w:type="dxa"/>
            <w:vAlign w:val="bottom"/>
          </w:tcPr>
          <w:p>
            <w:pPr>
              <w:ind w:left="100"/>
              <w:spacing w:after="0"/>
              <w:rPr>
                <w:sz w:val="20"/>
                <w:szCs w:val="20"/>
                <w:color w:val="auto"/>
              </w:rPr>
            </w:pPr>
            <w:r>
              <w:rPr>
                <w:rFonts w:ascii="Arial" w:cs="Arial" w:eastAsia="Arial" w:hAnsi="Arial"/>
                <w:sz w:val="18"/>
                <w:szCs w:val="18"/>
                <w:color w:val="auto"/>
              </w:rPr>
              <w:t>10.15#</w:t>
            </w:r>
          </w:p>
        </w:tc>
        <w:tc>
          <w:tcPr>
            <w:tcW w:w="10200" w:type="dxa"/>
            <w:vAlign w:val="bottom"/>
            <w:tcBorders>
              <w:bottom w:val="single" w:sz="8" w:color="0000EE"/>
            </w:tcBorders>
            <w:gridSpan w:val="20"/>
          </w:tcPr>
          <w:p>
            <w:pPr>
              <w:spacing w:after="0"/>
              <w:rPr>
                <w:rFonts w:ascii="Arial" w:cs="Arial" w:eastAsia="Arial" w:hAnsi="Arial"/>
                <w:sz w:val="18"/>
                <w:szCs w:val="18"/>
                <w:color w:val="0000EE"/>
                <w:w w:val="90"/>
              </w:rPr>
            </w:pPr>
            <w:hyperlink r:id="rId233">
              <w:r>
                <w:rPr>
                  <w:rFonts w:ascii="Arial" w:cs="Arial" w:eastAsia="Arial" w:hAnsi="Arial"/>
                  <w:sz w:val="18"/>
                  <w:szCs w:val="18"/>
                  <w:color w:val="0000EE"/>
                  <w:w w:val="90"/>
                </w:rPr>
                <w:t>Employment Agreement, dated July 18, 2019, by and between the Registrant and Owen Wallace (incorporated by reference to Exhibit 10.1 to</w:t>
              </w:r>
            </w:hyperlink>
          </w:p>
        </w:tc>
        <w:tc>
          <w:tcPr>
            <w:tcW w:w="100" w:type="dxa"/>
            <w:vAlign w:val="bottom"/>
            <w:gridSpan w:val="3"/>
          </w:tcPr>
          <w:p>
            <w:pPr>
              <w:spacing w:after="0"/>
              <w:rPr>
                <w:sz w:val="17"/>
                <w:szCs w:val="17"/>
                <w:color w:val="auto"/>
              </w:rPr>
            </w:pPr>
          </w:p>
        </w:tc>
      </w:tr>
      <w:tr>
        <w:trPr>
          <w:trHeight w:val="236"/>
        </w:trPr>
        <w:tc>
          <w:tcPr>
            <w:tcW w:w="940" w:type="dxa"/>
            <w:vAlign w:val="bottom"/>
          </w:tcPr>
          <w:p>
            <w:pPr>
              <w:spacing w:after="0"/>
              <w:rPr>
                <w:sz w:val="20"/>
                <w:szCs w:val="20"/>
                <w:color w:val="auto"/>
              </w:rPr>
            </w:pPr>
          </w:p>
        </w:tc>
        <w:tc>
          <w:tcPr>
            <w:tcW w:w="10300" w:type="dxa"/>
            <w:vAlign w:val="bottom"/>
            <w:gridSpan w:val="23"/>
          </w:tcPr>
          <w:p>
            <w:pPr>
              <w:spacing w:after="0"/>
              <w:rPr>
                <w:rFonts w:ascii="Arial" w:cs="Arial" w:eastAsia="Arial" w:hAnsi="Arial"/>
                <w:sz w:val="18"/>
                <w:szCs w:val="18"/>
                <w:u w:val="single" w:color="auto"/>
                <w:color w:val="0000EE"/>
                <w:w w:val="94"/>
              </w:rPr>
            </w:pPr>
            <w:hyperlink r:id="rId233">
              <w:r>
                <w:rPr>
                  <w:rFonts w:ascii="Arial" w:cs="Arial" w:eastAsia="Arial" w:hAnsi="Arial"/>
                  <w:sz w:val="18"/>
                  <w:szCs w:val="18"/>
                  <w:u w:val="single" w:color="auto"/>
                  <w:color w:val="0000EE"/>
                  <w:w w:val="94"/>
                </w:rPr>
                <w:t>Registrant’s Quarterly Report on Form 10-Q (File No. 001-38978) filed with the Securities and Exchange Commission on May 13, 2020).</w:t>
              </w:r>
            </w:hyperlink>
          </w:p>
        </w:tc>
      </w:tr>
      <w:tr>
        <w:trPr>
          <w:trHeight w:val="230"/>
        </w:trPr>
        <w:tc>
          <w:tcPr>
            <w:tcW w:w="940" w:type="dxa"/>
            <w:vAlign w:val="bottom"/>
          </w:tcPr>
          <w:p>
            <w:pPr>
              <w:ind w:left="100"/>
              <w:spacing w:after="0"/>
              <w:rPr>
                <w:sz w:val="20"/>
                <w:szCs w:val="20"/>
                <w:color w:val="auto"/>
              </w:rPr>
            </w:pPr>
            <w:r>
              <w:rPr>
                <w:rFonts w:ascii="Arial" w:cs="Arial" w:eastAsia="Arial" w:hAnsi="Arial"/>
                <w:sz w:val="18"/>
                <w:szCs w:val="18"/>
                <w:color w:val="auto"/>
              </w:rPr>
              <w:t>10.16*#</w:t>
            </w:r>
          </w:p>
        </w:tc>
        <w:tc>
          <w:tcPr>
            <w:tcW w:w="10300" w:type="dxa"/>
            <w:vAlign w:val="bottom"/>
            <w:gridSpan w:val="23"/>
          </w:tcPr>
          <w:p>
            <w:pPr>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Employment Agreement, dated October 29, 2020, by and between the Registrant and Curtis Oltmans.</w:t>
              </w:r>
            </w:hyperlink>
          </w:p>
        </w:tc>
      </w:tr>
      <w:tr>
        <w:trPr>
          <w:trHeight w:val="190"/>
        </w:trPr>
        <w:tc>
          <w:tcPr>
            <w:tcW w:w="940" w:type="dxa"/>
            <w:vAlign w:val="bottom"/>
          </w:tcPr>
          <w:p>
            <w:pPr>
              <w:ind w:left="100"/>
              <w:spacing w:after="0" w:line="190" w:lineRule="exact"/>
              <w:rPr>
                <w:sz w:val="20"/>
                <w:szCs w:val="20"/>
                <w:color w:val="auto"/>
              </w:rPr>
            </w:pPr>
            <w:r>
              <w:rPr>
                <w:rFonts w:ascii="Arial" w:cs="Arial" w:eastAsia="Arial" w:hAnsi="Arial"/>
                <w:sz w:val="18"/>
                <w:szCs w:val="18"/>
                <w:color w:val="auto"/>
              </w:rPr>
              <w:t>10.17#</w:t>
            </w:r>
          </w:p>
        </w:tc>
        <w:tc>
          <w:tcPr>
            <w:tcW w:w="9960" w:type="dxa"/>
            <w:vAlign w:val="bottom"/>
            <w:tcBorders>
              <w:bottom w:val="single" w:sz="8" w:color="0000EE"/>
            </w:tcBorders>
            <w:gridSpan w:val="15"/>
          </w:tcPr>
          <w:p>
            <w:pPr>
              <w:spacing w:after="0" w:line="190"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Form of Indemnification Agreement between the Registrant and each of its Executive Officers and Directors (incorporated by reference to</w:t>
              </w:r>
            </w:hyperlink>
          </w:p>
        </w:tc>
        <w:tc>
          <w:tcPr>
            <w:tcW w:w="340" w:type="dxa"/>
            <w:vAlign w:val="bottom"/>
            <w:gridSpan w:val="8"/>
          </w:tcPr>
          <w:p>
            <w:pPr>
              <w:spacing w:after="0"/>
              <w:rPr>
                <w:sz w:val="16"/>
                <w:szCs w:val="16"/>
                <w:color w:val="auto"/>
              </w:rPr>
            </w:pPr>
          </w:p>
        </w:tc>
      </w:tr>
      <w:tr>
        <w:trPr>
          <w:trHeight w:val="196"/>
        </w:trPr>
        <w:tc>
          <w:tcPr>
            <w:tcW w:w="940" w:type="dxa"/>
            <w:vAlign w:val="bottom"/>
          </w:tcPr>
          <w:p>
            <w:pPr>
              <w:spacing w:after="0"/>
              <w:rPr>
                <w:sz w:val="17"/>
                <w:szCs w:val="17"/>
                <w:color w:val="auto"/>
              </w:rPr>
            </w:pPr>
          </w:p>
        </w:tc>
        <w:tc>
          <w:tcPr>
            <w:tcW w:w="10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34">
              <w:r>
                <w:rPr>
                  <w:rFonts w:ascii="Arial" w:cs="Arial" w:eastAsia="Arial" w:hAnsi="Arial"/>
                  <w:sz w:val="18"/>
                  <w:szCs w:val="18"/>
                  <w:color w:val="0000EE"/>
                  <w:w w:val="91"/>
                </w:rPr>
                <w:t>Exhibit 10.15 to Registrant’s Registration Statement on Form S-1 (File No. 333-232260) filed with the Securities and Exchange Commission</w:t>
              </w:r>
            </w:hyperlink>
          </w:p>
        </w:tc>
        <w:tc>
          <w:tcPr>
            <w:tcW w:w="140" w:type="dxa"/>
            <w:vAlign w:val="bottom"/>
            <w:gridSpan w:val="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234">
              <w:r>
                <w:rPr>
                  <w:rFonts w:ascii="Arial" w:cs="Arial" w:eastAsia="Arial" w:hAnsi="Arial"/>
                  <w:sz w:val="18"/>
                  <w:szCs w:val="18"/>
                  <w:color w:val="0000EE"/>
                  <w:w w:val="87"/>
                </w:rPr>
                <w:t>on June 21, 2019).</w:t>
              </w:r>
            </w:hyperlink>
          </w:p>
        </w:tc>
        <w:tc>
          <w:tcPr>
            <w:tcW w:w="8960" w:type="dxa"/>
            <w:vAlign w:val="bottom"/>
            <w:gridSpan w:val="18"/>
          </w:tcPr>
          <w:p>
            <w:pPr>
              <w:spacing w:after="0"/>
              <w:rPr>
                <w:sz w:val="17"/>
                <w:szCs w:val="17"/>
                <w:color w:val="auto"/>
              </w:rPr>
            </w:pPr>
          </w:p>
        </w:tc>
      </w:tr>
      <w:tr>
        <w:trPr>
          <w:trHeight w:val="210"/>
        </w:trPr>
        <w:tc>
          <w:tcPr>
            <w:tcW w:w="940" w:type="dxa"/>
            <w:vAlign w:val="bottom"/>
          </w:tcPr>
          <w:p>
            <w:pPr>
              <w:ind w:left="100"/>
              <w:spacing w:after="0"/>
              <w:rPr>
                <w:sz w:val="20"/>
                <w:szCs w:val="20"/>
                <w:color w:val="auto"/>
              </w:rPr>
            </w:pPr>
            <w:r>
              <w:rPr>
                <w:rFonts w:ascii="Arial" w:cs="Arial" w:eastAsia="Arial" w:hAnsi="Arial"/>
                <w:sz w:val="18"/>
                <w:szCs w:val="18"/>
                <w:color w:val="auto"/>
              </w:rPr>
              <w:t>10.18</w:t>
            </w:r>
            <w:r>
              <w:rPr>
                <w:rFonts w:ascii="Arial" w:cs="Arial" w:eastAsia="Arial" w:hAnsi="Arial"/>
                <w:sz w:val="14"/>
                <w:szCs w:val="14"/>
                <w:color w:val="auto"/>
              </w:rPr>
              <w:t>†</w:t>
            </w:r>
          </w:p>
        </w:tc>
        <w:tc>
          <w:tcPr>
            <w:tcW w:w="9300" w:type="dxa"/>
            <w:vAlign w:val="bottom"/>
            <w:tcBorders>
              <w:bottom w:val="single" w:sz="8" w:color="0000EE"/>
            </w:tcBorders>
            <w:gridSpan w:val="10"/>
          </w:tcPr>
          <w:p>
            <w:pPr>
              <w:spacing w:after="0"/>
              <w:rPr>
                <w:rFonts w:ascii="Arial" w:cs="Arial" w:eastAsia="Arial" w:hAnsi="Arial"/>
                <w:sz w:val="18"/>
                <w:szCs w:val="18"/>
                <w:color w:val="0000EE"/>
                <w:w w:val="89"/>
              </w:rPr>
            </w:pPr>
            <w:hyperlink r:id="rId235">
              <w:r>
                <w:rPr>
                  <w:rFonts w:ascii="Arial" w:cs="Arial" w:eastAsia="Arial" w:hAnsi="Arial"/>
                  <w:sz w:val="18"/>
                  <w:szCs w:val="18"/>
                  <w:color w:val="0000EE"/>
                  <w:w w:val="89"/>
                </w:rPr>
                <w:t>Collaboration and License Agreement, dated as of December 20, 2019, by and between the Registrant and Acceleron Pharma Inc</w:t>
              </w:r>
            </w:hyperlink>
          </w:p>
        </w:tc>
        <w:tc>
          <w:tcPr>
            <w:tcW w:w="1000" w:type="dxa"/>
            <w:vAlign w:val="bottom"/>
            <w:gridSpan w:val="13"/>
          </w:tcPr>
          <w:p>
            <w:pPr>
              <w:spacing w:after="0"/>
              <w:rPr>
                <w:sz w:val="18"/>
                <w:szCs w:val="18"/>
                <w:color w:val="auto"/>
              </w:rPr>
            </w:pPr>
          </w:p>
        </w:tc>
      </w:tr>
      <w:tr>
        <w:trPr>
          <w:trHeight w:val="196"/>
        </w:trPr>
        <w:tc>
          <w:tcPr>
            <w:tcW w:w="940" w:type="dxa"/>
            <w:vAlign w:val="bottom"/>
          </w:tcPr>
          <w:p>
            <w:pPr>
              <w:spacing w:after="0"/>
              <w:rPr>
                <w:sz w:val="17"/>
                <w:szCs w:val="17"/>
                <w:color w:val="auto"/>
              </w:rPr>
            </w:pPr>
          </w:p>
        </w:tc>
        <w:tc>
          <w:tcPr>
            <w:tcW w:w="103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(incorporated by reference to Exhibit 10.17 to the Registrant’s Annual Report on Form 10-K (File No. 001-38978) filed with the Securities and</w:t>
              </w:r>
            </w:hyperlink>
          </w:p>
        </w:tc>
      </w:tr>
      <w:tr>
        <w:trPr>
          <w:trHeight w:val="196"/>
        </w:trPr>
        <w:tc>
          <w:tcPr>
            <w:tcW w:w="940" w:type="dxa"/>
            <w:vAlign w:val="bottom"/>
          </w:tcPr>
          <w:p>
            <w:pPr>
              <w:spacing w:after="0"/>
              <w:rPr>
                <w:sz w:val="17"/>
                <w:szCs w:val="17"/>
                <w:color w:val="auto"/>
              </w:rPr>
            </w:pPr>
          </w:p>
        </w:tc>
        <w:tc>
          <w:tcPr>
            <w:tcW w:w="31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35">
              <w:r>
                <w:rPr>
                  <w:rFonts w:ascii="Arial" w:cs="Arial" w:eastAsia="Arial" w:hAnsi="Arial"/>
                  <w:sz w:val="18"/>
                  <w:szCs w:val="18"/>
                  <w:color w:val="0000EE"/>
                  <w:w w:val="90"/>
                </w:rPr>
                <w:t>Exchange Commission on March 5, 2020).</w:t>
              </w:r>
            </w:hyperlink>
          </w:p>
        </w:tc>
        <w:tc>
          <w:tcPr>
            <w:tcW w:w="7200" w:type="dxa"/>
            <w:vAlign w:val="bottom"/>
            <w:gridSpan w:val="16"/>
          </w:tcPr>
          <w:p>
            <w:pPr>
              <w:spacing w:after="0"/>
              <w:rPr>
                <w:sz w:val="17"/>
                <w:szCs w:val="17"/>
                <w:color w:val="auto"/>
              </w:rPr>
            </w:pPr>
          </w:p>
        </w:tc>
      </w:tr>
      <w:tr>
        <w:trPr>
          <w:trHeight w:val="209"/>
        </w:trPr>
        <w:tc>
          <w:tcPr>
            <w:tcW w:w="940" w:type="dxa"/>
            <w:vAlign w:val="bottom"/>
          </w:tcPr>
          <w:p>
            <w:pPr>
              <w:ind w:left="100"/>
              <w:spacing w:after="0"/>
              <w:rPr>
                <w:sz w:val="20"/>
                <w:szCs w:val="20"/>
                <w:color w:val="auto"/>
              </w:rPr>
            </w:pPr>
            <w:r>
              <w:rPr>
                <w:rFonts w:ascii="Arial" w:cs="Arial" w:eastAsia="Arial" w:hAnsi="Arial"/>
                <w:sz w:val="18"/>
                <w:szCs w:val="18"/>
                <w:color w:val="auto"/>
              </w:rPr>
              <w:t>10.19</w:t>
            </w:r>
            <w:r>
              <w:rPr>
                <w:rFonts w:ascii="Arial" w:cs="Arial" w:eastAsia="Arial" w:hAnsi="Arial"/>
                <w:sz w:val="14"/>
                <w:szCs w:val="14"/>
                <w:color w:val="auto"/>
              </w:rPr>
              <w:t>†</w:t>
            </w:r>
          </w:p>
        </w:tc>
        <w:tc>
          <w:tcPr>
            <w:tcW w:w="9660" w:type="dxa"/>
            <w:vAlign w:val="bottom"/>
            <w:tcBorders>
              <w:bottom w:val="single" w:sz="8" w:color="0000EE"/>
            </w:tcBorders>
            <w:gridSpan w:val="12"/>
          </w:tcPr>
          <w:p>
            <w:pPr>
              <w:spacing w:after="0"/>
              <w:rPr>
                <w:rFonts w:ascii="Arial" w:cs="Arial" w:eastAsia="Arial" w:hAnsi="Arial"/>
                <w:sz w:val="18"/>
                <w:szCs w:val="18"/>
                <w:color w:val="0000EE"/>
                <w:w w:val="90"/>
              </w:rPr>
            </w:pPr>
            <w:hyperlink r:id="rId236">
              <w:r>
                <w:rPr>
                  <w:rFonts w:ascii="Arial" w:cs="Arial" w:eastAsia="Arial" w:hAnsi="Arial"/>
                  <w:sz w:val="18"/>
                  <w:szCs w:val="18"/>
                  <w:color w:val="0000EE"/>
                  <w:w w:val="90"/>
                </w:rPr>
                <w:t>Collaboration and License Agreement, dated as of July 20, 2020, by and between the Registrant and MyoKardia, Inc, a wholly-owned</w:t>
              </w:r>
            </w:hyperlink>
          </w:p>
        </w:tc>
        <w:tc>
          <w:tcPr>
            <w:tcW w:w="640" w:type="dxa"/>
            <w:vAlign w:val="bottom"/>
            <w:gridSpan w:val="11"/>
          </w:tcPr>
          <w:p>
            <w:pPr>
              <w:spacing w:after="0"/>
              <w:rPr>
                <w:sz w:val="18"/>
                <w:szCs w:val="18"/>
                <w:color w:val="auto"/>
              </w:rPr>
            </w:pPr>
          </w:p>
        </w:tc>
      </w:tr>
      <w:tr>
        <w:trPr>
          <w:trHeight w:val="196"/>
        </w:trPr>
        <w:tc>
          <w:tcPr>
            <w:tcW w:w="940" w:type="dxa"/>
            <w:vAlign w:val="bottom"/>
          </w:tcPr>
          <w:p>
            <w:pPr>
              <w:spacing w:after="0"/>
              <w:rPr>
                <w:sz w:val="17"/>
                <w:szCs w:val="17"/>
                <w:color w:val="auto"/>
              </w:rPr>
            </w:pPr>
          </w:p>
        </w:tc>
        <w:tc>
          <w:tcPr>
            <w:tcW w:w="10300" w:type="dxa"/>
            <w:vAlign w:val="bottom"/>
            <w:gridSpan w:val="23"/>
          </w:tcPr>
          <w:p>
            <w:pPr>
              <w:spacing w:after="0" w:line="196" w:lineRule="exact"/>
              <w:rPr>
                <w:rFonts w:ascii="Arial" w:cs="Arial" w:eastAsia="Arial" w:hAnsi="Arial"/>
                <w:sz w:val="18"/>
                <w:szCs w:val="18"/>
                <w:color w:val="0000EE"/>
                <w:w w:val="94"/>
              </w:rPr>
            </w:pPr>
            <w:hyperlink r:id="rId236">
              <w:r>
                <w:rPr>
                  <w:rFonts w:ascii="Arial" w:cs="Arial" w:eastAsia="Arial" w:hAnsi="Arial"/>
                  <w:sz w:val="18"/>
                  <w:szCs w:val="18"/>
                  <w:color w:val="0000EE"/>
                  <w:w w:val="94"/>
                </w:rPr>
                <w:t>subsidiary of Bristol Myers Squibb Company (incorporated by reference to Exhibit 10.1 to the Registrant’s Quarterly Report on Form 10-Q</w:t>
              </w:r>
            </w:hyperlink>
          </w:p>
        </w:tc>
      </w:tr>
      <w:tr>
        <w:trPr>
          <w:trHeight w:val="196"/>
        </w:trPr>
        <w:tc>
          <w:tcPr>
            <w:tcW w:w="94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36">
              <w:r>
                <w:rPr>
                  <w:rFonts w:ascii="Arial" w:cs="Arial" w:eastAsia="Arial" w:hAnsi="Arial"/>
                  <w:sz w:val="18"/>
                  <w:szCs w:val="18"/>
                  <w:color w:val="0000EE"/>
                  <w:w w:val="91"/>
                </w:rPr>
                <w:t>(File No. 001-38978) filed with the Securities and Exchange Commission on November 10, 2020).</w:t>
              </w:r>
            </w:hyperlink>
          </w:p>
        </w:tc>
        <w:tc>
          <w:tcPr>
            <w:tcW w:w="2920" w:type="dxa"/>
            <w:vAlign w:val="bottom"/>
            <w:tcBorders>
              <w:top w:val="single" w:sz="8" w:color="0000EE"/>
            </w:tcBorders>
            <w:gridSpan w:val="9"/>
          </w:tcPr>
          <w:p>
            <w:pPr>
              <w:spacing w:after="0"/>
              <w:rPr>
                <w:sz w:val="17"/>
                <w:szCs w:val="17"/>
                <w:color w:val="auto"/>
              </w:rPr>
            </w:pPr>
          </w:p>
        </w:tc>
        <w:tc>
          <w:tcPr>
            <w:tcW w:w="260" w:type="dxa"/>
            <w:vAlign w:val="bottom"/>
            <w:gridSpan w:val="5"/>
          </w:tcPr>
          <w:p>
            <w:pPr>
              <w:spacing w:after="0"/>
              <w:rPr>
                <w:sz w:val="17"/>
                <w:szCs w:val="17"/>
                <w:color w:val="auto"/>
              </w:rPr>
            </w:pPr>
          </w:p>
        </w:tc>
      </w:tr>
      <w:tr>
        <w:trPr>
          <w:trHeight w:val="210"/>
        </w:trPr>
        <w:tc>
          <w:tcPr>
            <w:tcW w:w="940" w:type="dxa"/>
            <w:vAlign w:val="bottom"/>
          </w:tcPr>
          <w:p>
            <w:pPr>
              <w:ind w:left="100"/>
              <w:spacing w:after="0"/>
              <w:rPr>
                <w:sz w:val="20"/>
                <w:szCs w:val="20"/>
                <w:color w:val="auto"/>
              </w:rPr>
            </w:pPr>
            <w:r>
              <w:rPr>
                <w:rFonts w:ascii="Arial" w:cs="Arial" w:eastAsia="Arial" w:hAnsi="Arial"/>
                <w:sz w:val="18"/>
                <w:szCs w:val="18"/>
                <w:color w:val="auto"/>
              </w:rPr>
              <w:t>10.20</w:t>
            </w:r>
            <w:r>
              <w:rPr>
                <w:rFonts w:ascii="Arial" w:cs="Arial" w:eastAsia="Arial" w:hAnsi="Arial"/>
                <w:sz w:val="14"/>
                <w:szCs w:val="14"/>
                <w:color w:val="auto"/>
              </w:rPr>
              <w:t>†</w:t>
            </w:r>
          </w:p>
        </w:tc>
        <w:tc>
          <w:tcPr>
            <w:tcW w:w="10300" w:type="dxa"/>
            <w:vAlign w:val="bottom"/>
            <w:gridSpan w:val="23"/>
          </w:tcPr>
          <w:p>
            <w:pPr>
              <w:spacing w:after="0"/>
              <w:rPr>
                <w:rFonts w:ascii="Arial" w:cs="Arial" w:eastAsia="Arial" w:hAnsi="Arial"/>
                <w:sz w:val="18"/>
                <w:szCs w:val="18"/>
                <w:color w:val="0000EE"/>
                <w:w w:val="97"/>
              </w:rPr>
            </w:pPr>
            <w:hyperlink r:id="rId237">
              <w:r>
                <w:rPr>
                  <w:rFonts w:ascii="Arial" w:cs="Arial" w:eastAsia="Arial" w:hAnsi="Arial"/>
                  <w:sz w:val="18"/>
                  <w:szCs w:val="18"/>
                  <w:color w:val="0000EE"/>
                  <w:w w:val="97"/>
                </w:rPr>
                <w:t>First Amendment to the Right of Reference and License Agreement, dated as of September 23, 2020, by and among the Registrant,</w:t>
              </w:r>
            </w:hyperlink>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512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976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r:id="rId237">
              <w:r>
                <w:rPr>
                  <w:rFonts w:ascii="Arial" w:cs="Arial" w:eastAsia="Arial" w:hAnsi="Arial"/>
                  <w:sz w:val="18"/>
                  <w:szCs w:val="18"/>
                  <w:color w:val="0000EE"/>
                  <w:w w:val="93"/>
                </w:rPr>
                <w:t>GlaxoSmithKline Intellectual Property (No. 2) Limited, GlaxoSmithKline LLC and Glaxo Group Limited (incorporated by reference to</w:t>
              </w:r>
            </w:hyperlink>
          </w:p>
        </w:tc>
        <w:tc>
          <w:tcPr>
            <w:tcW w:w="540" w:type="dxa"/>
            <w:vAlign w:val="bottom"/>
            <w:gridSpan w:val="10"/>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300" w:type="dxa"/>
            <w:vAlign w:val="bottom"/>
            <w:gridSpan w:val="23"/>
          </w:tcPr>
          <w:p>
            <w:pPr>
              <w:spacing w:after="0" w:line="196" w:lineRule="exact"/>
              <w:rPr>
                <w:rFonts w:ascii="Arial" w:cs="Arial" w:eastAsia="Arial" w:hAnsi="Arial"/>
                <w:sz w:val="18"/>
                <w:szCs w:val="18"/>
                <w:color w:val="0000EE"/>
                <w:w w:val="92"/>
              </w:rPr>
            </w:pPr>
            <w:hyperlink r:id="rId237">
              <w:r>
                <w:rPr>
                  <w:rFonts w:ascii="Arial" w:cs="Arial" w:eastAsia="Arial" w:hAnsi="Arial"/>
                  <w:sz w:val="18"/>
                  <w:szCs w:val="18"/>
                  <w:color w:val="0000EE"/>
                  <w:w w:val="92"/>
                </w:rPr>
                <w:t>Exhibit 10.2 to the Registrant’s Quarterly Report on Form 10-Q (File No. 001-38978) filed with the Securities and Exchange Commission on</w:t>
              </w:r>
            </w:hyperlink>
          </w:p>
        </w:tc>
      </w:tr>
      <w:tr>
        <w:trPr>
          <w:trHeight w:val="196"/>
        </w:trPr>
        <w:tc>
          <w:tcPr>
            <w:tcW w:w="94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237">
              <w:r>
                <w:rPr>
                  <w:rFonts w:ascii="Arial" w:cs="Arial" w:eastAsia="Arial" w:hAnsi="Arial"/>
                  <w:sz w:val="18"/>
                  <w:szCs w:val="18"/>
                  <w:color w:val="0000EE"/>
                  <w:w w:val="89"/>
                </w:rPr>
                <w:t>November 10, 2020).</w:t>
              </w:r>
            </w:hyperlink>
          </w:p>
        </w:tc>
        <w:tc>
          <w:tcPr>
            <w:tcW w:w="8620" w:type="dxa"/>
            <w:vAlign w:val="bottom"/>
            <w:tcBorders>
              <w:top w:val="single" w:sz="8" w:color="0000EE"/>
            </w:tcBorders>
            <w:gridSpan w:val="13"/>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209"/>
        </w:trPr>
        <w:tc>
          <w:tcPr>
            <w:tcW w:w="940" w:type="dxa"/>
            <w:vAlign w:val="bottom"/>
          </w:tcPr>
          <w:p>
            <w:pPr>
              <w:ind w:left="100"/>
              <w:spacing w:after="0"/>
              <w:rPr>
                <w:sz w:val="20"/>
                <w:szCs w:val="20"/>
                <w:color w:val="auto"/>
              </w:rPr>
            </w:pPr>
            <w:r>
              <w:rPr>
                <w:rFonts w:ascii="Arial" w:cs="Arial" w:eastAsia="Arial" w:hAnsi="Arial"/>
                <w:sz w:val="18"/>
                <w:szCs w:val="18"/>
                <w:color w:val="auto"/>
              </w:rPr>
              <w:t>10.21</w:t>
            </w:r>
          </w:p>
        </w:tc>
        <w:tc>
          <w:tcPr>
            <w:tcW w:w="10000" w:type="dxa"/>
            <w:vAlign w:val="bottom"/>
            <w:tcBorders>
              <w:bottom w:val="single" w:sz="8" w:color="0000EE"/>
            </w:tcBorders>
            <w:gridSpan w:val="17"/>
          </w:tcPr>
          <w:p>
            <w:pPr>
              <w:spacing w:after="0"/>
              <w:rPr>
                <w:rFonts w:ascii="Arial" w:cs="Arial" w:eastAsia="Arial" w:hAnsi="Arial"/>
                <w:sz w:val="18"/>
                <w:szCs w:val="18"/>
                <w:color w:val="0000EE"/>
                <w:w w:val="89"/>
              </w:rPr>
            </w:pPr>
            <w:hyperlink r:id="rId238">
              <w:r>
                <w:rPr>
                  <w:rFonts w:ascii="Arial" w:cs="Arial" w:eastAsia="Arial" w:hAnsi="Arial"/>
                  <w:sz w:val="18"/>
                  <w:szCs w:val="18"/>
                  <w:color w:val="0000EE"/>
                  <w:w w:val="89"/>
                </w:rPr>
                <w:t>Securities Purchase Agreement, dated June 9, 2020, by and among the Company and the other parties thereto (incorporated by reference to</w:t>
              </w:r>
            </w:hyperlink>
          </w:p>
        </w:tc>
        <w:tc>
          <w:tcPr>
            <w:tcW w:w="300" w:type="dxa"/>
            <w:vAlign w:val="bottom"/>
            <w:gridSpan w:val="6"/>
          </w:tcPr>
          <w:p>
            <w:pPr>
              <w:spacing w:after="0"/>
              <w:rPr>
                <w:sz w:val="18"/>
                <w:szCs w:val="18"/>
                <w:color w:val="auto"/>
              </w:rPr>
            </w:pPr>
          </w:p>
        </w:tc>
      </w:tr>
      <w:tr>
        <w:trPr>
          <w:trHeight w:val="196"/>
        </w:trPr>
        <w:tc>
          <w:tcPr>
            <w:tcW w:w="940" w:type="dxa"/>
            <w:vAlign w:val="bottom"/>
          </w:tcPr>
          <w:p>
            <w:pPr>
              <w:spacing w:after="0"/>
              <w:rPr>
                <w:sz w:val="17"/>
                <w:szCs w:val="17"/>
                <w:color w:val="auto"/>
              </w:rPr>
            </w:pPr>
          </w:p>
        </w:tc>
        <w:tc>
          <w:tcPr>
            <w:tcW w:w="103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38">
              <w:r>
                <w:rPr>
                  <w:rFonts w:ascii="Arial" w:cs="Arial" w:eastAsia="Arial" w:hAnsi="Arial"/>
                  <w:sz w:val="18"/>
                  <w:szCs w:val="18"/>
                  <w:color w:val="0000EE"/>
                  <w:w w:val="91"/>
                </w:rPr>
                <w:t>Exhibit 10.1 of the Company’s Current Report on Form 8-K (File No. 001-38978) filed with the Securities and Exchange Commission on June</w:t>
              </w:r>
            </w:hyperlink>
          </w:p>
        </w:tc>
      </w:tr>
      <w:tr>
        <w:trPr>
          <w:trHeight w:val="196"/>
        </w:trPr>
        <w:tc>
          <w:tcPr>
            <w:tcW w:w="940" w:type="dxa"/>
            <w:vAlign w:val="bottom"/>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38">
              <w:r>
                <w:rPr>
                  <w:rFonts w:ascii="Arial" w:cs="Arial" w:eastAsia="Arial" w:hAnsi="Arial"/>
                  <w:sz w:val="18"/>
                  <w:szCs w:val="18"/>
                  <w:color w:val="0000EE"/>
                  <w:w w:val="88"/>
                </w:rPr>
                <w:t>10, 2020).</w:t>
              </w:r>
            </w:hyperlink>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940" w:type="dxa"/>
            <w:vAlign w:val="bottom"/>
          </w:tcPr>
          <w:p>
            <w:pPr>
              <w:ind w:left="100"/>
              <w:spacing w:after="0"/>
              <w:rPr>
                <w:sz w:val="20"/>
                <w:szCs w:val="20"/>
                <w:color w:val="auto"/>
              </w:rPr>
            </w:pPr>
            <w:r>
              <w:rPr>
                <w:rFonts w:ascii="Arial" w:cs="Arial" w:eastAsia="Arial" w:hAnsi="Arial"/>
                <w:sz w:val="18"/>
                <w:szCs w:val="18"/>
                <w:color w:val="auto"/>
              </w:rPr>
              <w:t>10.22</w:t>
            </w:r>
          </w:p>
        </w:tc>
        <w:tc>
          <w:tcPr>
            <w:tcW w:w="10300" w:type="dxa"/>
            <w:vAlign w:val="bottom"/>
            <w:gridSpan w:val="23"/>
          </w:tcPr>
          <w:p>
            <w:pPr>
              <w:spacing w:after="0"/>
              <w:rPr>
                <w:rFonts w:ascii="Arial" w:cs="Arial" w:eastAsia="Arial" w:hAnsi="Arial"/>
                <w:sz w:val="18"/>
                <w:szCs w:val="18"/>
                <w:color w:val="0000EE"/>
                <w:w w:val="92"/>
              </w:rPr>
            </w:pPr>
            <w:hyperlink r:id="rId239">
              <w:r>
                <w:rPr>
                  <w:rFonts w:ascii="Arial" w:cs="Arial" w:eastAsia="Arial" w:hAnsi="Arial"/>
                  <w:sz w:val="18"/>
                  <w:szCs w:val="18"/>
                  <w:color w:val="0000EE"/>
                  <w:w w:val="92"/>
                </w:rPr>
                <w:t>Registration Rights Agreement, dated June 9, 2020, by and among the Company and the other parties thereto (incorporated by reference to</w:t>
              </w:r>
            </w:hyperlink>
          </w:p>
        </w:tc>
      </w:tr>
      <w:tr>
        <w:trPr>
          <w:trHeight w:val="196"/>
        </w:trPr>
        <w:tc>
          <w:tcPr>
            <w:tcW w:w="940" w:type="dxa"/>
            <w:vAlign w:val="bottom"/>
          </w:tcPr>
          <w:p>
            <w:pPr>
              <w:spacing w:after="0"/>
              <w:rPr>
                <w:sz w:val="17"/>
                <w:szCs w:val="17"/>
                <w:color w:val="auto"/>
              </w:rPr>
            </w:pPr>
          </w:p>
        </w:tc>
        <w:tc>
          <w:tcPr>
            <w:tcW w:w="998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r:id="rId239">
              <w:r>
                <w:rPr>
                  <w:rFonts w:ascii="Arial" w:cs="Arial" w:eastAsia="Arial" w:hAnsi="Arial"/>
                  <w:sz w:val="18"/>
                  <w:szCs w:val="18"/>
                  <w:color w:val="0000EE"/>
                  <w:w w:val="92"/>
                </w:rPr>
                <w:t>Exhibit 10.2 of the Company’s Current Report on Form 8-K (File No. 001-38978) filed with the Securities and Exchange Commission on</w:t>
              </w:r>
            </w:hyperlink>
          </w:p>
        </w:tc>
        <w:tc>
          <w:tcPr>
            <w:tcW w:w="320" w:type="dxa"/>
            <w:vAlign w:val="bottom"/>
            <w:gridSpan w:val="7"/>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99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39">
              <w:r>
                <w:rPr>
                  <w:rFonts w:ascii="Arial" w:cs="Arial" w:eastAsia="Arial" w:hAnsi="Arial"/>
                  <w:sz w:val="18"/>
                  <w:szCs w:val="18"/>
                  <w:color w:val="0000EE"/>
                </w:rPr>
                <w:t>June 10, 2020).</w:t>
              </w:r>
            </w:hyperlink>
          </w:p>
        </w:tc>
        <w:tc>
          <w:tcPr>
            <w:tcW w:w="360" w:type="dxa"/>
            <w:vAlign w:val="bottom"/>
            <w:gridSpan w:val="9"/>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5720" w:type="dxa"/>
            <w:vAlign w:val="bottom"/>
            <w:gridSpan w:val="1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940" w:type="dxa"/>
            <w:vAlign w:val="bottom"/>
          </w:tcPr>
          <w:p>
            <w:pPr>
              <w:ind w:left="100"/>
              <w:spacing w:after="0"/>
              <w:rPr>
                <w:sz w:val="20"/>
                <w:szCs w:val="20"/>
                <w:color w:val="auto"/>
              </w:rPr>
            </w:pPr>
            <w:r>
              <w:rPr>
                <w:rFonts w:ascii="Arial" w:cs="Arial" w:eastAsia="Arial" w:hAnsi="Arial"/>
                <w:sz w:val="18"/>
                <w:szCs w:val="18"/>
                <w:color w:val="auto"/>
              </w:rPr>
              <w:t>21.1*</w:t>
            </w:r>
          </w:p>
        </w:tc>
        <w:tc>
          <w:tcPr>
            <w:tcW w:w="10300" w:type="dxa"/>
            <w:vAlign w:val="bottom"/>
            <w:gridSpan w:val="23"/>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Subsidiary of the Registrant.</w:t>
              </w:r>
            </w:hyperlink>
          </w:p>
        </w:tc>
      </w:tr>
      <w:tr>
        <w:trPr>
          <w:trHeight w:val="230"/>
        </w:trPr>
        <w:tc>
          <w:tcPr>
            <w:tcW w:w="940" w:type="dxa"/>
            <w:vAlign w:val="bottom"/>
          </w:tcPr>
          <w:p>
            <w:pPr>
              <w:ind w:left="100"/>
              <w:spacing w:after="0"/>
              <w:rPr>
                <w:sz w:val="20"/>
                <w:szCs w:val="20"/>
                <w:color w:val="auto"/>
              </w:rPr>
            </w:pPr>
            <w:r>
              <w:rPr>
                <w:rFonts w:ascii="Arial" w:cs="Arial" w:eastAsia="Arial" w:hAnsi="Arial"/>
                <w:sz w:val="18"/>
                <w:szCs w:val="18"/>
                <w:color w:val="auto"/>
              </w:rPr>
              <w:t>23.1*</w:t>
            </w:r>
          </w:p>
        </w:tc>
        <w:tc>
          <w:tcPr>
            <w:tcW w:w="10300" w:type="dxa"/>
            <w:vAlign w:val="bottom"/>
            <w:gridSpan w:val="23"/>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Consent of Ernst &amp; Young LLP, independent registered public accounting firm.</w:t>
              </w:r>
            </w:hyperlink>
          </w:p>
        </w:tc>
      </w:tr>
      <w:tr>
        <w:trPr>
          <w:trHeight w:val="190"/>
        </w:trPr>
        <w:tc>
          <w:tcPr>
            <w:tcW w:w="940" w:type="dxa"/>
            <w:vAlign w:val="bottom"/>
          </w:tcPr>
          <w:p>
            <w:pPr>
              <w:ind w:left="100"/>
              <w:spacing w:after="0" w:line="190" w:lineRule="exact"/>
              <w:rPr>
                <w:sz w:val="20"/>
                <w:szCs w:val="20"/>
                <w:color w:val="auto"/>
              </w:rPr>
            </w:pPr>
            <w:r>
              <w:rPr>
                <w:rFonts w:ascii="Arial" w:cs="Arial" w:eastAsia="Arial" w:hAnsi="Arial"/>
                <w:sz w:val="18"/>
                <w:szCs w:val="18"/>
                <w:color w:val="auto"/>
              </w:rPr>
              <w:t>31.1*</w:t>
            </w:r>
          </w:p>
        </w:tc>
        <w:tc>
          <w:tcPr>
            <w:tcW w:w="10280" w:type="dxa"/>
            <w:vAlign w:val="bottom"/>
            <w:tcBorders>
              <w:bottom w:val="single" w:sz="8" w:color="0000EE"/>
            </w:tcBorders>
            <w:gridSpan w:val="22"/>
          </w:tcPr>
          <w:p>
            <w:pPr>
              <w:spacing w:after="0" w:line="190" w:lineRule="exact"/>
              <w:rPr>
                <w:rFonts w:ascii="Arial" w:cs="Arial" w:eastAsia="Arial" w:hAnsi="Arial"/>
                <w:sz w:val="18"/>
                <w:szCs w:val="18"/>
                <w:color w:val="0000EE"/>
                <w:w w:val="91"/>
              </w:rPr>
            </w:pPr>
            <w:hyperlink w:anchor="page179">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20" w:type="dxa"/>
            <w:vAlign w:val="bottom"/>
          </w:tcPr>
          <w:p>
            <w:pPr>
              <w:spacing w:after="0"/>
              <w:rPr>
                <w:sz w:val="16"/>
                <w:szCs w:val="16"/>
                <w:color w:val="auto"/>
              </w:rPr>
            </w:pPr>
          </w:p>
        </w:tc>
      </w:tr>
      <w:tr>
        <w:trPr>
          <w:trHeight w:val="196"/>
        </w:trPr>
        <w:tc>
          <w:tcPr>
            <w:tcW w:w="940" w:type="dxa"/>
            <w:vAlign w:val="bottom"/>
          </w:tcPr>
          <w:p>
            <w:pPr>
              <w:spacing w:after="0"/>
              <w:rPr>
                <w:sz w:val="17"/>
                <w:szCs w:val="17"/>
                <w:color w:val="auto"/>
              </w:rPr>
            </w:pPr>
          </w:p>
        </w:tc>
        <w:tc>
          <w:tcPr>
            <w:tcW w:w="4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79">
              <w:r>
                <w:rPr>
                  <w:rFonts w:ascii="Arial" w:cs="Arial" w:eastAsia="Arial" w:hAnsi="Arial"/>
                  <w:sz w:val="18"/>
                  <w:szCs w:val="18"/>
                  <w:color w:val="0000EE"/>
                  <w:w w:val="90"/>
                </w:rPr>
                <w:t>Pursuant to Section 302 of the Sarbanes-Oxley Act of 2002.</w:t>
              </w:r>
            </w:hyperlink>
          </w:p>
        </w:tc>
        <w:tc>
          <w:tcPr>
            <w:tcW w:w="5980" w:type="dxa"/>
            <w:vAlign w:val="bottom"/>
            <w:gridSpan w:val="15"/>
          </w:tcPr>
          <w:p>
            <w:pPr>
              <w:spacing w:after="0"/>
              <w:rPr>
                <w:sz w:val="17"/>
                <w:szCs w:val="17"/>
                <w:color w:val="auto"/>
              </w:rPr>
            </w:pPr>
          </w:p>
        </w:tc>
      </w:tr>
      <w:tr>
        <w:trPr>
          <w:trHeight w:val="209"/>
        </w:trPr>
        <w:tc>
          <w:tcPr>
            <w:tcW w:w="940" w:type="dxa"/>
            <w:vAlign w:val="bottom"/>
          </w:tcPr>
          <w:p>
            <w:pPr>
              <w:ind w:left="100"/>
              <w:spacing w:after="0"/>
              <w:rPr>
                <w:sz w:val="20"/>
                <w:szCs w:val="20"/>
                <w:color w:val="auto"/>
              </w:rPr>
            </w:pPr>
            <w:r>
              <w:rPr>
                <w:rFonts w:ascii="Arial" w:cs="Arial" w:eastAsia="Arial" w:hAnsi="Arial"/>
                <w:sz w:val="18"/>
                <w:szCs w:val="18"/>
                <w:color w:val="auto"/>
              </w:rPr>
              <w:t>31.2*</w:t>
            </w:r>
          </w:p>
        </w:tc>
        <w:tc>
          <w:tcPr>
            <w:tcW w:w="10300" w:type="dxa"/>
            <w:vAlign w:val="bottom"/>
            <w:gridSpan w:val="23"/>
          </w:tcPr>
          <w:p>
            <w:pPr>
              <w:spacing w:after="0"/>
              <w:rPr>
                <w:rFonts w:ascii="Arial" w:cs="Arial" w:eastAsia="Arial" w:hAnsi="Arial"/>
                <w:sz w:val="18"/>
                <w:szCs w:val="18"/>
                <w:color w:val="0000EE"/>
                <w:w w:val="91"/>
              </w:rPr>
            </w:pPr>
            <w:hyperlink w:anchor="page180">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r>
      <w:tr>
        <w:trPr>
          <w:trHeight w:val="196"/>
        </w:trPr>
        <w:tc>
          <w:tcPr>
            <w:tcW w:w="94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80">
              <w:r>
                <w:rPr>
                  <w:rFonts w:ascii="Arial" w:cs="Arial" w:eastAsia="Arial" w:hAnsi="Arial"/>
                  <w:sz w:val="18"/>
                  <w:szCs w:val="18"/>
                  <w:color w:val="0000EE"/>
                  <w:w w:val="90"/>
                </w:rPr>
                <w:t>Pursuant to Section 302 of the Sarbanes-Oxley Act of 2002.</w:t>
              </w:r>
            </w:hyperlink>
          </w:p>
        </w:tc>
        <w:tc>
          <w:tcPr>
            <w:tcW w:w="5900" w:type="dxa"/>
            <w:vAlign w:val="bottom"/>
            <w:tcBorders>
              <w:top w:val="single" w:sz="8" w:color="0000EE"/>
            </w:tcBorders>
            <w:gridSpan w:val="13"/>
          </w:tcPr>
          <w:p>
            <w:pPr>
              <w:spacing w:after="0"/>
              <w:rPr>
                <w:sz w:val="17"/>
                <w:szCs w:val="17"/>
                <w:color w:val="auto"/>
              </w:rPr>
            </w:pPr>
          </w:p>
        </w:tc>
        <w:tc>
          <w:tcPr>
            <w:tcW w:w="80" w:type="dxa"/>
            <w:vAlign w:val="bottom"/>
            <w:gridSpan w:val="2"/>
          </w:tcPr>
          <w:p>
            <w:pPr>
              <w:spacing w:after="0"/>
              <w:rPr>
                <w:sz w:val="17"/>
                <w:szCs w:val="17"/>
                <w:color w:val="auto"/>
              </w:rPr>
            </w:pPr>
          </w:p>
        </w:tc>
      </w:tr>
      <w:tr>
        <w:trPr>
          <w:trHeight w:val="209"/>
        </w:trPr>
        <w:tc>
          <w:tcPr>
            <w:tcW w:w="940" w:type="dxa"/>
            <w:vAlign w:val="bottom"/>
          </w:tcPr>
          <w:p>
            <w:pPr>
              <w:ind w:left="100"/>
              <w:spacing w:after="0"/>
              <w:rPr>
                <w:sz w:val="20"/>
                <w:szCs w:val="20"/>
                <w:color w:val="auto"/>
              </w:rPr>
            </w:pPr>
            <w:r>
              <w:rPr>
                <w:rFonts w:ascii="Arial" w:cs="Arial" w:eastAsia="Arial" w:hAnsi="Arial"/>
                <w:sz w:val="18"/>
                <w:szCs w:val="18"/>
                <w:color w:val="auto"/>
              </w:rPr>
              <w:t>32.1+</w:t>
            </w:r>
          </w:p>
        </w:tc>
        <w:tc>
          <w:tcPr>
            <w:tcW w:w="10300" w:type="dxa"/>
            <w:vAlign w:val="bottom"/>
            <w:gridSpan w:val="23"/>
          </w:tcPr>
          <w:p>
            <w:pPr>
              <w:spacing w:after="0"/>
              <w:rPr>
                <w:rFonts w:ascii="Arial" w:cs="Arial" w:eastAsia="Arial" w:hAnsi="Arial"/>
                <w:sz w:val="18"/>
                <w:szCs w:val="18"/>
                <w:color w:val="0000EE"/>
                <w:w w:val="93"/>
              </w:rPr>
            </w:pPr>
            <w:hyperlink w:anchor="page181">
              <w:r>
                <w:rPr>
                  <w:rFonts w:ascii="Arial" w:cs="Arial" w:eastAsia="Arial" w:hAnsi="Arial"/>
                  <w:sz w:val="18"/>
                  <w:szCs w:val="18"/>
                  <w:color w:val="0000EE"/>
                  <w:w w:val="93"/>
                </w:rPr>
                <w:t>Certification of Principal Executive Officer Pursuant to 18 U.S.C. Section 1350, as Adopted Pursuant to Section 906 of the Sarbanes-Oxley</w:t>
              </w:r>
            </w:hyperlink>
          </w:p>
        </w:tc>
      </w:tr>
      <w:tr>
        <w:trPr>
          <w:trHeight w:val="196"/>
        </w:trPr>
        <w:tc>
          <w:tcPr>
            <w:tcW w:w="940" w:type="dxa"/>
            <w:vAlign w:val="bottom"/>
          </w:tcPr>
          <w:p>
            <w:pPr>
              <w:spacing w:after="0"/>
              <w:rPr>
                <w:sz w:val="17"/>
                <w:szCs w:val="17"/>
                <w:color w:val="auto"/>
              </w:rPr>
            </w:pPr>
          </w:p>
        </w:tc>
        <w:tc>
          <w:tcPr>
            <w:tcW w:w="100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Act of 2002.</w:t>
              </w:r>
            </w:hyperlink>
          </w:p>
        </w:tc>
        <w:tc>
          <w:tcPr>
            <w:tcW w:w="260" w:type="dxa"/>
            <w:vAlign w:val="bottom"/>
            <w:gridSpan w:val="5"/>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400" w:type="dxa"/>
            <w:vAlign w:val="bottom"/>
            <w:gridSpan w:val="20"/>
          </w:tcPr>
          <w:p>
            <w:pPr>
              <w:spacing w:after="0" w:line="20" w:lineRule="exact"/>
              <w:rPr>
                <w:sz w:val="1"/>
                <w:szCs w:val="1"/>
                <w:color w:val="auto"/>
              </w:rPr>
            </w:pPr>
          </w:p>
        </w:tc>
      </w:tr>
      <w:tr>
        <w:trPr>
          <w:trHeight w:val="209"/>
        </w:trPr>
        <w:tc>
          <w:tcPr>
            <w:tcW w:w="940" w:type="dxa"/>
            <w:vAlign w:val="bottom"/>
          </w:tcPr>
          <w:p>
            <w:pPr>
              <w:ind w:left="100"/>
              <w:spacing w:after="0"/>
              <w:rPr>
                <w:sz w:val="20"/>
                <w:szCs w:val="20"/>
                <w:color w:val="auto"/>
              </w:rPr>
            </w:pPr>
            <w:r>
              <w:rPr>
                <w:rFonts w:ascii="Arial" w:cs="Arial" w:eastAsia="Arial" w:hAnsi="Arial"/>
                <w:sz w:val="18"/>
                <w:szCs w:val="18"/>
                <w:color w:val="auto"/>
              </w:rPr>
              <w:t>32.2+</w:t>
            </w:r>
          </w:p>
        </w:tc>
        <w:tc>
          <w:tcPr>
            <w:tcW w:w="103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82">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r>
      <w:tr>
        <w:trPr>
          <w:trHeight w:val="196"/>
        </w:trPr>
        <w:tc>
          <w:tcPr>
            <w:tcW w:w="94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of 2002.</w:t>
              </w:r>
            </w:hyperlink>
          </w:p>
        </w:tc>
        <w:tc>
          <w:tcPr>
            <w:tcW w:w="9700" w:type="dxa"/>
            <w:vAlign w:val="bottom"/>
            <w:gridSpan w:val="22"/>
          </w:tcPr>
          <w:p>
            <w:pPr>
              <w:spacing w:after="0"/>
              <w:rPr>
                <w:sz w:val="17"/>
                <w:szCs w:val="17"/>
                <w:color w:val="auto"/>
              </w:rPr>
            </w:pPr>
          </w:p>
        </w:tc>
      </w:tr>
      <w:tr>
        <w:trPr>
          <w:trHeight w:val="249"/>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23"/>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2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54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155"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50" w:lineRule="exact"/>
        <w:rPr>
          <w:sz w:val="20"/>
          <w:szCs w:val="20"/>
          <w:color w:val="auto"/>
        </w:rPr>
      </w:pPr>
    </w:p>
    <w:p>
      <w:pPr>
        <w:ind w:left="540" w:right="580" w:hanging="532"/>
        <w:spacing w:after="0" w:line="273"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they are not material and would likely cause competitive harm to the Registrant if disclosed.</w:t>
      </w:r>
    </w:p>
    <w:p>
      <w:pPr>
        <w:spacing w:after="0" w:line="2"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40" w:hanging="532"/>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62" w:name="page163"/>
    <w:bookmarkEnd w:id="16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Fulcrum Therapeutics, Inc.</w:t>
      </w:r>
    </w:p>
    <w:p>
      <w:pPr>
        <w:sectPr>
          <w:pgSz w:w="11900" w:h="16838" w:orient="portrait"/>
          <w:cols w:equalWidth="0" w:num="1">
            <w:col w:w="11120"/>
          </w:cols>
          <w:pgMar w:left="320" w:top="378" w:right="45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March 4, 2021</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29210</wp:posOffset>
            </wp:positionV>
            <wp:extent cx="32918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5020" w:space="720"/>
            <w:col w:w="1500" w:space="720"/>
            <w:col w:w="3160"/>
          </w:cols>
          <w:pgMar w:left="320" w:top="378" w:right="459" w:bottom="1440" w:gutter="0" w:footer="0" w:header="0"/>
          <w:type w:val="continuous"/>
        </w:sectPr>
      </w:pPr>
    </w:p>
    <w:p>
      <w:pPr>
        <w:jc w:val="center"/>
        <w:ind w:left="6040"/>
        <w:spacing w:after="0"/>
        <w:rPr>
          <w:sz w:val="20"/>
          <w:szCs w:val="20"/>
          <w:color w:val="auto"/>
        </w:rPr>
      </w:pPr>
      <w:r>
        <w:rPr>
          <w:rFonts w:ascii="Arial" w:cs="Arial" w:eastAsia="Arial" w:hAnsi="Arial"/>
          <w:sz w:val="18"/>
          <w:szCs w:val="18"/>
          <w:color w:val="auto"/>
        </w:rPr>
        <w:t>Robert J. Gould, Ph.D.</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President and Chief Executive Officer</w:t>
      </w:r>
    </w:p>
    <w:p>
      <w:pPr>
        <w:spacing w:after="0" w:line="224"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2" w:lineRule="exact"/>
        <w:rPr>
          <w:sz w:val="20"/>
          <w:szCs w:val="20"/>
          <w:color w:val="auto"/>
        </w:rPr>
      </w:pPr>
    </w:p>
    <w:p>
      <w:pPr>
        <w:ind w:left="2020"/>
        <w:spacing w:after="0"/>
        <w:tabs>
          <w:tab w:leader="none" w:pos="6820" w:val="left"/>
          <w:tab w:leader="none" w:pos="1024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J. Gould</w:t>
            </w:r>
          </w:p>
        </w:tc>
        <w:tc>
          <w:tcPr>
            <w:tcW w:w="4540" w:type="dxa"/>
            <w:vAlign w:val="bottom"/>
          </w:tcPr>
          <w:p>
            <w:pPr>
              <w:ind w:left="120"/>
              <w:spacing w:after="0"/>
              <w:rPr>
                <w:sz w:val="20"/>
                <w:szCs w:val="20"/>
                <w:color w:val="auto"/>
              </w:rPr>
            </w:pPr>
            <w:r>
              <w:rPr>
                <w:rFonts w:ascii="Arial" w:cs="Arial" w:eastAsia="Arial" w:hAnsi="Arial"/>
                <w:sz w:val="18"/>
                <w:szCs w:val="18"/>
                <w:color w:val="auto"/>
              </w:rPr>
              <w:t>President and Chief Executive Officer, 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238"/>
        </w:trPr>
        <w:tc>
          <w:tcPr>
            <w:tcW w:w="4400" w:type="dxa"/>
            <w:vAlign w:val="bottom"/>
          </w:tcPr>
          <w:p>
            <w:pPr>
              <w:jc w:val="center"/>
              <w:spacing w:after="0"/>
              <w:rPr>
                <w:sz w:val="20"/>
                <w:szCs w:val="20"/>
                <w:color w:val="auto"/>
              </w:rPr>
            </w:pPr>
            <w:r>
              <w:rPr>
                <w:rFonts w:ascii="Arial" w:cs="Arial" w:eastAsia="Arial" w:hAnsi="Arial"/>
                <w:sz w:val="14"/>
                <w:szCs w:val="14"/>
                <w:color w:val="auto"/>
                <w:w w:val="93"/>
              </w:rPr>
              <w:t>Robert J. Gould, Ph.D.</w:t>
            </w:r>
          </w:p>
        </w:tc>
        <w:tc>
          <w:tcPr>
            <w:tcW w:w="45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35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Bryan Stuart</w:t>
            </w:r>
          </w:p>
        </w:tc>
        <w:tc>
          <w:tcPr>
            <w:tcW w:w="4540" w:type="dxa"/>
            <w:vAlign w:val="bottom"/>
          </w:tcPr>
          <w:p>
            <w:pPr>
              <w:ind w:left="120"/>
              <w:spacing w:after="0"/>
              <w:rPr>
                <w:sz w:val="20"/>
                <w:szCs w:val="20"/>
                <w:color w:val="auto"/>
              </w:rPr>
            </w:pPr>
            <w:r>
              <w:rPr>
                <w:rFonts w:ascii="Arial" w:cs="Arial" w:eastAsia="Arial" w:hAnsi="Arial"/>
                <w:sz w:val="18"/>
                <w:szCs w:val="18"/>
                <w:color w:val="auto"/>
              </w:rPr>
              <w:t>Chief Operating Officer (Principal Financial Officer)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5"/>
              </w:rPr>
              <w:t>Bryan Stuart</w:t>
            </w:r>
          </w:p>
        </w:tc>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4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Peter Thomson</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 Finance &amp; Accounting (Principal</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238"/>
        </w:trPr>
        <w:tc>
          <w:tcPr>
            <w:tcW w:w="4400" w:type="dxa"/>
            <w:vAlign w:val="bottom"/>
          </w:tcPr>
          <w:p>
            <w:pPr>
              <w:jc w:val="center"/>
              <w:spacing w:after="0"/>
              <w:rPr>
                <w:sz w:val="20"/>
                <w:szCs w:val="20"/>
                <w:color w:val="auto"/>
              </w:rPr>
            </w:pPr>
            <w:r>
              <w:rPr>
                <w:rFonts w:ascii="Arial" w:cs="Arial" w:eastAsia="Arial" w:hAnsi="Arial"/>
                <w:sz w:val="14"/>
                <w:szCs w:val="14"/>
                <w:color w:val="auto"/>
                <w:w w:val="91"/>
              </w:rPr>
              <w:t>Peter Thomson</w:t>
            </w:r>
          </w:p>
        </w:tc>
        <w:tc>
          <w:tcPr>
            <w:tcW w:w="454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r>
      <w:tr>
        <w:trPr>
          <w:trHeight w:val="350"/>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Levin</w:t>
            </w:r>
          </w:p>
        </w:tc>
        <w:tc>
          <w:tcPr>
            <w:tcW w:w="4540" w:type="dxa"/>
            <w:vAlign w:val="bottom"/>
          </w:tcPr>
          <w:p>
            <w:pPr>
              <w:ind w:left="120"/>
              <w:spacing w:after="0"/>
              <w:rPr>
                <w:sz w:val="20"/>
                <w:szCs w:val="20"/>
                <w:color w:val="auto"/>
              </w:rPr>
            </w:pPr>
            <w:r>
              <w:rPr>
                <w:rFonts w:ascii="Arial" w:cs="Arial" w:eastAsia="Arial" w:hAnsi="Arial"/>
                <w:sz w:val="18"/>
                <w:szCs w:val="18"/>
                <w:color w:val="auto"/>
              </w:rPr>
              <w:t>Chairman of the Board</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9"/>
              </w:rPr>
              <w:t>Mark Levin</w:t>
            </w:r>
          </w:p>
        </w:tc>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4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J. Collins</w:t>
            </w:r>
          </w:p>
        </w:tc>
        <w:tc>
          <w:tcPr>
            <w:tcW w:w="45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2"/>
              </w:rPr>
              <w:t>James J. Collins Ph.D.</w:t>
            </w:r>
          </w:p>
        </w:tc>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4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Katina Dorton</w:t>
            </w:r>
          </w:p>
        </w:tc>
        <w:tc>
          <w:tcPr>
            <w:tcW w:w="45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5"/>
              </w:rPr>
              <w:t>Katina Dorton</w:t>
            </w:r>
          </w:p>
        </w:tc>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4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Alan Ezekowitz</w:t>
            </w:r>
          </w:p>
        </w:tc>
        <w:tc>
          <w:tcPr>
            <w:tcW w:w="45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8"/>
              </w:rPr>
              <w:t>Alan Ezekowitz, MBChB, D. Phil</w:t>
            </w:r>
          </w:p>
        </w:tc>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4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Geraghty</w:t>
            </w:r>
          </w:p>
        </w:tc>
        <w:tc>
          <w:tcPr>
            <w:tcW w:w="45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89"/>
              </w:rPr>
              <w:t>James Geraghty</w:t>
            </w:r>
          </w:p>
        </w:tc>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344"/>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Kate Haviland</w:t>
            </w:r>
          </w:p>
        </w:tc>
        <w:tc>
          <w:tcPr>
            <w:tcW w:w="45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Pr>
          <w:p>
            <w:pPr>
              <w:ind w:left="620"/>
              <w:spacing w:after="0"/>
              <w:rPr>
                <w:sz w:val="20"/>
                <w:szCs w:val="20"/>
                <w:color w:val="auto"/>
              </w:rPr>
            </w:pPr>
            <w:r>
              <w:rPr>
                <w:rFonts w:ascii="Arial" w:cs="Arial" w:eastAsia="Arial" w:hAnsi="Arial"/>
                <w:sz w:val="18"/>
                <w:szCs w:val="18"/>
                <w:color w:val="auto"/>
                <w:w w:val="90"/>
              </w:rPr>
              <w:t>March 4, 2021</w:t>
            </w: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6"/>
              </w:rPr>
              <w:t>Kate Haviland</w:t>
            </w:r>
          </w:p>
        </w:tc>
        <w:tc>
          <w:tcPr>
            <w:tcW w:w="454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ectPr>
          <w:pgSz w:w="11900" w:h="16838" w:orient="portrait"/>
          <w:cols w:equalWidth="0" w:num="1">
            <w:col w:w="11120"/>
          </w:cols>
          <w:pgMar w:left="320" w:top="378" w:right="45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January 25, 2021</w:t>
      </w:r>
    </w:p>
    <w:p>
      <w:pPr>
        <w:spacing w:after="0" w:line="225" w:lineRule="exact"/>
        <w:rPr>
          <w:sz w:val="20"/>
          <w:szCs w:val="20"/>
          <w:color w:val="auto"/>
        </w:rPr>
      </w:pPr>
    </w:p>
    <w:p>
      <w:pPr>
        <w:ind w:right="220" w:firstLine="864"/>
        <w:spacing w:after="0" w:line="277" w:lineRule="auto"/>
        <w:rPr>
          <w:sz w:val="20"/>
          <w:szCs w:val="20"/>
          <w:color w:val="auto"/>
        </w:rPr>
      </w:pPr>
      <w:r>
        <w:rPr>
          <w:rFonts w:ascii="Arial" w:cs="Arial" w:eastAsia="Arial" w:hAnsi="Arial"/>
          <w:sz w:val="18"/>
          <w:szCs w:val="18"/>
          <w:color w:val="auto"/>
        </w:rPr>
        <w:t>The Company’s non-employee directors shall receive the following compensation for their service as members of the Board of Directors (the “Board”) of the Company.</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20" w:firstLine="864"/>
        <w:spacing w:after="0" w:line="311" w:lineRule="auto"/>
        <w:rPr>
          <w:sz w:val="20"/>
          <w:szCs w:val="20"/>
          <w:color w:val="auto"/>
        </w:rPr>
      </w:pPr>
      <w:r>
        <w:rPr>
          <w:rFonts w:ascii="Arial" w:cs="Arial" w:eastAsia="Arial" w:hAnsi="Arial"/>
          <w:sz w:val="16"/>
          <w:szCs w:val="16"/>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225" w:lineRule="exact"/>
        <w:rPr>
          <w:sz w:val="20"/>
          <w:szCs w:val="20"/>
          <w:color w:val="auto"/>
        </w:rPr>
      </w:pPr>
    </w:p>
    <w:p>
      <w:pPr>
        <w:jc w:val="both"/>
        <w:ind w:right="60" w:firstLine="864"/>
        <w:spacing w:after="0" w:line="263" w:lineRule="auto"/>
        <w:rPr>
          <w:sz w:val="20"/>
          <w:szCs w:val="20"/>
          <w:color w:val="auto"/>
        </w:rPr>
      </w:pPr>
      <w:r>
        <w:rPr>
          <w:rFonts w:ascii="Arial" w:cs="Arial" w:eastAsia="Arial" w:hAnsi="Arial"/>
          <w:sz w:val="18"/>
          <w:szCs w:val="18"/>
          <w:color w:val="auto"/>
        </w:rPr>
        <w:t>The fees that will be paid to our non-employee directors for service on the Board, and for service on each committee of the Board on which the director is then a member, and the fees that will be paid to the chairperson of the Board, if one is then appointed, and the chairperson of each committee of the Board will be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Member Annual</w:t>
            </w:r>
          </w:p>
        </w:tc>
        <w:tc>
          <w:tcPr>
            <w:tcW w:w="340" w:type="dxa"/>
            <w:vAlign w:val="bottom"/>
          </w:tcPr>
          <w:p>
            <w:pPr>
              <w:spacing w:after="0"/>
              <w:rPr>
                <w:sz w:val="14"/>
                <w:szCs w:val="14"/>
                <w:color w:val="auto"/>
              </w:rPr>
            </w:pPr>
          </w:p>
        </w:tc>
        <w:tc>
          <w:tcPr>
            <w:tcW w:w="2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Chairman Incremental</w:t>
            </w:r>
          </w:p>
        </w:tc>
      </w:tr>
      <w:tr>
        <w:trPr>
          <w:trHeight w:val="171"/>
        </w:trPr>
        <w:tc>
          <w:tcPr>
            <w:tcW w:w="50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Fee</w:t>
            </w:r>
          </w:p>
        </w:tc>
        <w:tc>
          <w:tcPr>
            <w:tcW w:w="340" w:type="dxa"/>
            <w:vAlign w:val="bottom"/>
          </w:tcPr>
          <w:p>
            <w:pPr>
              <w:spacing w:after="0"/>
              <w:rPr>
                <w:sz w:val="14"/>
                <w:szCs w:val="14"/>
                <w:color w:val="auto"/>
              </w:rPr>
            </w:pPr>
          </w:p>
        </w:tc>
        <w:tc>
          <w:tcPr>
            <w:tcW w:w="236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Annual Fee</w:t>
            </w: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Audit Committee</w:t>
            </w:r>
          </w:p>
        </w:tc>
        <w:tc>
          <w:tcPr>
            <w:tcW w:w="1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16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16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r>
    </w:tbl>
    <w:p>
      <w:pPr>
        <w:spacing w:after="0" w:line="187" w:lineRule="exact"/>
        <w:rPr>
          <w:sz w:val="20"/>
          <w:szCs w:val="20"/>
          <w:color w:val="auto"/>
        </w:rPr>
      </w:pPr>
    </w:p>
    <w:p>
      <w:pPr>
        <w:ind w:right="280" w:firstLine="864"/>
        <w:spacing w:after="0" w:line="342" w:lineRule="auto"/>
        <w:rPr>
          <w:sz w:val="20"/>
          <w:szCs w:val="20"/>
          <w:color w:val="auto"/>
        </w:rPr>
      </w:pPr>
      <w:r>
        <w:rPr>
          <w:rFonts w:ascii="Arial" w:cs="Arial" w:eastAsia="Arial" w:hAnsi="Arial"/>
          <w:sz w:val="16"/>
          <w:szCs w:val="16"/>
          <w:color w:val="auto"/>
        </w:rPr>
        <w:t>The foregoing fees will be payable in arrears in four equal quarterly installments on the last day of each quarter, provided that the amount of such payment will be prorated for any portion of such quarter that the director is not serving on the Board, on such committee or in such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u w:val="single" w:color="auto"/>
          <w:color w:val="auto"/>
        </w:rPr>
        <w:t>Initial Grants</w:t>
      </w:r>
      <w:r>
        <w:rPr>
          <w:rFonts w:ascii="Arial" w:cs="Arial" w:eastAsia="Arial" w:hAnsi="Arial"/>
          <w:sz w:val="18"/>
          <w:szCs w:val="18"/>
          <w:color w:val="auto"/>
        </w:rPr>
        <w:t xml:space="preserve"> . Upon initial election to the Board, each non-employee director will be granted, automatically and without the need for any further action by the Board, an initial equity award of an option to purchase 30,000 shares of our common stock. The initial award shall have a term of ten years from the date of the award, and shall vest and become exercisable as to 1/36 of the shares underlying such award at the end of each successive one-month period following the grant date until the third anniversary of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92" w:lineRule="exact"/>
        <w:rPr>
          <w:sz w:val="20"/>
          <w:szCs w:val="20"/>
          <w:color w:val="auto"/>
        </w:rPr>
      </w:pPr>
    </w:p>
    <w:p>
      <w:pPr>
        <w:ind w:firstLine="864"/>
        <w:spacing w:after="0" w:line="272" w:lineRule="auto"/>
        <w:rPr>
          <w:sz w:val="20"/>
          <w:szCs w:val="20"/>
          <w:color w:val="auto"/>
        </w:rPr>
      </w:pPr>
      <w:r>
        <w:rPr>
          <w:rFonts w:ascii="Arial" w:cs="Arial" w:eastAsia="Arial" w:hAnsi="Arial"/>
          <w:sz w:val="17"/>
          <w:szCs w:val="17"/>
          <w:u w:val="single" w:color="auto"/>
          <w:color w:val="auto"/>
        </w:rPr>
        <w:t>Annual Grants</w:t>
      </w:r>
      <w:r>
        <w:rPr>
          <w:rFonts w:ascii="Arial" w:cs="Arial" w:eastAsia="Arial" w:hAnsi="Arial"/>
          <w:sz w:val="17"/>
          <w:szCs w:val="17"/>
          <w:color w:val="auto"/>
        </w:rPr>
        <w:t xml:space="preserve"> . Each non-employee director who has served as a member of the Board for at least six months prior to the date of our annual meeting of stockholders for a particular year will be granted, automatically and without the need for any further action by the Board, an equity award on the date of the first Board meeting held after our annual meeting of stockholders for such year of an option to purchase 15,000 shares of our common stock. The annual award shall have a term of ten years from the date of the award, and shall vest and become exercisable in full on the one-year anniversary of the grant date (or, if earlier, immediately prior to the first annual meeting of stockholders occurring after the grant date), subject to the director’s continued service to the Company through each applicable vesting date. The vesting shall accelerate as to 100% of the shares upon a change in control of the Company. The exercise price shall be the closing price of our common stock on the date of grant.</w:t>
      </w:r>
    </w:p>
    <w:p>
      <w:pPr>
        <w:spacing w:after="0" w:line="177" w:lineRule="exact"/>
        <w:rPr>
          <w:sz w:val="20"/>
          <w:szCs w:val="20"/>
          <w:color w:val="auto"/>
        </w:rPr>
      </w:pPr>
    </w:p>
    <w:p>
      <w:pPr>
        <w:jc w:val="both"/>
        <w:ind w:right="40" w:firstLine="864"/>
        <w:spacing w:after="0" w:line="263" w:lineRule="auto"/>
        <w:rPr>
          <w:sz w:val="20"/>
          <w:szCs w:val="20"/>
          <w:color w:val="auto"/>
        </w:rPr>
      </w:pPr>
      <w:r>
        <w:rPr>
          <w:rFonts w:ascii="Arial" w:cs="Arial" w:eastAsia="Arial" w:hAnsi="Arial"/>
          <w:sz w:val="18"/>
          <w:szCs w:val="18"/>
          <w:color w:val="auto"/>
        </w:rPr>
        <w:t>The foregoing share amounts shall be automatically adjusted in the event of any stock split, reverse stock split, stock dividend, recapitalization, combination of shares, reclassification of shares, spin-off or other similar change in capitalization or event effecting our common stock, or any distribution to holders of our common stock other than an ordinary cash dividend.</w:t>
      </w:r>
    </w:p>
    <w:p>
      <w:pPr>
        <w:spacing w:after="0" w:line="184" w:lineRule="exact"/>
        <w:rPr>
          <w:sz w:val="20"/>
          <w:szCs w:val="20"/>
          <w:color w:val="auto"/>
        </w:rPr>
      </w:pPr>
    </w:p>
    <w:p>
      <w:pPr>
        <w:ind w:right="160" w:firstLine="864"/>
        <w:spacing w:after="0" w:line="277" w:lineRule="auto"/>
        <w:rPr>
          <w:sz w:val="20"/>
          <w:szCs w:val="20"/>
          <w:color w:val="auto"/>
        </w:rPr>
      </w:pPr>
      <w:r>
        <w:rPr>
          <w:rFonts w:ascii="Arial" w:cs="Arial" w:eastAsia="Arial" w:hAnsi="Arial"/>
          <w:sz w:val="18"/>
          <w:szCs w:val="18"/>
          <w:color w:val="auto"/>
        </w:rPr>
        <w:t>The initial awards and the annual awards shall be subject to the terms and conditions of our 2019 Stock Incentive Plan, or any successor plan, and the terms of the option agreements entered into with each director in connection with such awards.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20" w:firstLine="864"/>
        <w:spacing w:after="0" w:line="275" w:lineRule="auto"/>
        <w:rPr>
          <w:sz w:val="20"/>
          <w:szCs w:val="20"/>
          <w:color w:val="auto"/>
        </w:rPr>
      </w:pPr>
      <w:r>
        <w:rPr>
          <w:rFonts w:ascii="Arial" w:cs="Arial" w:eastAsia="Arial" w:hAnsi="Arial"/>
          <w:sz w:val="17"/>
          <w:szCs w:val="17"/>
          <w:color w:val="auto"/>
        </w:rPr>
        <w:t>Upon presentation of documentation of such expenses reasonably satisfactory to the Company, each non-employee director shall be reimbursed for his or her reasonable out-of-pocket business expenses incurred in connection with attending meetings of the Board and committees thereof or in connection with other business related to the Board, and each non-employee director shall also be reimbursed for his or her reasonable out-of-pocket business expenses authorized by the Board or a committee of the Board that are incurred in connection with attendance at various conferences or meetings with management of the Company, in accordance with the Company’s travel policy, as it may be in effect from time to time.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b w:val="1"/>
          <w:bCs w:val="1"/>
          <w:color w:val="auto"/>
        </w:rPr>
        <w:t>Exhibit 10.16</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39" w:lineRule="exact"/>
        <w:rPr>
          <w:sz w:val="20"/>
          <w:szCs w:val="20"/>
          <w:color w:val="auto"/>
        </w:rPr>
      </w:pPr>
    </w:p>
    <w:p>
      <w:pPr>
        <w:ind w:right="280" w:firstLine="845"/>
        <w:spacing w:after="0" w:line="328" w:lineRule="auto"/>
        <w:rPr>
          <w:sz w:val="20"/>
          <w:szCs w:val="20"/>
          <w:color w:val="auto"/>
        </w:rPr>
      </w:pPr>
      <w:r>
        <w:rPr>
          <w:rFonts w:ascii="Arial" w:cs="Arial" w:eastAsia="Arial" w:hAnsi="Arial"/>
          <w:sz w:val="19"/>
          <w:szCs w:val="19"/>
          <w:color w:val="auto"/>
        </w:rPr>
        <w:t>THIS EMPLOYMENT AGREEMENT (the “Agreement”), is made as of October 29, 2020 (the “Effective Date”) by and between Fulcrum Therapeutics, Inc. (the “Company”), and Curtis Oltmans (the “Executive”) (together, the “Parties”).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WHEREAS, the Company desires to continue to employ the Executive as its Senior Vice President, General Counsel;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15" w:lineRule="exact"/>
        <w:rPr>
          <w:sz w:val="20"/>
          <w:szCs w:val="20"/>
          <w:color w:val="auto"/>
        </w:rPr>
      </w:pPr>
    </w:p>
    <w:p>
      <w:pPr>
        <w:ind w:right="560" w:firstLine="845"/>
        <w:spacing w:after="0" w:line="250" w:lineRule="auto"/>
        <w:rPr>
          <w:sz w:val="20"/>
          <w:szCs w:val="20"/>
          <w:color w:val="auto"/>
        </w:rPr>
      </w:pPr>
      <w:r>
        <w:rPr>
          <w:rFonts w:ascii="Arial" w:cs="Arial" w:eastAsia="Arial" w:hAnsi="Arial"/>
          <w:sz w:val="22"/>
          <w:szCs w:val="22"/>
          <w:color w:val="auto"/>
        </w:rPr>
        <w:t>WHEREAS, the Company and the Executive are party to a letter agreement dated (the “Existing Agreement”) and desire to amend and restate the Existing Agreement in its entirety; and</w:t>
      </w:r>
    </w:p>
    <w:p>
      <w:pPr>
        <w:spacing w:after="0" w:line="202" w:lineRule="exact"/>
        <w:rPr>
          <w:sz w:val="20"/>
          <w:szCs w:val="20"/>
          <w:color w:val="auto"/>
        </w:rPr>
      </w:pPr>
    </w:p>
    <w:p>
      <w:pPr>
        <w:ind w:right="40" w:firstLine="845"/>
        <w:spacing w:after="0" w:line="250" w:lineRule="auto"/>
        <w:rPr>
          <w:sz w:val="20"/>
          <w:szCs w:val="20"/>
          <w:color w:val="auto"/>
        </w:rPr>
      </w:pPr>
      <w:r>
        <w:rPr>
          <w:rFonts w:ascii="Arial" w:cs="Arial" w:eastAsia="Arial" w:hAnsi="Arial"/>
          <w:sz w:val="22"/>
          <w:szCs w:val="22"/>
          <w:color w:val="auto"/>
        </w:rPr>
        <w:t>WHEREAS, the Executive has agreed to accept such continued employment on the terms and conditions set forth in this Agreement;</w:t>
      </w:r>
    </w:p>
    <w:p>
      <w:pPr>
        <w:spacing w:after="0" w:line="202" w:lineRule="exact"/>
        <w:rPr>
          <w:sz w:val="20"/>
          <w:szCs w:val="20"/>
          <w:color w:val="auto"/>
        </w:rPr>
      </w:pPr>
    </w:p>
    <w:p>
      <w:pPr>
        <w:ind w:right="300" w:firstLine="845"/>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202" w:lineRule="exact"/>
        <w:rPr>
          <w:sz w:val="20"/>
          <w:szCs w:val="20"/>
          <w:color w:val="auto"/>
        </w:rPr>
      </w:pPr>
    </w:p>
    <w:p>
      <w:pPr>
        <w:jc w:val="both"/>
        <w:ind w:firstLine="8"/>
        <w:spacing w:after="0"/>
        <w:tabs>
          <w:tab w:leader="none" w:pos="810" w:val="left"/>
        </w:tabs>
        <w:numPr>
          <w:ilvl w:val="0"/>
          <w:numId w:val="62"/>
        </w:numPr>
        <w:rPr>
          <w:rFonts w:ascii="Arial" w:cs="Arial" w:eastAsia="Arial" w:hAnsi="Arial"/>
          <w:sz w:val="22"/>
          <w:szCs w:val="22"/>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This Agreement shall be effective as of the Effective Date. Following the Effective Date, the Executive shall</w:t>
      </w:r>
      <w:r>
        <w:rPr>
          <w:rFonts w:ascii="Arial" w:cs="Arial" w:eastAsia="Arial" w:hAnsi="Arial"/>
          <w:sz w:val="22"/>
          <w:szCs w:val="22"/>
          <w:i w:val="1"/>
          <w:iCs w:val="1"/>
          <w:color w:val="auto"/>
        </w:rPr>
        <w:t xml:space="preserve"> </w:t>
      </w:r>
      <w:r>
        <w:rPr>
          <w:rFonts w:ascii="Arial" w:cs="Arial" w:eastAsia="Arial" w:hAnsi="Arial"/>
          <w:sz w:val="22"/>
          <w:szCs w:val="22"/>
          <w:color w:val="auto"/>
        </w:rPr>
        <w:t>continue to be an employee of the Company until such employment relationship is terminated in accordance with Section 7 hereof (the “Term of Employment”).</w:t>
      </w:r>
    </w:p>
    <w:p>
      <w:pPr>
        <w:spacing w:after="0" w:line="213" w:lineRule="exact"/>
        <w:rPr>
          <w:rFonts w:ascii="Arial" w:cs="Arial" w:eastAsia="Arial" w:hAnsi="Arial"/>
          <w:sz w:val="22"/>
          <w:szCs w:val="22"/>
          <w:color w:val="auto"/>
        </w:rPr>
      </w:pPr>
    </w:p>
    <w:p>
      <w:pPr>
        <w:ind w:right="100" w:firstLine="8"/>
        <w:spacing w:after="0" w:line="328" w:lineRule="auto"/>
        <w:tabs>
          <w:tab w:leader="none" w:pos="810" w:val="left"/>
        </w:tabs>
        <w:numPr>
          <w:ilvl w:val="0"/>
          <w:numId w:val="62"/>
        </w:numPr>
        <w:rPr>
          <w:rFonts w:ascii="Arial" w:cs="Arial" w:eastAsia="Arial" w:hAnsi="Arial"/>
          <w:sz w:val="19"/>
          <w:szCs w:val="19"/>
          <w:color w:val="auto"/>
        </w:rPr>
      </w:pPr>
      <w:r>
        <w:rPr>
          <w:rFonts w:ascii="Arial" w:cs="Arial" w:eastAsia="Arial" w:hAnsi="Arial"/>
          <w:sz w:val="19"/>
          <w:szCs w:val="19"/>
          <w:i w:val="1"/>
          <w:iCs w:val="1"/>
          <w:color w:val="auto"/>
        </w:rPr>
        <w:t>Position</w:t>
      </w:r>
      <w:r>
        <w:rPr>
          <w:rFonts w:ascii="Arial" w:cs="Arial" w:eastAsia="Arial" w:hAnsi="Arial"/>
          <w:sz w:val="19"/>
          <w:szCs w:val="19"/>
          <w:color w:val="auto"/>
        </w:rPr>
        <w:t>. During the Term of Employment, the Executive shall serve as SVP, General Counsel of the Company, working</w:t>
      </w:r>
      <w:r>
        <w:rPr>
          <w:rFonts w:ascii="Arial" w:cs="Arial" w:eastAsia="Arial" w:hAnsi="Arial"/>
          <w:sz w:val="19"/>
          <w:szCs w:val="19"/>
          <w:i w:val="1"/>
          <w:iCs w:val="1"/>
          <w:color w:val="auto"/>
        </w:rPr>
        <w:t xml:space="preserve"> </w:t>
      </w:r>
      <w:r>
        <w:rPr>
          <w:rFonts w:ascii="Arial" w:cs="Arial" w:eastAsia="Arial" w:hAnsi="Arial"/>
          <w:sz w:val="19"/>
          <w:szCs w:val="19"/>
          <w:color w:val="auto"/>
        </w:rPr>
        <w:t>out of the Company’s office in Cambridge, Massachusetts, and travelling as reasonably required by the Executive’s job duties.</w:t>
      </w:r>
    </w:p>
    <w:p>
      <w:pPr>
        <w:spacing w:after="0" w:line="131" w:lineRule="exact"/>
        <w:rPr>
          <w:rFonts w:ascii="Arial" w:cs="Arial" w:eastAsia="Arial" w:hAnsi="Arial"/>
          <w:sz w:val="19"/>
          <w:szCs w:val="19"/>
          <w:color w:val="auto"/>
        </w:rPr>
      </w:pPr>
    </w:p>
    <w:p>
      <w:pPr>
        <w:ind w:right="40" w:firstLine="8"/>
        <w:spacing w:after="0" w:line="273" w:lineRule="auto"/>
        <w:tabs>
          <w:tab w:leader="none" w:pos="810" w:val="left"/>
        </w:tabs>
        <w:numPr>
          <w:ilvl w:val="0"/>
          <w:numId w:val="62"/>
        </w:numPr>
        <w:rPr>
          <w:rFonts w:ascii="Arial" w:cs="Arial" w:eastAsia="Arial" w:hAnsi="Arial"/>
          <w:sz w:val="19"/>
          <w:szCs w:val="19"/>
          <w:color w:val="auto"/>
        </w:rPr>
      </w:pPr>
      <w:r>
        <w:rPr>
          <w:rFonts w:ascii="Arial" w:cs="Arial" w:eastAsia="Arial" w:hAnsi="Arial"/>
          <w:sz w:val="19"/>
          <w:szCs w:val="19"/>
          <w:i w:val="1"/>
          <w:iCs w:val="1"/>
          <w:color w:val="auto"/>
        </w:rPr>
        <w:t>Scope of Employment</w:t>
      </w:r>
      <w:r>
        <w:rPr>
          <w:rFonts w:ascii="Arial" w:cs="Arial" w:eastAsia="Arial" w:hAnsi="Arial"/>
          <w:sz w:val="19"/>
          <w:szCs w:val="19"/>
          <w:color w:val="auto"/>
        </w:rPr>
        <w:t>. During the Term of Employment, the Executive shall be responsible for the performance of those</w:t>
      </w:r>
      <w:r>
        <w:rPr>
          <w:rFonts w:ascii="Arial" w:cs="Arial" w:eastAsia="Arial" w:hAnsi="Arial"/>
          <w:sz w:val="19"/>
          <w:szCs w:val="19"/>
          <w:i w:val="1"/>
          <w:iCs w:val="1"/>
          <w:color w:val="auto"/>
        </w:rPr>
        <w:t xml:space="preserve"> </w:t>
      </w:r>
      <w:r>
        <w:rPr>
          <w:rFonts w:ascii="Arial" w:cs="Arial" w:eastAsia="Arial" w:hAnsi="Arial"/>
          <w:sz w:val="19"/>
          <w:szCs w:val="19"/>
          <w:color w:val="auto"/>
        </w:rPr>
        <w:t>duties consistent with the Executive’s position as SVP, General Counsel. The Executive shall report to the President and Chief Executive Officer of the Company and shall perform and discharge faithfully, diligently, and to the best of the Executive’s ability, the Executive’s duties and responsibilities hereunder. The Executive shall devote substantially all of the Executive’s business time, loyalty, attention and efforts to the business and affairs of the Company and its affiliates. Membership on boards of directors of any other companies will be permitted only with the express approval of the Company’s board of directors (the “Board”); provided, however, that the Executive may engage in community and charitable activities or participate in industry associations and serve on the boards of up to two (2) community, charitable or industry organizations, without the approval of the Board, provided such activities do not create a conflict of interest or otherwise interfere with the Executive’s performance of the Executive’s duties hereunder. The Executive agrees to abide by the rules, regulations, instructions, personnel practices and policies of the Company and any changes therein that may be adopted from time to time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00" w:lineRule="exact"/>
        <w:rPr>
          <w:sz w:val="20"/>
          <w:szCs w:val="20"/>
          <w:color w:val="auto"/>
        </w:rPr>
      </w:pPr>
    </w:p>
    <w:p>
      <w:pPr>
        <w:spacing w:after="0" w:line="234" w:lineRule="exact"/>
        <w:rPr>
          <w:sz w:val="20"/>
          <w:szCs w:val="20"/>
          <w:color w:val="auto"/>
        </w:rPr>
      </w:pPr>
    </w:p>
    <w:p>
      <w:pPr>
        <w:ind w:right="680" w:firstLine="8"/>
        <w:spacing w:after="0" w:line="274" w:lineRule="auto"/>
        <w:tabs>
          <w:tab w:leader="none" w:pos="810" w:val="left"/>
        </w:tabs>
        <w:numPr>
          <w:ilvl w:val="0"/>
          <w:numId w:val="63"/>
        </w:numPr>
        <w:rPr>
          <w:rFonts w:ascii="Arial" w:cs="Arial" w:eastAsia="Arial" w:hAnsi="Arial"/>
          <w:sz w:val="21"/>
          <w:szCs w:val="21"/>
          <w:color w:val="auto"/>
        </w:rPr>
      </w:pPr>
      <w:r>
        <w:rPr>
          <w:rFonts w:ascii="Arial" w:cs="Arial" w:eastAsia="Arial" w:hAnsi="Arial"/>
          <w:sz w:val="21"/>
          <w:szCs w:val="21"/>
          <w:i w:val="1"/>
          <w:iCs w:val="1"/>
          <w:color w:val="auto"/>
        </w:rPr>
        <w:t>Compensation</w:t>
      </w:r>
      <w:r>
        <w:rPr>
          <w:rFonts w:ascii="Arial" w:cs="Arial" w:eastAsia="Arial" w:hAnsi="Arial"/>
          <w:sz w:val="21"/>
          <w:szCs w:val="21"/>
          <w:color w:val="auto"/>
        </w:rPr>
        <w:t>. As full compensation for all services rendered by the Executive to the Company and any affiliate</w:t>
      </w:r>
      <w:r>
        <w:rPr>
          <w:rFonts w:ascii="Arial" w:cs="Arial" w:eastAsia="Arial" w:hAnsi="Arial"/>
          <w:sz w:val="21"/>
          <w:szCs w:val="21"/>
          <w:i w:val="1"/>
          <w:iCs w:val="1"/>
          <w:color w:val="auto"/>
        </w:rPr>
        <w:t xml:space="preserve"> </w:t>
      </w:r>
      <w:r>
        <w:rPr>
          <w:rFonts w:ascii="Arial" w:cs="Arial" w:eastAsia="Arial" w:hAnsi="Arial"/>
          <w:sz w:val="21"/>
          <w:szCs w:val="21"/>
          <w:color w:val="auto"/>
        </w:rPr>
        <w:t>thereof, during the Term of Employment, the Company will provide to the Executive the following:</w:t>
      </w:r>
    </w:p>
    <w:p>
      <w:pPr>
        <w:spacing w:after="0" w:line="177" w:lineRule="exact"/>
        <w:rPr>
          <w:rFonts w:ascii="Arial" w:cs="Arial" w:eastAsia="Arial" w:hAnsi="Arial"/>
          <w:sz w:val="21"/>
          <w:szCs w:val="21"/>
          <w:color w:val="auto"/>
        </w:rPr>
      </w:pPr>
    </w:p>
    <w:p>
      <w:pPr>
        <w:ind w:right="120" w:firstLine="853"/>
        <w:spacing w:after="0" w:line="238" w:lineRule="auto"/>
        <w:tabs>
          <w:tab w:leader="none" w:pos="1729" w:val="left"/>
        </w:tabs>
        <w:numPr>
          <w:ilvl w:val="1"/>
          <w:numId w:val="63"/>
        </w:numPr>
        <w:rPr>
          <w:rFonts w:ascii="Arial" w:cs="Arial" w:eastAsia="Arial" w:hAnsi="Arial"/>
          <w:sz w:val="22"/>
          <w:szCs w:val="22"/>
          <w:color w:val="auto"/>
        </w:rPr>
      </w:pPr>
      <w:r>
        <w:rPr>
          <w:rFonts w:ascii="Arial" w:cs="Arial" w:eastAsia="Arial" w:hAnsi="Arial"/>
          <w:sz w:val="22"/>
          <w:szCs w:val="22"/>
          <w:i w:val="1"/>
          <w:iCs w:val="1"/>
          <w:color w:val="auto"/>
        </w:rPr>
        <w:t>Base Salary</w:t>
      </w:r>
      <w:r>
        <w:rPr>
          <w:rFonts w:ascii="Arial" w:cs="Arial" w:eastAsia="Arial" w:hAnsi="Arial"/>
          <w:sz w:val="22"/>
          <w:szCs w:val="22"/>
          <w:color w:val="auto"/>
        </w:rPr>
        <w:t>. The Executive shall receive a base salary at the annualized rate of $390,000 (the “Base Salary”).</w:t>
      </w:r>
      <w:r>
        <w:rPr>
          <w:rFonts w:ascii="Arial" w:cs="Arial" w:eastAsia="Arial" w:hAnsi="Arial"/>
          <w:sz w:val="22"/>
          <w:szCs w:val="22"/>
          <w:i w:val="1"/>
          <w:iCs w:val="1"/>
          <w:color w:val="auto"/>
        </w:rPr>
        <w:t xml:space="preserve"> </w:t>
      </w:r>
      <w:r>
        <w:rPr>
          <w:rFonts w:ascii="Arial" w:cs="Arial" w:eastAsia="Arial" w:hAnsi="Arial"/>
          <w:sz w:val="22"/>
          <w:szCs w:val="22"/>
          <w:color w:val="auto"/>
        </w:rPr>
        <w:t>The Executive’s Base Salary shall be paid in equal installments in accordance with the Company’s regularly established payroll procedures. The Executive’s Base Salary will be reviewed on an annual or more frequent basis by the Board and is subject to change in the discretion of the Board.</w:t>
      </w:r>
    </w:p>
    <w:p>
      <w:pPr>
        <w:spacing w:after="0" w:line="211" w:lineRule="exact"/>
        <w:rPr>
          <w:rFonts w:ascii="Arial" w:cs="Arial" w:eastAsia="Arial" w:hAnsi="Arial"/>
          <w:sz w:val="22"/>
          <w:szCs w:val="22"/>
          <w:color w:val="auto"/>
        </w:rPr>
      </w:pPr>
    </w:p>
    <w:p>
      <w:pPr>
        <w:ind w:right="20" w:firstLine="853"/>
        <w:spacing w:after="0" w:line="272" w:lineRule="auto"/>
        <w:tabs>
          <w:tab w:leader="none" w:pos="1742"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Annual Discretionary Bonus. The Executive will be eligible to earn an annual performance bonus of up to 35% of the Executive’s Base Salary (the “Target Bonus”), based upon the Board’s assessment of the Executive’s performance and the Company’s attainment of targeted goals as set by the Board in its sole discretion. To the extent the Executive’s Base Salary and/or target bonus percentage of Base Salary is changed during the year to which the performance bonus relates, the Target Bonus shall be calculated based on base salary actually paid during 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provide the bonus in the form of cash, equity award(s), or a combination of cash and equity. Following the close of each calendar year, the Board will determine whether the Executive has earned a performance bonus, and the amount of any performance bonus, based on the set criteria. No amount of the annual bonus is guaranteed, and the Executive must be an employee in good standing on the date of payment in order to be eligible for any annual bonus, except as specifically set forth below. The annual performance bonus, if earned, will be paid by no later than March 15 of the calendar year after the year to which it relates. The Executive’s bonus eligibility will be reviewed on an annual or more frequent basis by the Board and is subject to change in the discretion of the Board.</w:t>
      </w:r>
    </w:p>
    <w:p>
      <w:pPr>
        <w:spacing w:after="0" w:line="182" w:lineRule="exact"/>
        <w:rPr>
          <w:rFonts w:ascii="Arial" w:cs="Arial" w:eastAsia="Arial" w:hAnsi="Arial"/>
          <w:sz w:val="19"/>
          <w:szCs w:val="19"/>
          <w:color w:val="auto"/>
        </w:rPr>
      </w:pPr>
    </w:p>
    <w:p>
      <w:pPr>
        <w:ind w:right="100" w:firstLine="853"/>
        <w:spacing w:after="0" w:line="250" w:lineRule="auto"/>
        <w:tabs>
          <w:tab w:leader="none" w:pos="1729" w:val="left"/>
        </w:tabs>
        <w:numPr>
          <w:ilvl w:val="1"/>
          <w:numId w:val="63"/>
        </w:numPr>
        <w:rPr>
          <w:rFonts w:ascii="Arial" w:cs="Arial" w:eastAsia="Arial" w:hAnsi="Arial"/>
          <w:sz w:val="22"/>
          <w:szCs w:val="22"/>
          <w:color w:val="auto"/>
        </w:rPr>
      </w:pPr>
      <w:r>
        <w:rPr>
          <w:rFonts w:ascii="Arial" w:cs="Arial" w:eastAsia="Arial" w:hAnsi="Arial"/>
          <w:sz w:val="22"/>
          <w:szCs w:val="22"/>
          <w:i w:val="1"/>
          <w:iCs w:val="1"/>
          <w:color w:val="auto"/>
        </w:rPr>
        <w:t xml:space="preserve">Equity </w:t>
      </w:r>
      <w:r>
        <w:rPr>
          <w:rFonts w:ascii="Arial" w:cs="Arial" w:eastAsia="Arial" w:hAnsi="Arial"/>
          <w:sz w:val="22"/>
          <w:szCs w:val="22"/>
          <w:color w:val="auto"/>
        </w:rPr>
        <w:t>Award. The Executive will be eligible to receive equity awards, if any, at such times and on such terms</w:t>
      </w:r>
      <w:r>
        <w:rPr>
          <w:rFonts w:ascii="Arial" w:cs="Arial" w:eastAsia="Arial" w:hAnsi="Arial"/>
          <w:sz w:val="22"/>
          <w:szCs w:val="22"/>
          <w:i w:val="1"/>
          <w:iCs w:val="1"/>
          <w:color w:val="auto"/>
        </w:rPr>
        <w:t xml:space="preserve"> </w:t>
      </w:r>
      <w:r>
        <w:rPr>
          <w:rFonts w:ascii="Arial" w:cs="Arial" w:eastAsia="Arial" w:hAnsi="Arial"/>
          <w:sz w:val="22"/>
          <w:szCs w:val="22"/>
          <w:color w:val="auto"/>
        </w:rPr>
        <w:t>and conditions as the Board shall, in its sole discretion, determine.</w:t>
      </w:r>
    </w:p>
    <w:p>
      <w:pPr>
        <w:spacing w:after="0" w:line="201" w:lineRule="exact"/>
        <w:rPr>
          <w:rFonts w:ascii="Arial" w:cs="Arial" w:eastAsia="Arial" w:hAnsi="Arial"/>
          <w:sz w:val="22"/>
          <w:szCs w:val="22"/>
          <w:color w:val="auto"/>
        </w:rPr>
      </w:pPr>
    </w:p>
    <w:p>
      <w:pPr>
        <w:ind w:firstLine="853"/>
        <w:spacing w:after="0" w:line="250" w:lineRule="auto"/>
        <w:tabs>
          <w:tab w:leader="none" w:pos="1742" w:val="left"/>
        </w:tabs>
        <w:numPr>
          <w:ilvl w:val="1"/>
          <w:numId w:val="63"/>
        </w:numPr>
        <w:rPr>
          <w:rFonts w:ascii="Arial" w:cs="Arial" w:eastAsia="Arial" w:hAnsi="Arial"/>
          <w:sz w:val="22"/>
          <w:szCs w:val="22"/>
          <w:color w:val="auto"/>
        </w:rPr>
      </w:pPr>
      <w:r>
        <w:rPr>
          <w:rFonts w:ascii="Arial" w:cs="Arial" w:eastAsia="Arial" w:hAnsi="Arial"/>
          <w:sz w:val="22"/>
          <w:szCs w:val="22"/>
          <w:i w:val="1"/>
          <w:iCs w:val="1"/>
          <w:color w:val="auto"/>
        </w:rPr>
        <w:t>Paid Time Off</w:t>
      </w:r>
      <w:r>
        <w:rPr>
          <w:rFonts w:ascii="Arial" w:cs="Arial" w:eastAsia="Arial" w:hAnsi="Arial"/>
          <w:sz w:val="22"/>
          <w:szCs w:val="22"/>
          <w:color w:val="auto"/>
        </w:rPr>
        <w:t>. The Executive shall be entitled to paid time off, vacation time plus sick time, consistent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policies.</w:t>
      </w:r>
    </w:p>
    <w:p>
      <w:pPr>
        <w:spacing w:after="0" w:line="201" w:lineRule="exact"/>
        <w:rPr>
          <w:rFonts w:ascii="Arial" w:cs="Arial" w:eastAsia="Arial" w:hAnsi="Arial"/>
          <w:sz w:val="22"/>
          <w:szCs w:val="22"/>
          <w:color w:val="auto"/>
        </w:rPr>
      </w:pPr>
    </w:p>
    <w:p>
      <w:pPr>
        <w:ind w:right="120" w:firstLine="853"/>
        <w:spacing w:after="0" w:line="236" w:lineRule="auto"/>
        <w:tabs>
          <w:tab w:leader="none" w:pos="1729" w:val="left"/>
        </w:tabs>
        <w:numPr>
          <w:ilvl w:val="1"/>
          <w:numId w:val="63"/>
        </w:numPr>
        <w:rPr>
          <w:rFonts w:ascii="Arial" w:cs="Arial" w:eastAsia="Arial" w:hAnsi="Arial"/>
          <w:sz w:val="22"/>
          <w:szCs w:val="22"/>
          <w:color w:val="auto"/>
        </w:rPr>
      </w:pPr>
      <w:r>
        <w:rPr>
          <w:rFonts w:ascii="Arial" w:cs="Arial" w:eastAsia="Arial" w:hAnsi="Arial"/>
          <w:sz w:val="22"/>
          <w:szCs w:val="22"/>
          <w:i w:val="1"/>
          <w:iCs w:val="1"/>
          <w:color w:val="auto"/>
        </w:rPr>
        <w:t>Benefits</w:t>
      </w:r>
      <w:r>
        <w:rPr>
          <w:rFonts w:ascii="Arial" w:cs="Arial" w:eastAsia="Arial" w:hAnsi="Arial"/>
          <w:sz w:val="22"/>
          <w:szCs w:val="22"/>
          <w:color w:val="auto"/>
        </w:rPr>
        <w:t>. Subject to eligibility requirements and the Company’s polices, the Executive shall have the right, on</w:t>
      </w:r>
      <w:r>
        <w:rPr>
          <w:rFonts w:ascii="Arial" w:cs="Arial" w:eastAsia="Arial" w:hAnsi="Arial"/>
          <w:sz w:val="22"/>
          <w:szCs w:val="22"/>
          <w:i w:val="1"/>
          <w:iCs w:val="1"/>
          <w:color w:val="auto"/>
        </w:rPr>
        <w:t xml:space="preserve"> </w:t>
      </w:r>
      <w:r>
        <w:rPr>
          <w:rFonts w:ascii="Arial" w:cs="Arial" w:eastAsia="Arial" w:hAnsi="Arial"/>
          <w:sz w:val="22"/>
          <w:szCs w:val="22"/>
          <w:color w:val="auto"/>
        </w:rPr>
        <w:t>the same basis as other similarly-situated employees of the Company, to participate in, and to receive benefits under, any medical, vision and dental insurance policy maintained by the Company and the Company shall pay a portion of the cost of the premiums for such medical, vision and dental insurance that is consistent with the Company’s then current employee benefit policy if the Executive elects to participate in such plans.</w:t>
      </w:r>
    </w:p>
    <w:p>
      <w:pPr>
        <w:spacing w:after="0" w:line="214" w:lineRule="exact"/>
        <w:rPr>
          <w:rFonts w:ascii="Arial" w:cs="Arial" w:eastAsia="Arial" w:hAnsi="Arial"/>
          <w:sz w:val="22"/>
          <w:szCs w:val="22"/>
          <w:color w:val="auto"/>
        </w:rPr>
      </w:pPr>
    </w:p>
    <w:p>
      <w:pPr>
        <w:ind w:left="1720" w:hanging="867"/>
        <w:spacing w:after="0"/>
        <w:tabs>
          <w:tab w:leader="none" w:pos="17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Withholdings. All compensation payable to the Executive shall be subject to applicable taxes and</w:t>
      </w:r>
    </w:p>
    <w:p>
      <w:pPr>
        <w:spacing w:after="0" w:line="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withholdings.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00" w:lineRule="exact"/>
        <w:rPr>
          <w:sz w:val="20"/>
          <w:szCs w:val="20"/>
          <w:color w:val="auto"/>
        </w:rPr>
      </w:pPr>
    </w:p>
    <w:p>
      <w:pPr>
        <w:spacing w:after="0" w:line="234" w:lineRule="exact"/>
        <w:rPr>
          <w:sz w:val="20"/>
          <w:szCs w:val="20"/>
          <w:color w:val="auto"/>
        </w:rPr>
      </w:pPr>
    </w:p>
    <w:p>
      <w:pPr>
        <w:ind w:right="440" w:firstLine="8"/>
        <w:spacing w:after="0" w:line="250" w:lineRule="auto"/>
        <w:tabs>
          <w:tab w:leader="none" w:pos="81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Expenses</w:t>
      </w:r>
      <w:r>
        <w:rPr>
          <w:rFonts w:ascii="Arial" w:cs="Arial" w:eastAsia="Arial" w:hAnsi="Arial"/>
          <w:sz w:val="22"/>
          <w:szCs w:val="22"/>
          <w:color w:val="auto"/>
        </w:rPr>
        <w:t>. The Executive will be reimbursed for her actual, necessary, and reasonable business expenses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Company policy, subject to the provisions of Section 3 of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w:t>
      </w:r>
    </w:p>
    <w:p>
      <w:pPr>
        <w:spacing w:after="0" w:line="201" w:lineRule="exact"/>
        <w:rPr>
          <w:rFonts w:ascii="Arial" w:cs="Arial" w:eastAsia="Arial" w:hAnsi="Arial"/>
          <w:sz w:val="22"/>
          <w:szCs w:val="22"/>
          <w:color w:val="auto"/>
        </w:rPr>
      </w:pPr>
    </w:p>
    <w:p>
      <w:pPr>
        <w:ind w:right="200" w:firstLine="8"/>
        <w:spacing w:after="0" w:line="250" w:lineRule="auto"/>
        <w:tabs>
          <w:tab w:leader="none" w:pos="81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Restrictive Covenants Agreement</w:t>
      </w:r>
      <w:r>
        <w:rPr>
          <w:rFonts w:ascii="Arial" w:cs="Arial" w:eastAsia="Arial" w:hAnsi="Arial"/>
          <w:sz w:val="22"/>
          <w:szCs w:val="22"/>
          <w:color w:val="auto"/>
        </w:rPr>
        <w:t>. The Executive hereby acknowledges the Employee Confidentiality and Assignment</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dated October 27, 2020, that the Executive entered into with the Company.</w:t>
      </w:r>
    </w:p>
    <w:p>
      <w:pPr>
        <w:spacing w:after="0" w:line="201" w:lineRule="exact"/>
        <w:rPr>
          <w:rFonts w:ascii="Arial" w:cs="Arial" w:eastAsia="Arial" w:hAnsi="Arial"/>
          <w:sz w:val="22"/>
          <w:szCs w:val="22"/>
          <w:color w:val="auto"/>
        </w:rPr>
      </w:pPr>
    </w:p>
    <w:p>
      <w:pPr>
        <w:ind w:right="140" w:firstLine="8"/>
        <w:spacing w:after="0" w:line="250" w:lineRule="auto"/>
        <w:tabs>
          <w:tab w:leader="none" w:pos="810" w:val="left"/>
        </w:tabs>
        <w:numPr>
          <w:ilvl w:val="0"/>
          <w:numId w:val="64"/>
        </w:numPr>
        <w:rPr>
          <w:rFonts w:ascii="Arial" w:cs="Arial" w:eastAsia="Arial" w:hAnsi="Arial"/>
          <w:sz w:val="22"/>
          <w:szCs w:val="22"/>
          <w:color w:val="auto"/>
        </w:rPr>
      </w:pP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and the employment of the Executive shall terminate upon the occurrence of</w:t>
      </w:r>
      <w:r>
        <w:rPr>
          <w:rFonts w:ascii="Arial" w:cs="Arial" w:eastAsia="Arial" w:hAnsi="Arial"/>
          <w:sz w:val="22"/>
          <w:szCs w:val="22"/>
          <w:i w:val="1"/>
          <w:iCs w:val="1"/>
          <w:color w:val="auto"/>
        </w:rPr>
        <w:t xml:space="preserve"> </w:t>
      </w:r>
      <w:r>
        <w:rPr>
          <w:rFonts w:ascii="Arial" w:cs="Arial" w:eastAsia="Arial" w:hAnsi="Arial"/>
          <w:sz w:val="22"/>
          <w:szCs w:val="22"/>
          <w:color w:val="auto"/>
        </w:rPr>
        <w:t>any of the following:</w:t>
      </w:r>
    </w:p>
    <w:p>
      <w:pPr>
        <w:spacing w:after="0" w:line="201" w:lineRule="exact"/>
        <w:rPr>
          <w:rFonts w:ascii="Arial" w:cs="Arial" w:eastAsia="Arial" w:hAnsi="Arial"/>
          <w:sz w:val="22"/>
          <w:szCs w:val="22"/>
          <w:color w:val="auto"/>
        </w:rPr>
      </w:pPr>
    </w:p>
    <w:p>
      <w:pPr>
        <w:ind w:firstLine="853"/>
        <w:spacing w:after="0" w:line="287" w:lineRule="auto"/>
        <w:tabs>
          <w:tab w:leader="none" w:pos="1729" w:val="left"/>
        </w:tabs>
        <w:numPr>
          <w:ilvl w:val="2"/>
          <w:numId w:val="64"/>
        </w:numPr>
        <w:rPr>
          <w:rFonts w:ascii="Arial" w:cs="Arial" w:eastAsia="Arial" w:hAnsi="Arial"/>
          <w:sz w:val="19"/>
          <w:szCs w:val="19"/>
          <w:color w:val="auto"/>
        </w:rPr>
      </w:pPr>
      <w:r>
        <w:rPr>
          <w:rFonts w:ascii="Arial" w:cs="Arial" w:eastAsia="Arial" w:hAnsi="Arial"/>
          <w:sz w:val="19"/>
          <w:szCs w:val="19"/>
          <w:color w:val="auto"/>
        </w:rPr>
        <w:t>Upon the death or “Disability” of the Executive. As used in this Agreement, the term “Disability”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w:t>
      </w:r>
    </w:p>
    <w:p>
      <w:pPr>
        <w:spacing w:after="0" w:line="169" w:lineRule="exact"/>
        <w:rPr>
          <w:rFonts w:ascii="Arial" w:cs="Arial" w:eastAsia="Arial" w:hAnsi="Arial"/>
          <w:sz w:val="19"/>
          <w:szCs w:val="19"/>
          <w:color w:val="auto"/>
        </w:rPr>
      </w:pPr>
    </w:p>
    <w:p>
      <w:pPr>
        <w:ind w:right="60" w:firstLine="853"/>
        <w:spacing w:after="0" w:line="250" w:lineRule="auto"/>
        <w:tabs>
          <w:tab w:leader="none" w:pos="1742" w:val="left"/>
        </w:tabs>
        <w:numPr>
          <w:ilvl w:val="2"/>
          <w:numId w:val="64"/>
        </w:numPr>
        <w:rPr>
          <w:rFonts w:ascii="Arial" w:cs="Arial" w:eastAsia="Arial" w:hAnsi="Arial"/>
          <w:sz w:val="22"/>
          <w:szCs w:val="22"/>
          <w:color w:val="auto"/>
        </w:rPr>
      </w:pPr>
      <w:r>
        <w:rPr>
          <w:rFonts w:ascii="Arial" w:cs="Arial" w:eastAsia="Arial" w:hAnsi="Arial"/>
          <w:sz w:val="22"/>
          <w:szCs w:val="22"/>
          <w:color w:val="auto"/>
        </w:rPr>
        <w:t>At the election of the Company, with or without “Cause” (as defined below), immediately upon written notice by the Company to the Executive. As used in this Agreement, “Cause” shall mean:</w:t>
      </w:r>
    </w:p>
    <w:p>
      <w:pPr>
        <w:spacing w:after="0" w:line="201" w:lineRule="exact"/>
        <w:rPr>
          <w:rFonts w:ascii="Arial" w:cs="Arial" w:eastAsia="Arial" w:hAnsi="Arial"/>
          <w:sz w:val="22"/>
          <w:szCs w:val="22"/>
          <w:color w:val="auto"/>
        </w:rPr>
      </w:pPr>
    </w:p>
    <w:p>
      <w:pPr>
        <w:ind w:left="1680" w:right="60" w:hanging="835"/>
        <w:spacing w:after="0" w:line="297" w:lineRule="auto"/>
        <w:tabs>
          <w:tab w:leader="none" w:pos="1680" w:val="left"/>
        </w:tabs>
        <w:numPr>
          <w:ilvl w:val="2"/>
          <w:numId w:val="65"/>
        </w:numPr>
        <w:rPr>
          <w:rFonts w:ascii="Arial" w:cs="Arial" w:eastAsia="Arial" w:hAnsi="Arial"/>
          <w:sz w:val="19"/>
          <w:szCs w:val="19"/>
          <w:color w:val="auto"/>
        </w:rPr>
      </w:pPr>
      <w:r>
        <w:rPr>
          <w:rFonts w:ascii="Arial" w:cs="Arial" w:eastAsia="Arial" w:hAnsi="Arial"/>
          <w:sz w:val="19"/>
          <w:szCs w:val="19"/>
          <w:color w:val="auto"/>
        </w:rPr>
        <w:t>Executive’s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w:t>
      </w:r>
    </w:p>
    <w:p>
      <w:pPr>
        <w:spacing w:after="0" w:line="160" w:lineRule="exact"/>
        <w:rPr>
          <w:rFonts w:ascii="Arial" w:cs="Arial" w:eastAsia="Arial" w:hAnsi="Arial"/>
          <w:sz w:val="19"/>
          <w:szCs w:val="19"/>
          <w:color w:val="auto"/>
        </w:rPr>
      </w:pPr>
    </w:p>
    <w:p>
      <w:pPr>
        <w:ind w:left="1680" w:right="60" w:hanging="835"/>
        <w:spacing w:after="0" w:line="250" w:lineRule="auto"/>
        <w:tabs>
          <w:tab w:leader="none" w:pos="1680" w:val="left"/>
        </w:tabs>
        <w:numPr>
          <w:ilvl w:val="2"/>
          <w:numId w:val="66"/>
        </w:numPr>
        <w:rPr>
          <w:rFonts w:ascii="Arial" w:cs="Arial" w:eastAsia="Arial" w:hAnsi="Arial"/>
          <w:sz w:val="22"/>
          <w:szCs w:val="22"/>
          <w:color w:val="auto"/>
        </w:rPr>
      </w:pPr>
      <w:r>
        <w:rPr>
          <w:rFonts w:ascii="Arial" w:cs="Arial" w:eastAsia="Arial" w:hAnsi="Arial"/>
          <w:sz w:val="22"/>
          <w:szCs w:val="22"/>
          <w:color w:val="auto"/>
        </w:rPr>
        <w:t>Executive’s conviction of (A) a felony or (B) any misdemeanor involving moral turpitude, deceit, dishonesty or fraud;</w:t>
      </w:r>
    </w:p>
    <w:p>
      <w:pPr>
        <w:spacing w:after="0" w:line="201" w:lineRule="exact"/>
        <w:rPr>
          <w:rFonts w:ascii="Arial" w:cs="Arial" w:eastAsia="Arial" w:hAnsi="Arial"/>
          <w:sz w:val="22"/>
          <w:szCs w:val="22"/>
          <w:color w:val="auto"/>
        </w:rPr>
      </w:pPr>
    </w:p>
    <w:p>
      <w:pPr>
        <w:ind w:left="1680" w:right="40" w:hanging="835"/>
        <w:spacing w:after="0" w:line="236" w:lineRule="auto"/>
        <w:tabs>
          <w:tab w:leader="none" w:pos="1680" w:val="left"/>
        </w:tabs>
        <w:numPr>
          <w:ilvl w:val="2"/>
          <w:numId w:val="67"/>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the Company that results in or is reasonably anticipated to result in material harm to the Company, provided, however, that the Executive shall have a period of not less than ten (10) days to cure any curable act or omission constituting Cause described in this Section 7(b)(iii) following the Company’s delivery to the Executive of written notice of such act or omission; or</w:t>
      </w:r>
    </w:p>
    <w:p>
      <w:pPr>
        <w:spacing w:after="0" w:line="214" w:lineRule="exact"/>
        <w:rPr>
          <w:rFonts w:ascii="Arial" w:cs="Arial" w:eastAsia="Arial" w:hAnsi="Arial"/>
          <w:sz w:val="22"/>
          <w:szCs w:val="22"/>
          <w:color w:val="auto"/>
        </w:rPr>
      </w:pPr>
    </w:p>
    <w:p>
      <w:pPr>
        <w:ind w:left="1680" w:right="260" w:hanging="835"/>
        <w:spacing w:after="0" w:line="250" w:lineRule="auto"/>
        <w:tabs>
          <w:tab w:leader="none" w:pos="1680" w:val="left"/>
        </w:tabs>
        <w:numPr>
          <w:ilvl w:val="1"/>
          <w:numId w:val="68"/>
        </w:numPr>
        <w:rPr>
          <w:rFonts w:ascii="Arial" w:cs="Arial" w:eastAsia="Arial" w:hAnsi="Arial"/>
          <w:sz w:val="22"/>
          <w:szCs w:val="22"/>
          <w:color w:val="auto"/>
        </w:rPr>
      </w:pPr>
      <w:r>
        <w:rPr>
          <w:rFonts w:ascii="Arial" w:cs="Arial" w:eastAsia="Arial" w:hAnsi="Arial"/>
          <w:sz w:val="22"/>
          <w:szCs w:val="22"/>
          <w:color w:val="auto"/>
        </w:rPr>
        <w:t>Executive’s material violation of any provision of any agreement(s) between the Executive and the Company relating to nonsolicitation, nondisclosure and/or assignment of inventions.</w:t>
      </w:r>
    </w:p>
    <w:p>
      <w:pPr>
        <w:spacing w:after="0" w:line="201" w:lineRule="exact"/>
        <w:rPr>
          <w:rFonts w:ascii="Arial" w:cs="Arial" w:eastAsia="Arial" w:hAnsi="Arial"/>
          <w:sz w:val="22"/>
          <w:szCs w:val="22"/>
          <w:color w:val="auto"/>
        </w:rPr>
      </w:pPr>
    </w:p>
    <w:p>
      <w:pPr>
        <w:ind w:right="40" w:firstLine="853"/>
        <w:spacing w:after="0" w:line="297" w:lineRule="auto"/>
        <w:tabs>
          <w:tab w:leader="none" w:pos="1729" w:val="left"/>
        </w:tabs>
        <w:numPr>
          <w:ilvl w:val="2"/>
          <w:numId w:val="68"/>
        </w:numPr>
        <w:rPr>
          <w:rFonts w:ascii="Arial" w:cs="Arial" w:eastAsia="Arial" w:hAnsi="Arial"/>
          <w:sz w:val="19"/>
          <w:szCs w:val="19"/>
          <w:color w:val="auto"/>
        </w:rPr>
      </w:pPr>
      <w:r>
        <w:rPr>
          <w:rFonts w:ascii="Arial" w:cs="Arial" w:eastAsia="Arial" w:hAnsi="Arial"/>
          <w:sz w:val="19"/>
          <w:szCs w:val="19"/>
          <w:color w:val="auto"/>
        </w:rPr>
        <w:t>At the election of the Executive, with or without “Good Reason” (as defined below), immediately upon written notice by the Executive to the Company (subject, if it is with Good Reason, to the timing provisions set forth in the definition of Good Reason). As used in this Agreement, “Good Reason” shall mean (without the Executive’s consent):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8" w:lineRule="exact"/>
        <w:rPr>
          <w:sz w:val="20"/>
          <w:szCs w:val="20"/>
          <w:color w:val="auto"/>
        </w:rPr>
      </w:pPr>
    </w:p>
    <w:p>
      <w:pPr>
        <w:ind w:left="1680" w:right="260" w:hanging="835"/>
        <w:spacing w:after="0"/>
        <w:tabs>
          <w:tab w:leader="none" w:pos="16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material diminution of the Executive’s base compensation, other than in connection with, and substantially proportionate to, reductions by the Company of the base compensation of all or substantially all senior executives of the Company;</w:t>
      </w:r>
    </w:p>
    <w:p>
      <w:pPr>
        <w:spacing w:after="0" w:line="213" w:lineRule="exact"/>
        <w:rPr>
          <w:rFonts w:ascii="Arial" w:cs="Arial" w:eastAsia="Arial" w:hAnsi="Arial"/>
          <w:sz w:val="22"/>
          <w:szCs w:val="22"/>
          <w:color w:val="auto"/>
        </w:rPr>
      </w:pPr>
    </w:p>
    <w:p>
      <w:pPr>
        <w:ind w:left="1680" w:hanging="835"/>
        <w:spacing w:after="0"/>
        <w:tabs>
          <w:tab w:leader="none" w:pos="16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w:t>
      </w:r>
    </w:p>
    <w:p>
      <w:pPr>
        <w:spacing w:after="0" w:line="233" w:lineRule="exact"/>
        <w:rPr>
          <w:rFonts w:ascii="Arial" w:cs="Arial" w:eastAsia="Arial" w:hAnsi="Arial"/>
          <w:sz w:val="22"/>
          <w:szCs w:val="22"/>
          <w:color w:val="auto"/>
        </w:rPr>
      </w:pPr>
    </w:p>
    <w:p>
      <w:pPr>
        <w:ind w:left="1680" w:right="220" w:hanging="835"/>
        <w:spacing w:after="0" w:line="250" w:lineRule="auto"/>
        <w:tabs>
          <w:tab w:leader="none" w:pos="16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Company’s requiring Executive to relocate Executive’s primary office more than fifty (50) miles from the Executive’s then-current primary office; or</w:t>
      </w:r>
    </w:p>
    <w:p>
      <w:pPr>
        <w:spacing w:after="0" w:line="201" w:lineRule="exact"/>
        <w:rPr>
          <w:rFonts w:ascii="Arial" w:cs="Arial" w:eastAsia="Arial" w:hAnsi="Arial"/>
          <w:sz w:val="22"/>
          <w:szCs w:val="22"/>
          <w:color w:val="auto"/>
        </w:rPr>
      </w:pPr>
    </w:p>
    <w:p>
      <w:pPr>
        <w:ind w:left="1680" w:right="80" w:hanging="835"/>
        <w:spacing w:after="0" w:line="250" w:lineRule="auto"/>
        <w:tabs>
          <w:tab w:leader="none" w:pos="16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material breach of this Agreement or any other agreement between the Company and the Executive by the Company not otherwise covered by this paragraph;</w:t>
      </w:r>
    </w:p>
    <w:p>
      <w:pPr>
        <w:spacing w:after="0" w:line="20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212" w:lineRule="exact"/>
        <w:rPr>
          <w:sz w:val="20"/>
          <w:szCs w:val="20"/>
          <w:color w:val="auto"/>
        </w:rPr>
      </w:pPr>
    </w:p>
    <w:p>
      <w:pPr>
        <w:ind w:left="820" w:hanging="812"/>
        <w:spacing w:after="0"/>
        <w:tabs>
          <w:tab w:leader="none" w:pos="820" w:val="left"/>
        </w:tabs>
        <w:numPr>
          <w:ilvl w:val="0"/>
          <w:numId w:val="70"/>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853"/>
        <w:spacing w:after="0" w:line="272" w:lineRule="auto"/>
        <w:tabs>
          <w:tab w:leader="none" w:pos="1729" w:val="left"/>
        </w:tabs>
        <w:numPr>
          <w:ilvl w:val="1"/>
          <w:numId w:val="70"/>
        </w:numPr>
        <w:rPr>
          <w:rFonts w:ascii="Arial" w:cs="Arial" w:eastAsia="Arial" w:hAnsi="Arial"/>
          <w:sz w:val="19"/>
          <w:szCs w:val="19"/>
          <w:color w:val="auto"/>
        </w:rPr>
      </w:pP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employment is terminated under any circumstances other than a Qualifying Termination (as defined below) (including a voluntary termination by the Executive without Good Reason pursuant to Section 7(c), a termination by the Company for Cause pursuant to Section 7(b) or due to the Executive’s death or Disability pursuant to Section 7(a)), the Company’s obligations under this Agreement shall immediately cease and the Executive shall only be entitled to receive (i) the Base Salary that has accrued and to which the Executive is entitled as of the effective date of such termination and to the extent consistent with general Company policy, to be paid in accordance with the Company’s established payroll procedure and applicable law but no later than the next regularly scheduled pay period, (ii) unreimbursed business expenses for which expenses the Executive has timely submitted appropriate documentation in accordance with Section 5 hereof, and (iii) any amounts or benefits to which the Executive is then entitled under the terms of the benefit plans then-sponsored by the Company in accordance with their terms (and not accelerated to the extent acceleration does not satisfy Section 409A of the Internal Revenue Code of 1986, as amended, (the “Code”)) (the payments described in this sentence, the “Accrued Obligations”).</w:t>
      </w:r>
    </w:p>
    <w:p>
      <w:pPr>
        <w:spacing w:after="0" w:line="187" w:lineRule="exact"/>
        <w:rPr>
          <w:rFonts w:ascii="Arial" w:cs="Arial" w:eastAsia="Arial" w:hAnsi="Arial"/>
          <w:sz w:val="19"/>
          <w:szCs w:val="19"/>
          <w:color w:val="auto"/>
        </w:rPr>
      </w:pPr>
    </w:p>
    <w:p>
      <w:pPr>
        <w:ind w:firstLine="853"/>
        <w:spacing w:after="0" w:line="234" w:lineRule="auto"/>
        <w:tabs>
          <w:tab w:leader="none" w:pos="1742" w:val="left"/>
        </w:tabs>
        <w:numPr>
          <w:ilvl w:val="1"/>
          <w:numId w:val="70"/>
        </w:numPr>
        <w:rPr>
          <w:rFonts w:ascii="Arial" w:cs="Arial" w:eastAsia="Arial" w:hAnsi="Arial"/>
          <w:sz w:val="22"/>
          <w:szCs w:val="22"/>
          <w:color w:val="auto"/>
        </w:rPr>
      </w:pPr>
      <w:r>
        <w:rPr>
          <w:rFonts w:ascii="Arial" w:cs="Arial" w:eastAsia="Arial" w:hAnsi="Arial"/>
          <w:sz w:val="22"/>
          <w:szCs w:val="22"/>
          <w:color w:val="auto"/>
        </w:rPr>
        <w:t>Termination by the Company Without Cause or by the Executive With Good Reason Prior to or More Than Twelve Months Following a Change in Control. If the Executive’s employment is terminated by the Company without Cause pursuant to Section 7(b) or by the Executive with Good Reason pursuant to Section 7(c) (in either case, a “Qualifying Termination”) prior to or more than twelve (12) months following a Change in Control (as defined below), the Executive shall be entitled to the Accrued Obligations. In addition, and subject to Exhibit A and the conditions of Section 8(d), the Company shall: (i) continue to pay to the Executive, in accordance with the Company’s regularly established payroll procedures, the Executive’s Base Salary for a</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8" w:lineRule="exact"/>
        <w:rPr>
          <w:sz w:val="20"/>
          <w:szCs w:val="20"/>
          <w:color w:val="auto"/>
        </w:rPr>
      </w:pPr>
    </w:p>
    <w:p>
      <w:pPr>
        <w:ind w:right="180"/>
        <w:spacing w:after="0" w:line="235" w:lineRule="auto"/>
        <w:rPr>
          <w:sz w:val="20"/>
          <w:szCs w:val="20"/>
          <w:color w:val="auto"/>
        </w:rPr>
      </w:pPr>
      <w:r>
        <w:rPr>
          <w:rFonts w:ascii="Arial" w:cs="Arial" w:eastAsia="Arial" w:hAnsi="Arial"/>
          <w:sz w:val="22"/>
          <w:szCs w:val="22"/>
          <w:color w:val="auto"/>
        </w:rPr>
        <w:t>period of nine (9) months and (ii) provided the Executive is eligible for and timely elects to continue receiving group medical insurance pursuant to the “COBRA” law, continue to pay (but in no event longer than nine (9) 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(collectively, the “Severance Benefits”).</w:t>
      </w:r>
    </w:p>
    <w:p>
      <w:pPr>
        <w:spacing w:after="0" w:line="215" w:lineRule="exact"/>
        <w:rPr>
          <w:sz w:val="20"/>
          <w:szCs w:val="20"/>
          <w:color w:val="auto"/>
        </w:rPr>
      </w:pPr>
    </w:p>
    <w:p>
      <w:pPr>
        <w:ind w:right="20" w:firstLine="853"/>
        <w:spacing w:after="0" w:line="269" w:lineRule="auto"/>
        <w:tabs>
          <w:tab w:leader="none" w:pos="1729"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Termination by the Company Without Cause or by the Executive With Good Reason Within Twelve Months Following </w:t>
      </w:r>
      <w:r>
        <w:rPr>
          <w:rFonts w:ascii="Arial" w:cs="Arial" w:eastAsia="Arial" w:hAnsi="Arial"/>
          <w:sz w:val="19"/>
          <w:szCs w:val="19"/>
          <w:i w:val="1"/>
          <w:iCs w:val="1"/>
          <w:color w:val="auto"/>
        </w:rPr>
        <w:t>a Change in Control.</w:t>
      </w:r>
      <w:r>
        <w:rPr>
          <w:rFonts w:ascii="Arial" w:cs="Arial" w:eastAsia="Arial" w:hAnsi="Arial"/>
          <w:sz w:val="19"/>
          <w:szCs w:val="19"/>
          <w:color w:val="auto"/>
        </w:rPr>
        <w:t xml:space="preserve"> If a Qualifying Termination occurs within twelve (12) months following a Change in Control, then the Executive shall be entitled to the Accrued Obligations. In addition, and subject to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the conditions of Section 8(d), the Company shall: (i) continue to pay to the Executive, in accordance with the Company’s regularly established payroll procedures, the Executive’s Base Salary (or, if higher, the Executive’s Base Salary in effect immediately prior to the Change in Control) for a period of twelve (12) months; (ii) pay to the Executive, in a single lump sum on the Payment Date (as defined below) an amount equal to 100% of the Executive’s Target Bonus for the year in which termination occurs or, if higher, the Executive’s Target Bonus immediately prior to the Change in Control, (iii) provided the Executive is eligible for and timely elects to continue receiving group medical insurance pursuant to the “COBRA” law, continue to pay (but in no event longer than twelve</w:t>
      </w:r>
    </w:p>
    <w:p>
      <w:pPr>
        <w:spacing w:after="0" w:line="1" w:lineRule="exact"/>
        <w:rPr>
          <w:rFonts w:ascii="Arial" w:cs="Arial" w:eastAsia="Arial" w:hAnsi="Arial"/>
          <w:sz w:val="19"/>
          <w:szCs w:val="19"/>
          <w:color w:val="auto"/>
        </w:rPr>
      </w:pPr>
    </w:p>
    <w:p>
      <w:pPr>
        <w:ind w:firstLine="8"/>
        <w:spacing w:after="0" w:line="275" w:lineRule="auto"/>
        <w:tabs>
          <w:tab w:leader="none" w:pos="409" w:val="left"/>
        </w:tabs>
        <w:numPr>
          <w:ilvl w:val="0"/>
          <w:numId w:val="72"/>
        </w:numPr>
        <w:rPr>
          <w:rFonts w:ascii="Arial" w:cs="Arial" w:eastAsia="Arial" w:hAnsi="Arial"/>
          <w:sz w:val="19"/>
          <w:szCs w:val="19"/>
          <w:color w:val="auto"/>
        </w:rPr>
      </w:pPr>
      <w:r>
        <w:rPr>
          <w:rFonts w:ascii="Arial" w:cs="Arial" w:eastAsia="Arial" w:hAnsi="Arial"/>
          <w:sz w:val="19"/>
          <w:szCs w:val="19"/>
          <w:color w:val="auto"/>
        </w:rPr>
        <w:t>months following the Executive’s termination date) the share of the premium for health coverage that is paid by the Company for active and similarly-situated employees who receive the same type of coverage, unless the Company’s provision of such COBRA payments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 the passage of time vest and become fully exercisable or non- forfeitable as of the termination date (collectively, the “Change in Control Severance Benefits”).</w:t>
      </w:r>
    </w:p>
    <w:p>
      <w:pPr>
        <w:spacing w:after="0" w:line="180" w:lineRule="exact"/>
        <w:rPr>
          <w:rFonts w:ascii="Arial" w:cs="Arial" w:eastAsia="Arial" w:hAnsi="Arial"/>
          <w:sz w:val="19"/>
          <w:szCs w:val="19"/>
          <w:color w:val="auto"/>
        </w:rPr>
      </w:pPr>
    </w:p>
    <w:p>
      <w:pPr>
        <w:ind w:right="160" w:firstLine="853"/>
        <w:spacing w:after="0" w:line="272" w:lineRule="auto"/>
        <w:tabs>
          <w:tab w:leader="none" w:pos="1742" w:val="left"/>
        </w:tabs>
        <w:numPr>
          <w:ilvl w:val="1"/>
          <w:numId w:val="72"/>
        </w:numPr>
        <w:rPr>
          <w:rFonts w:ascii="Arial" w:cs="Arial" w:eastAsia="Arial" w:hAnsi="Arial"/>
          <w:sz w:val="19"/>
          <w:szCs w:val="19"/>
          <w:color w:val="auto"/>
        </w:rPr>
      </w:pPr>
      <w:r>
        <w:rPr>
          <w:rFonts w:ascii="Arial" w:cs="Arial" w:eastAsia="Arial" w:hAnsi="Arial"/>
          <w:sz w:val="19"/>
          <w:szCs w:val="19"/>
          <w:i w:val="1"/>
          <w:iCs w:val="1"/>
          <w:color w:val="auto"/>
        </w:rPr>
        <w:t>Release</w:t>
      </w:r>
      <w:r>
        <w:rPr>
          <w:rFonts w:ascii="Arial" w:cs="Arial" w:eastAsia="Arial" w:hAnsi="Arial"/>
          <w:sz w:val="19"/>
          <w:szCs w:val="19"/>
          <w:color w:val="auto"/>
        </w:rPr>
        <w:t>. As a condition of the Executive’s receipt of the Severance Benefits or the Change in Control</w:t>
      </w:r>
      <w:r>
        <w:rPr>
          <w:rFonts w:ascii="Arial" w:cs="Arial" w:eastAsia="Arial" w:hAnsi="Arial"/>
          <w:sz w:val="19"/>
          <w:szCs w:val="19"/>
          <w:i w:val="1"/>
          <w:iCs w:val="1"/>
          <w:color w:val="auto"/>
        </w:rPr>
        <w:t xml:space="preserve"> </w:t>
      </w:r>
      <w:r>
        <w:rPr>
          <w:rFonts w:ascii="Arial" w:cs="Arial" w:eastAsia="Arial" w:hAnsi="Arial"/>
          <w:sz w:val="19"/>
          <w:szCs w:val="19"/>
          <w:color w:val="auto"/>
        </w:rPr>
        <w:t>Severance Benefits, as applicable, the Executive must execute and deliver to the Company a severance and release of claims agreement in a form to be provided by the Company (the “Severance Agreement”), which Severance Agreement must become irrevocable within 60 days following the date of the Executive’s termination of employment (or such shorter period as may be directed by the Company). The Severance Benefits or the Change in Control Severance Benefits, as applicable, will be paid or commence to be paid in the first regular payroll beginning after the Severance Agreement becomes effective, provided that if the foregoing 60 day period would end in a calendar year subsequent to the year in which the Executive’s employment ends, the Severance Benefits or Change in Control Severance Benefits, as applicable, will not be paid or begin to be paid before the first payroll of the subsequent calendar year (the date the Severance Benefits or Change in Control Severance Benefits, as applicable, commence pursuant to this sentence, the “Payment Date”). The Executive must continue to comply with the Employee Confidentiality and Assignment Agreement and any similar agreement with the Company in order to be eligible to continue receiving the Severance Benefits or Change in Control Severance Benefits, as applicable.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8" w:lineRule="exact"/>
        <w:rPr>
          <w:sz w:val="20"/>
          <w:szCs w:val="20"/>
          <w:color w:val="auto"/>
        </w:rPr>
      </w:pPr>
    </w:p>
    <w:p>
      <w:pPr>
        <w:ind w:left="140" w:firstLine="842"/>
        <w:spacing w:after="0" w:line="268" w:lineRule="auto"/>
        <w:tabs>
          <w:tab w:leader="none" w:pos="1859" w:val="left"/>
        </w:tabs>
        <w:numPr>
          <w:ilvl w:val="0"/>
          <w:numId w:val="73"/>
        </w:numPr>
        <w:rPr>
          <w:rFonts w:ascii="Arial" w:cs="Arial" w:eastAsia="Arial" w:hAnsi="Arial"/>
          <w:sz w:val="19"/>
          <w:szCs w:val="19"/>
          <w:color w:val="auto"/>
        </w:rPr>
      </w:pP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w:t>
      </w:r>
      <w:r>
        <w:rPr>
          <w:rFonts w:ascii="Arial" w:cs="Arial" w:eastAsia="Arial" w:hAnsi="Arial"/>
          <w:sz w:val="19"/>
          <w:szCs w:val="19"/>
          <w:i w:val="1"/>
          <w:iCs w:val="1"/>
          <w:color w:val="auto"/>
        </w:rPr>
        <w:t xml:space="preserve"> </w:t>
      </w:r>
      <w:r>
        <w:rPr>
          <w:rFonts w:ascii="Arial" w:cs="Arial" w:eastAsia="Arial" w:hAnsi="Arial"/>
          <w:sz w:val="19"/>
          <w:szCs w:val="19"/>
          <w:color w:val="auto"/>
        </w:rPr>
        <w:t>occurrence of any of the following events, provided that such event or occurrence constitutes a change in the ownership or effective control of the Company, or a change in the ownership of a substantial portion of the assets of the Company, as defined in Treasury Regulation §§ 1.409A-3(i)(5)(v), (vi) and (vii): (i) the acquisition by an individual, entity or group (within the meaning of Section 13(d)(3) or 14(d)(2) of the Securities Exchange Act of 1934 (the “Exchange Act”)) (a “Person”) of beneficial ownership of any capital stock of the Company if, after such acquisition, such Person beneficially owns (within the meaning of Rule 13d-3 under the Exchange Act) fifty percent (50%) or more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provided, however, that for purposes of this subsection (i), the following acquisitions shall not constitute a Change in Control: (1) any acquisition directly from the Company or (2) any acquisition by any entity pursuant to a Business Combination (as defined below) which complies with clauses (x) and (y) of subsection (iii) of this definition; or (ii) a change in the composition of the Board that results in the Continuing Directors (as defined below) no longer constituting a majority of the Board (or, if applicable, the Board of Directors of a successor corporation to the Company), where the term “Continuing Director” means at any date a member of the Board (x) who was a member of the Board on the Effective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(iii) the consummation of a merger, consolidation, reorganization, recapitalization or share exchange involving the Company, or a sale or other disposition of all or substantially all of the assets of the Company (a “Business Combination”), unless, immediately following such Business Combination, each of the following two (2)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fifty percent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(1) or more subsidiaries) (such resulting or acquiring corporation is referred to herein as the “Acquiring Corporation”)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fifty percent (50%) or more of the then-outstanding shares of common stock of the Acquiring Corporation, or of the combined voting power of the then-outstanding securities of such corporation entitled to vote generally in the election of</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8" w:lineRule="exact"/>
        <w:rPr>
          <w:sz w:val="20"/>
          <w:szCs w:val="20"/>
          <w:color w:val="auto"/>
        </w:rPr>
      </w:pPr>
    </w:p>
    <w:p>
      <w:pPr>
        <w:ind w:left="140" w:right="900"/>
        <w:spacing w:after="0" w:line="250" w:lineRule="auto"/>
        <w:rPr>
          <w:sz w:val="20"/>
          <w:szCs w:val="20"/>
          <w:color w:val="auto"/>
        </w:rPr>
      </w:pPr>
      <w:r>
        <w:rPr>
          <w:rFonts w:ascii="Arial" w:cs="Arial" w:eastAsia="Arial" w:hAnsi="Arial"/>
          <w:sz w:val="22"/>
          <w:szCs w:val="22"/>
          <w:color w:val="auto"/>
        </w:rPr>
        <w:t>directors (except to the extent that such ownership existed prior to the Business Combination); or (iv) the liquidation or dissolution of the Company.</w:t>
      </w:r>
    </w:p>
    <w:p>
      <w:pPr>
        <w:spacing w:after="0" w:line="202" w:lineRule="exact"/>
        <w:rPr>
          <w:sz w:val="20"/>
          <w:szCs w:val="20"/>
          <w:color w:val="auto"/>
        </w:rPr>
      </w:pPr>
    </w:p>
    <w:p>
      <w:pPr>
        <w:ind w:right="240" w:firstLine="8"/>
        <w:spacing w:after="0" w:line="238" w:lineRule="auto"/>
        <w:tabs>
          <w:tab w:leader="none" w:pos="81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Absence of Restrictions</w:t>
      </w:r>
      <w:r>
        <w:rPr>
          <w:rFonts w:ascii="Arial" w:cs="Arial" w:eastAsia="Arial" w:hAnsi="Arial"/>
          <w:sz w:val="22"/>
          <w:szCs w:val="22"/>
          <w:color w:val="auto"/>
        </w:rPr>
        <w:t>. The Executive represents and warrants that the Executive is not bound by any employment</w:t>
      </w:r>
      <w:r>
        <w:rPr>
          <w:rFonts w:ascii="Arial" w:cs="Arial" w:eastAsia="Arial" w:hAnsi="Arial"/>
          <w:sz w:val="22"/>
          <w:szCs w:val="22"/>
          <w:i w:val="1"/>
          <w:iCs w:val="1"/>
          <w:color w:val="auto"/>
        </w:rPr>
        <w:t xml:space="preserve"> </w:t>
      </w:r>
      <w:r>
        <w:rPr>
          <w:rFonts w:ascii="Arial" w:cs="Arial" w:eastAsia="Arial" w:hAnsi="Arial"/>
          <w:sz w:val="22"/>
          <w:szCs w:val="22"/>
          <w:color w:val="auto"/>
        </w:rPr>
        <w:t>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11" w:lineRule="exact"/>
        <w:rPr>
          <w:rFonts w:ascii="Arial" w:cs="Arial" w:eastAsia="Arial" w:hAnsi="Arial"/>
          <w:sz w:val="22"/>
          <w:szCs w:val="22"/>
          <w:color w:val="auto"/>
        </w:rPr>
      </w:pPr>
    </w:p>
    <w:p>
      <w:pPr>
        <w:ind w:firstLine="8"/>
        <w:spacing w:after="0" w:line="238" w:lineRule="auto"/>
        <w:tabs>
          <w:tab w:leader="none" w:pos="918"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w:t>
      </w:r>
      <w:r>
        <w:rPr>
          <w:rFonts w:ascii="Arial" w:cs="Arial" w:eastAsia="Arial" w:hAnsi="Arial"/>
          <w:sz w:val="22"/>
          <w:szCs w:val="22"/>
          <w:i w:val="1"/>
          <w:iCs w:val="1"/>
          <w:color w:val="auto"/>
        </w:rPr>
        <w:t xml:space="preserve"> </w:t>
      </w:r>
      <w:r>
        <w:rPr>
          <w:rFonts w:ascii="Arial" w:cs="Arial" w:eastAsia="Arial" w:hAnsi="Arial"/>
          <w:sz w:val="22"/>
          <w:szCs w:val="22"/>
          <w:color w:val="auto"/>
        </w:rPr>
        <w:t>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To Executive:</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At the address set forth in the Executive’s personnel file</w:t>
      </w:r>
    </w:p>
    <w:p>
      <w:pPr>
        <w:spacing w:after="0" w:line="200" w:lineRule="exact"/>
        <w:rPr>
          <w:sz w:val="20"/>
          <w:szCs w:val="20"/>
          <w:color w:val="auto"/>
        </w:rPr>
      </w:pPr>
    </w:p>
    <w:p>
      <w:pPr>
        <w:spacing w:after="0" w:line="276"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To Company:</w:t>
      </w:r>
    </w:p>
    <w:p>
      <w:pPr>
        <w:spacing w:after="0" w:line="233" w:lineRule="exact"/>
        <w:rPr>
          <w:sz w:val="20"/>
          <w:szCs w:val="20"/>
          <w:color w:val="auto"/>
        </w:rPr>
      </w:pPr>
    </w:p>
    <w:p>
      <w:pPr>
        <w:ind w:left="860"/>
        <w:spacing w:after="0"/>
        <w:rPr>
          <w:sz w:val="20"/>
          <w:szCs w:val="20"/>
          <w:color w:val="auto"/>
        </w:rPr>
      </w:pPr>
      <w:r>
        <w:rPr>
          <w:rFonts w:ascii="Arial" w:cs="Arial" w:eastAsia="Arial" w:hAnsi="Arial"/>
          <w:sz w:val="22"/>
          <w:szCs w:val="22"/>
          <w:color w:val="auto"/>
        </w:rPr>
        <w:t>Fulcrum Therapeutics, Inc.</w:t>
      </w:r>
    </w:p>
    <w:p>
      <w:pPr>
        <w:ind w:left="860"/>
        <w:spacing w:after="0" w:line="238" w:lineRule="auto"/>
        <w:rPr>
          <w:sz w:val="20"/>
          <w:szCs w:val="20"/>
          <w:color w:val="auto"/>
        </w:rPr>
      </w:pPr>
      <w:r>
        <w:rPr>
          <w:rFonts w:ascii="Arial" w:cs="Arial" w:eastAsia="Arial" w:hAnsi="Arial"/>
          <w:sz w:val="22"/>
          <w:szCs w:val="22"/>
          <w:color w:val="auto"/>
        </w:rPr>
        <w:t>26 Landsdowne Street, 5</w:t>
      </w:r>
      <w:r>
        <w:rPr>
          <w:rFonts w:ascii="Arial" w:cs="Arial" w:eastAsia="Arial" w:hAnsi="Arial"/>
          <w:sz w:val="18"/>
          <w:szCs w:val="18"/>
          <w:color w:val="auto"/>
        </w:rPr>
        <w:t>th</w:t>
      </w:r>
      <w:r>
        <w:rPr>
          <w:rFonts w:ascii="Arial" w:cs="Arial" w:eastAsia="Arial" w:hAnsi="Arial"/>
          <w:sz w:val="22"/>
          <w:szCs w:val="22"/>
          <w:color w:val="auto"/>
        </w:rPr>
        <w:t xml:space="preserve"> Floor</w:t>
      </w:r>
    </w:p>
    <w:p>
      <w:pPr>
        <w:ind w:left="860"/>
        <w:spacing w:after="0"/>
        <w:rPr>
          <w:sz w:val="20"/>
          <w:szCs w:val="20"/>
          <w:color w:val="auto"/>
        </w:rPr>
      </w:pPr>
      <w:r>
        <w:rPr>
          <w:rFonts w:ascii="Arial" w:cs="Arial" w:eastAsia="Arial" w:hAnsi="Arial"/>
          <w:sz w:val="22"/>
          <w:szCs w:val="22"/>
          <w:color w:val="auto"/>
        </w:rPr>
        <w:t>Cambridge, MA 02139</w:t>
      </w:r>
    </w:p>
    <w:p>
      <w:pPr>
        <w:spacing w:after="0" w:line="215"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10.</w:t>
      </w:r>
    </w:p>
    <w:p>
      <w:pPr>
        <w:spacing w:after="0" w:line="202" w:lineRule="exact"/>
        <w:rPr>
          <w:sz w:val="20"/>
          <w:szCs w:val="20"/>
          <w:color w:val="auto"/>
        </w:rPr>
      </w:pPr>
    </w:p>
    <w:p>
      <w:pPr>
        <w:ind w:firstLine="8"/>
        <w:spacing w:after="0" w:line="234" w:lineRule="auto"/>
        <w:tabs>
          <w:tab w:leader="none" w:pos="910"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Applicable Law; Jury Trial Waiver</w:t>
      </w:r>
      <w:r>
        <w:rPr>
          <w:rFonts w:ascii="Arial" w:cs="Arial" w:eastAsia="Arial" w:hAnsi="Arial"/>
          <w:sz w:val="22"/>
          <w:szCs w:val="22"/>
          <w:color w:val="auto"/>
        </w:rPr>
        <w:t>. This Agreement shall be governed by and construed in accordance with the laws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217" w:lineRule="exact"/>
        <w:rPr>
          <w:rFonts w:ascii="Arial" w:cs="Arial" w:eastAsia="Arial" w:hAnsi="Arial"/>
          <w:sz w:val="22"/>
          <w:szCs w:val="22"/>
          <w:color w:val="auto"/>
        </w:rPr>
      </w:pPr>
    </w:p>
    <w:p>
      <w:pPr>
        <w:ind w:firstLine="8"/>
        <w:spacing w:after="0" w:line="238" w:lineRule="auto"/>
        <w:tabs>
          <w:tab w:leader="none" w:pos="918"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w:t>
      </w:r>
      <w:r>
        <w:rPr>
          <w:rFonts w:ascii="Arial" w:cs="Arial" w:eastAsia="Arial" w:hAnsi="Arial"/>
          <w:sz w:val="22"/>
          <w:szCs w:val="22"/>
          <w:i w:val="1"/>
          <w:iCs w:val="1"/>
          <w:color w:val="auto"/>
        </w:rPr>
        <w:t xml:space="preserve"> </w:t>
      </w:r>
      <w:r>
        <w:rPr>
          <w:rFonts w:ascii="Arial" w:cs="Arial" w:eastAsia="Arial" w:hAnsi="Arial"/>
          <w:sz w:val="22"/>
          <w:szCs w:val="22"/>
          <w:color w:val="auto"/>
        </w:rPr>
        <w:t>respective successors and assigns, including any corporation with which or into which the Company may be merged or which may succeed to its assets or business; provided, however, that the obligations of the Executive are personal and shall not be assigned by the Executive.</w:t>
      </w:r>
    </w:p>
    <w:p>
      <w:pPr>
        <w:spacing w:after="0" w:line="211" w:lineRule="exact"/>
        <w:rPr>
          <w:rFonts w:ascii="Arial" w:cs="Arial" w:eastAsia="Arial" w:hAnsi="Arial"/>
          <w:sz w:val="22"/>
          <w:szCs w:val="22"/>
          <w:color w:val="auto"/>
        </w:rPr>
      </w:pPr>
    </w:p>
    <w:p>
      <w:pPr>
        <w:ind w:right="400" w:firstLine="8"/>
        <w:spacing w:after="0" w:line="250" w:lineRule="auto"/>
        <w:tabs>
          <w:tab w:leader="none" w:pos="918" w:val="left"/>
        </w:tabs>
        <w:numPr>
          <w:ilvl w:val="0"/>
          <w:numId w:val="75"/>
        </w:numPr>
        <w:rPr>
          <w:rFonts w:ascii="Arial" w:cs="Arial" w:eastAsia="Arial" w:hAnsi="Arial"/>
          <w:sz w:val="22"/>
          <w:szCs w:val="22"/>
          <w:color w:val="auto"/>
        </w:rPr>
      </w:pPr>
      <w:r>
        <w:rPr>
          <w:rFonts w:ascii="Arial" w:cs="Arial" w:eastAsia="Arial" w:hAnsi="Arial"/>
          <w:sz w:val="22"/>
          <w:szCs w:val="22"/>
          <w:i w:val="1"/>
          <w:iCs w:val="1"/>
          <w:color w:val="auto"/>
        </w:rPr>
        <w:t>At-Will Employment</w:t>
      </w:r>
      <w:r>
        <w:rPr>
          <w:rFonts w:ascii="Arial" w:cs="Arial" w:eastAsia="Arial" w:hAnsi="Arial"/>
          <w:sz w:val="22"/>
          <w:szCs w:val="22"/>
          <w:color w:val="auto"/>
        </w:rPr>
        <w:t>. During the Term of Employment, the Executive will continue to be an at-will employee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which means that, notwithstanding any other provision set forth</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8"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herein, the employment relationship can be terminated by either Party for any reason, at any time, with or without prior notice and with or without Cause.</w:t>
      </w:r>
    </w:p>
    <w:p>
      <w:pPr>
        <w:spacing w:after="0" w:line="175" w:lineRule="exact"/>
        <w:rPr>
          <w:sz w:val="20"/>
          <w:szCs w:val="20"/>
          <w:color w:val="auto"/>
        </w:rPr>
      </w:pPr>
    </w:p>
    <w:p>
      <w:pPr>
        <w:ind w:right="100" w:firstLine="8"/>
        <w:spacing w:after="0" w:line="238" w:lineRule="auto"/>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Acknowledgment</w:t>
      </w:r>
      <w:r>
        <w:rPr>
          <w:rFonts w:ascii="Arial" w:cs="Arial" w:eastAsia="Arial" w:hAnsi="Arial"/>
          <w:sz w:val="22"/>
          <w:szCs w:val="22"/>
          <w:color w:val="auto"/>
        </w:rPr>
        <w:t>. The Executive states and represents that the Executive has had an opportunity to fully discuss and</w:t>
      </w:r>
      <w:r>
        <w:rPr>
          <w:rFonts w:ascii="Arial" w:cs="Arial" w:eastAsia="Arial" w:hAnsi="Arial"/>
          <w:sz w:val="22"/>
          <w:szCs w:val="22"/>
          <w:i w:val="1"/>
          <w:iCs w:val="1"/>
          <w:color w:val="auto"/>
        </w:rPr>
        <w:t xml:space="preserve"> </w:t>
      </w:r>
      <w:r>
        <w:rPr>
          <w:rFonts w:ascii="Arial" w:cs="Arial" w:eastAsia="Arial" w:hAnsi="Arial"/>
          <w:sz w:val="22"/>
          <w:szCs w:val="22"/>
          <w:color w:val="auto"/>
        </w:rPr>
        <w:t>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211" w:lineRule="exact"/>
        <w:rPr>
          <w:rFonts w:ascii="Arial" w:cs="Arial" w:eastAsia="Arial" w:hAnsi="Arial"/>
          <w:sz w:val="22"/>
          <w:szCs w:val="22"/>
          <w:color w:val="auto"/>
        </w:rPr>
      </w:pPr>
    </w:p>
    <w:p>
      <w:pPr>
        <w:ind w:right="20" w:firstLine="8"/>
        <w:spacing w:after="0" w:line="236" w:lineRule="auto"/>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w:t>
      </w:r>
      <w:r>
        <w:rPr>
          <w:rFonts w:ascii="Arial" w:cs="Arial" w:eastAsia="Arial" w:hAnsi="Arial"/>
          <w:sz w:val="22"/>
          <w:szCs w:val="22"/>
          <w:i w:val="1"/>
          <w:iCs w:val="1"/>
          <w:color w:val="auto"/>
        </w:rPr>
        <w:t xml:space="preserve"> </w:t>
      </w:r>
      <w:r>
        <w:rPr>
          <w:rFonts w:ascii="Arial" w:cs="Arial" w:eastAsia="Arial" w:hAnsi="Arial"/>
          <w:sz w:val="22"/>
          <w:szCs w:val="22"/>
          <w:color w:val="auto"/>
        </w:rPr>
        <w:t>written instrument executed by both the Company and the Executive.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pacing w:after="0" w:line="214" w:lineRule="exact"/>
        <w:rPr>
          <w:rFonts w:ascii="Arial" w:cs="Arial" w:eastAsia="Arial" w:hAnsi="Arial"/>
          <w:sz w:val="22"/>
          <w:szCs w:val="22"/>
          <w:color w:val="auto"/>
        </w:rPr>
      </w:pPr>
    </w:p>
    <w:p>
      <w:pPr>
        <w:ind w:right="20" w:firstLine="8"/>
        <w:spacing w:after="0" w:line="238" w:lineRule="auto"/>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Captions and Pronouns</w:t>
      </w:r>
      <w:r>
        <w:rPr>
          <w:rFonts w:ascii="Arial" w:cs="Arial" w:eastAsia="Arial" w:hAnsi="Arial"/>
          <w:sz w:val="22"/>
          <w:szCs w:val="22"/>
          <w:color w:val="auto"/>
        </w:rPr>
        <w:t>. The captions of the sections of this Agreement are for convenience of reference only and in no</w:t>
      </w:r>
      <w:r>
        <w:rPr>
          <w:rFonts w:ascii="Arial" w:cs="Arial" w:eastAsia="Arial" w:hAnsi="Arial"/>
          <w:sz w:val="22"/>
          <w:szCs w:val="22"/>
          <w:i w:val="1"/>
          <w:iCs w:val="1"/>
          <w:color w:val="auto"/>
        </w:rPr>
        <w:t xml:space="preserve"> </w:t>
      </w:r>
      <w:r>
        <w:rPr>
          <w:rFonts w:ascii="Arial" w:cs="Arial" w:eastAsia="Arial" w:hAnsi="Arial"/>
          <w:sz w:val="22"/>
          <w:szCs w:val="22"/>
          <w:color w:val="auto"/>
        </w:rPr>
        <w:t>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211" w:lineRule="exact"/>
        <w:rPr>
          <w:rFonts w:ascii="Arial" w:cs="Arial" w:eastAsia="Arial" w:hAnsi="Arial"/>
          <w:sz w:val="22"/>
          <w:szCs w:val="22"/>
          <w:color w:val="auto"/>
        </w:rPr>
      </w:pPr>
    </w:p>
    <w:p>
      <w:pPr>
        <w:ind w:firstLine="8"/>
        <w:spacing w:after="0" w:line="238" w:lineRule="auto"/>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w:t>
      </w:r>
      <w:r>
        <w:rPr>
          <w:rFonts w:ascii="Arial" w:cs="Arial" w:eastAsia="Arial" w:hAnsi="Arial"/>
          <w:sz w:val="22"/>
          <w:szCs w:val="22"/>
          <w:i w:val="1"/>
          <w:iCs w:val="1"/>
          <w:color w:val="auto"/>
        </w:rPr>
        <w:t xml:space="preserve"> </w:t>
      </w:r>
      <w:r>
        <w:rPr>
          <w:rFonts w:ascii="Arial" w:cs="Arial" w:eastAsia="Arial" w:hAnsi="Arial"/>
          <w:sz w:val="22"/>
          <w:szCs w:val="22"/>
          <w:color w:val="auto"/>
        </w:rPr>
        <w:t>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211" w:lineRule="exact"/>
        <w:rPr>
          <w:rFonts w:ascii="Arial" w:cs="Arial" w:eastAsia="Arial" w:hAnsi="Arial"/>
          <w:sz w:val="22"/>
          <w:szCs w:val="22"/>
          <w:color w:val="auto"/>
        </w:rPr>
      </w:pPr>
    </w:p>
    <w:p>
      <w:pPr>
        <w:ind w:right="80" w:firstLine="8"/>
        <w:spacing w:after="0" w:line="277" w:lineRule="auto"/>
        <w:tabs>
          <w:tab w:leader="none" w:pos="918" w:val="left"/>
        </w:tabs>
        <w:numPr>
          <w:ilvl w:val="0"/>
          <w:numId w:val="76"/>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w:t>
      </w:r>
      <w:r>
        <w:rPr>
          <w:rFonts w:ascii="Arial" w:cs="Arial" w:eastAsia="Arial" w:hAnsi="Arial"/>
          <w:sz w:val="19"/>
          <w:szCs w:val="19"/>
          <w:i w:val="1"/>
          <w:iCs w:val="1"/>
          <w:color w:val="auto"/>
        </w:rPr>
        <w:t xml:space="preserve"> </w:t>
      </w:r>
      <w:r>
        <w:rPr>
          <w:rFonts w:ascii="Arial" w:cs="Arial" w:eastAsia="Arial" w:hAnsi="Arial"/>
          <w:sz w:val="19"/>
          <w:szCs w:val="19"/>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78" w:lineRule="exact"/>
        <w:rPr>
          <w:rFonts w:ascii="Arial" w:cs="Arial" w:eastAsia="Arial" w:hAnsi="Arial"/>
          <w:sz w:val="19"/>
          <w:szCs w:val="19"/>
          <w:color w:val="auto"/>
        </w:rPr>
      </w:pPr>
    </w:p>
    <w:p>
      <w:pPr>
        <w:ind w:right="520" w:firstLine="8"/>
        <w:spacing w:after="0"/>
        <w:tabs>
          <w:tab w:leader="none" w:pos="918" w:val="left"/>
        </w:tabs>
        <w:numPr>
          <w:ilvl w:val="0"/>
          <w:numId w:val="76"/>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and supersedes all prior</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and understandings, whether written or oral, relating to the subject matter of this Agreement, including, without limitation, the Existing Agreement.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Page Following]</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hereto have executed this Agreement as of the day and year set forth above.</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264"/>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J. Gould</w:t>
            </w:r>
          </w:p>
        </w:tc>
      </w:tr>
      <w:tr>
        <w:trPr>
          <w:trHeight w:val="479"/>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Robert J. Gould</w:t>
            </w:r>
          </w:p>
        </w:tc>
      </w:tr>
      <w:tr>
        <w:trPr>
          <w:trHeight w:val="480"/>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President &amp; Chief Executive Officer</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661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Curtis Oltmans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Payments Subject to Section 409A</w:t>
      </w:r>
    </w:p>
    <w:p>
      <w:pPr>
        <w:spacing w:after="0" w:line="239" w:lineRule="exact"/>
        <w:rPr>
          <w:sz w:val="20"/>
          <w:szCs w:val="20"/>
          <w:color w:val="auto"/>
        </w:rPr>
      </w:pPr>
    </w:p>
    <w:p>
      <w:pPr>
        <w:ind w:right="60" w:firstLine="853"/>
        <w:spacing w:after="0" w:line="238" w:lineRule="auto"/>
        <w:tabs>
          <w:tab w:leader="none" w:pos="1655"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Subject to this Exhibit A, any severance payments that may be due under the Agreement shall begin only upon the date of the Executive’s “separation from service” (determined as set forth below) which occurs on or after the termination of the Executive’s employment. The following rules shall apply with respect to distribution of the severance payments, if any, to be provided to the Executive under the Agreement, as applicable:</w:t>
      </w:r>
    </w:p>
    <w:p>
      <w:pPr>
        <w:spacing w:after="0" w:line="211" w:lineRule="exact"/>
        <w:rPr>
          <w:rFonts w:ascii="Arial" w:cs="Arial" w:eastAsia="Arial" w:hAnsi="Arial"/>
          <w:sz w:val="22"/>
          <w:szCs w:val="22"/>
          <w:color w:val="auto"/>
        </w:rPr>
      </w:pPr>
    </w:p>
    <w:p>
      <w:pPr>
        <w:ind w:left="860" w:right="40" w:firstLine="774"/>
        <w:spacing w:after="0" w:line="252" w:lineRule="auto"/>
        <w:tabs>
          <w:tab w:leader="none" w:pos="2526" w:val="left"/>
        </w:tabs>
        <w:numPr>
          <w:ilvl w:val="1"/>
          <w:numId w:val="77"/>
        </w:numPr>
        <w:rPr>
          <w:rFonts w:ascii="Arial" w:cs="Arial" w:eastAsia="Arial" w:hAnsi="Arial"/>
          <w:sz w:val="21"/>
          <w:szCs w:val="21"/>
          <w:color w:val="auto"/>
        </w:rPr>
      </w:pPr>
      <w:r>
        <w:rPr>
          <w:rFonts w:ascii="Arial" w:cs="Arial" w:eastAsia="Arial" w:hAnsi="Arial"/>
          <w:sz w:val="21"/>
          <w:szCs w:val="21"/>
          <w:color w:val="auto"/>
        </w:rPr>
        <w:t>It is intended that each installment of the severance payments provided under the Agreement shall be treated as a separate “payment” for purposes of Section 409A of the Internal Revenue Code (“Section 409A”). Neither the Company nor the Executive shall have the right to accelerate or defer the delivery of any such payments except to the extent specifically permitted or required by Section 409A.</w:t>
      </w:r>
    </w:p>
    <w:p>
      <w:pPr>
        <w:spacing w:after="0" w:line="200" w:lineRule="exact"/>
        <w:rPr>
          <w:rFonts w:ascii="Arial" w:cs="Arial" w:eastAsia="Arial" w:hAnsi="Arial"/>
          <w:sz w:val="21"/>
          <w:szCs w:val="21"/>
          <w:color w:val="auto"/>
        </w:rPr>
      </w:pPr>
    </w:p>
    <w:p>
      <w:pPr>
        <w:ind w:left="860" w:firstLine="774"/>
        <w:spacing w:after="0"/>
        <w:tabs>
          <w:tab w:leader="none" w:pos="2538" w:val="left"/>
        </w:tabs>
        <w:numPr>
          <w:ilvl w:val="1"/>
          <w:numId w:val="77"/>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409A), then each installment of the severance payments shall be made on the dates and terms set forth in the letter agreement.</w:t>
      </w:r>
    </w:p>
    <w:p>
      <w:pPr>
        <w:spacing w:after="0" w:line="213" w:lineRule="exact"/>
        <w:rPr>
          <w:rFonts w:ascii="Arial" w:cs="Arial" w:eastAsia="Arial" w:hAnsi="Arial"/>
          <w:sz w:val="22"/>
          <w:szCs w:val="22"/>
          <w:color w:val="auto"/>
        </w:rPr>
      </w:pPr>
    </w:p>
    <w:p>
      <w:pPr>
        <w:ind w:left="860" w:right="240" w:firstLine="774"/>
        <w:spacing w:after="0" w:line="250" w:lineRule="auto"/>
        <w:tabs>
          <w:tab w:leader="none" w:pos="2526" w:val="left"/>
        </w:tabs>
        <w:numPr>
          <w:ilvl w:val="1"/>
          <w:numId w:val="77"/>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(within the meaning of Section 409A), then:</w:t>
      </w:r>
    </w:p>
    <w:p>
      <w:pPr>
        <w:spacing w:after="0" w:line="201" w:lineRule="exact"/>
        <w:rPr>
          <w:rFonts w:ascii="Arial" w:cs="Arial" w:eastAsia="Arial" w:hAnsi="Arial"/>
          <w:sz w:val="22"/>
          <w:szCs w:val="22"/>
          <w:color w:val="auto"/>
        </w:rPr>
      </w:pPr>
    </w:p>
    <w:p>
      <w:pPr>
        <w:ind w:left="2540" w:right="80" w:hanging="845"/>
        <w:spacing w:after="0" w:line="248" w:lineRule="auto"/>
        <w:tabs>
          <w:tab w:leader="none" w:pos="2540" w:val="left"/>
        </w:tabs>
        <w:numPr>
          <w:ilvl w:val="2"/>
          <w:numId w:val="77"/>
        </w:numPr>
        <w:rPr>
          <w:rFonts w:ascii="Arial" w:cs="Arial" w:eastAsia="Arial" w:hAnsi="Arial"/>
          <w:sz w:val="21"/>
          <w:szCs w:val="21"/>
          <w:color w:val="auto"/>
        </w:rPr>
      </w:pPr>
      <w:r>
        <w:rPr>
          <w:rFonts w:ascii="Arial" w:cs="Arial" w:eastAsia="Arial" w:hAnsi="Arial"/>
          <w:sz w:val="21"/>
          <w:szCs w:val="21"/>
          <w:color w:val="auto"/>
        </w:rPr>
        <w:t>Each installment of the severance payments due under the Agreement that, in accordance with the dates and terms set forth herein, will in all circumstances, regardless of when the Executive’s separation from service occurs, be paid within the short-term deferral period (as defined under Section 409A) shall be treated as a short-term deferral within the meaning of Treasury Regulation Section 1.409A-1(b)(4) to the maximum extent permissible under Section 409A and shall be paid on the dates and terms set forth in the Agreement; and</w:t>
      </w:r>
    </w:p>
    <w:p>
      <w:pPr>
        <w:spacing w:after="0" w:line="203" w:lineRule="exact"/>
        <w:rPr>
          <w:rFonts w:ascii="Arial" w:cs="Arial" w:eastAsia="Arial" w:hAnsi="Arial"/>
          <w:sz w:val="21"/>
          <w:szCs w:val="21"/>
          <w:color w:val="auto"/>
        </w:rPr>
      </w:pPr>
    </w:p>
    <w:p>
      <w:pPr>
        <w:ind w:left="2540" w:right="180" w:hanging="845"/>
        <w:spacing w:after="0" w:line="245" w:lineRule="auto"/>
        <w:tabs>
          <w:tab w:leader="none" w:pos="2540" w:val="left"/>
        </w:tabs>
        <w:numPr>
          <w:ilvl w:val="2"/>
          <w:numId w:val="77"/>
        </w:numPr>
        <w:rPr>
          <w:rFonts w:ascii="Arial" w:cs="Arial" w:eastAsia="Arial" w:hAnsi="Arial"/>
          <w:sz w:val="21"/>
          <w:szCs w:val="21"/>
          <w:color w:val="auto"/>
        </w:rPr>
      </w:pPr>
      <w:r>
        <w:rPr>
          <w:rFonts w:ascii="Arial" w:cs="Arial" w:eastAsia="Arial" w:hAnsi="Arial"/>
          <w:sz w:val="21"/>
          <w:szCs w:val="21"/>
          <w:color w:val="auto"/>
        </w:rPr>
        <w:t>Each installment of the severance payments due under the Agreement that is not described in this Exhibit A, Section 1(c)(i)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payments if and to the maximum extent that that such</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DocuSign Envelope ID: D84DAD84-6F6A-4E22-B758-E6A7CB2A970D</w:t>
      </w:r>
    </w:p>
    <w:p>
      <w:pPr>
        <w:spacing w:after="0" w:line="218" w:lineRule="exact"/>
        <w:rPr>
          <w:sz w:val="20"/>
          <w:szCs w:val="20"/>
          <w:color w:val="auto"/>
        </w:rPr>
      </w:pPr>
    </w:p>
    <w:p>
      <w:pPr>
        <w:ind w:left="2540" w:right="20"/>
        <w:spacing w:after="0" w:line="235" w:lineRule="auto"/>
        <w:rPr>
          <w:sz w:val="20"/>
          <w:szCs w:val="20"/>
          <w:color w:val="auto"/>
        </w:rPr>
      </w:pPr>
      <w:r>
        <w:rPr>
          <w:rFonts w:ascii="Arial" w:cs="Arial" w:eastAsia="Arial" w:hAnsi="Arial"/>
          <w:sz w:val="22"/>
          <w:szCs w:val="22"/>
          <w:color w:val="auto"/>
        </w:rPr>
        <w:t>installment is deemed to be paid under a separation pay plan that does not provide for a deferral of compensation by reason of the application of Treasury Regulation 1.409A-1(b)(9)(iii) (relating to separation pay upon an involuntary separation from service). Any installments that qualify for the exception under Treasury Regulation Section 1.409A-1(b)(9)(iii) must be paid no later than the last day of the Executive’s second taxable year following the taxable year in which the separation from service occurs.</w:t>
      </w:r>
    </w:p>
    <w:p>
      <w:pPr>
        <w:spacing w:after="0" w:line="215" w:lineRule="exact"/>
        <w:rPr>
          <w:sz w:val="20"/>
          <w:szCs w:val="20"/>
          <w:color w:val="auto"/>
        </w:rPr>
      </w:pPr>
    </w:p>
    <w:p>
      <w:pPr>
        <w:ind w:right="40" w:firstLine="853"/>
        <w:spacing w:after="0" w:line="252" w:lineRule="auto"/>
        <w:tabs>
          <w:tab w:leader="none" w:pos="1655"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determination of whether and when the Executive’s separation from service from the Company has occurred shall be made and in a manner consistent with, and based on the presumptions set forth in, Treasury Regulation Section 1.409A-1(h). Solely for purposes of Section 2 of this Exhibit A, “Company” shall include all persons with whom the Company would be considered a single employer under Section 414(b) and 414(c) of the Code.</w:t>
      </w:r>
    </w:p>
    <w:p>
      <w:pPr>
        <w:spacing w:after="0" w:line="200" w:lineRule="exact"/>
        <w:rPr>
          <w:rFonts w:ascii="Arial" w:cs="Arial" w:eastAsia="Arial" w:hAnsi="Arial"/>
          <w:sz w:val="21"/>
          <w:szCs w:val="21"/>
          <w:color w:val="auto"/>
        </w:rPr>
      </w:pPr>
    </w:p>
    <w:p>
      <w:pPr>
        <w:ind w:firstLine="853"/>
        <w:spacing w:after="0" w:line="277" w:lineRule="auto"/>
        <w:tabs>
          <w:tab w:leader="none" w:pos="1655" w:val="left"/>
        </w:tabs>
        <w:numPr>
          <w:ilvl w:val="0"/>
          <w:numId w:val="78"/>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the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the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78" w:lineRule="exact"/>
        <w:rPr>
          <w:rFonts w:ascii="Arial" w:cs="Arial" w:eastAsia="Arial" w:hAnsi="Arial"/>
          <w:sz w:val="19"/>
          <w:szCs w:val="19"/>
          <w:color w:val="auto"/>
        </w:rPr>
      </w:pPr>
    </w:p>
    <w:p>
      <w:pPr>
        <w:ind w:firstLine="853"/>
        <w:spacing w:after="0" w:line="297" w:lineRule="auto"/>
        <w:tabs>
          <w:tab w:leader="none" w:pos="1655" w:val="left"/>
        </w:tabs>
        <w:numPr>
          <w:ilvl w:val="0"/>
          <w:numId w:val="78"/>
        </w:numPr>
        <w:rPr>
          <w:rFonts w:ascii="Arial" w:cs="Arial" w:eastAsia="Arial" w:hAnsi="Arial"/>
          <w:sz w:val="19"/>
          <w:szCs w:val="19"/>
          <w:color w:val="auto"/>
        </w:rPr>
      </w:pPr>
      <w:r>
        <w:rPr>
          <w:rFonts w:ascii="Arial" w:cs="Arial" w:eastAsia="Arial" w:hAnsi="Arial"/>
          <w:sz w:val="19"/>
          <w:szCs w:val="19"/>
          <w:color w:val="auto"/>
        </w:rPr>
        <w:t>The Company makes no representation or warranty and shall have no liability to the Executive or to any other person if any of the provisions of the Agreement (including this Exhibit A) are determined to constitute deferred compensation subject to Section 409A but that do not satisfy an exemption from, or the conditions of, that section.</w:t>
      </w:r>
    </w:p>
    <w:p>
      <w:pPr>
        <w:spacing w:after="0" w:line="160" w:lineRule="exact"/>
        <w:rPr>
          <w:rFonts w:ascii="Arial" w:cs="Arial" w:eastAsia="Arial" w:hAnsi="Arial"/>
          <w:sz w:val="19"/>
          <w:szCs w:val="19"/>
          <w:color w:val="auto"/>
        </w:rPr>
      </w:pPr>
    </w:p>
    <w:p>
      <w:pPr>
        <w:ind w:left="1660" w:hanging="807"/>
        <w:spacing w:after="0"/>
        <w:tabs>
          <w:tab w:leader="none" w:pos="166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Agreement is intended to comply with, or be exempt from, Section 409A and shall be interpreted</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120"/>
          </w:cols>
          <w:pgMar w:left="320" w:top="125" w:right="45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48"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Jurisdiction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Fulcrum Therapeutics Securities Corp.</w:t>
      </w:r>
      <w:r>
        <w:rPr>
          <w:sz w:val="20"/>
          <w:szCs w:val="20"/>
          <w:color w:val="auto"/>
        </w:rPr>
        <w:tab/>
      </w:r>
      <w:r>
        <w:rPr>
          <w:rFonts w:ascii="Arial" w:cs="Arial" w:eastAsia="Arial" w:hAnsi="Arial"/>
          <w:sz w:val="15"/>
          <w:szCs w:val="15"/>
          <w:color w:val="auto"/>
        </w:rPr>
        <w:t>Massachusetts</w:t>
      </w:r>
    </w:p>
    <w:p>
      <w:pPr>
        <w:sectPr>
          <w:pgSz w:w="11900" w:h="16838" w:orient="portrait"/>
          <w:cols w:equalWidth="0" w:num="1">
            <w:col w:w="11240"/>
          </w:cols>
          <w:pgMar w:left="320" w:top="351" w:right="3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900" w:right="200" w:hanging="447"/>
        <w:spacing w:after="0" w:line="25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333-233452) pertaining to the 2016 Stock Incentive Plan, as amended, 2019 Stock Incentive Plan, and 2019 Employee Stock Purchase Plan of Fulcrum Therapeutics, Inc.,</w:t>
      </w:r>
    </w:p>
    <w:p>
      <w:pPr>
        <w:spacing w:after="0" w:line="1" w:lineRule="exact"/>
        <w:rPr>
          <w:rFonts w:ascii="Arial" w:cs="Arial" w:eastAsia="Arial" w:hAnsi="Arial"/>
          <w:sz w:val="18"/>
          <w:szCs w:val="18"/>
          <w:color w:val="auto"/>
        </w:rPr>
      </w:pPr>
    </w:p>
    <w:p>
      <w:pPr>
        <w:ind w:left="900" w:right="260" w:hanging="447"/>
        <w:spacing w:after="0" w:line="250"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S-8 No. 333-236910) pertaining to the 2019 Stock Incentive Plan and 2019 Employee Stock Purchase Plan of Fulcrum Therapeutics, Inc.,</w:t>
      </w:r>
    </w:p>
    <w:p>
      <w:pPr>
        <w:ind w:left="900" w:hanging="447"/>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S-1 No. 333-239353) and related Prospectus of Fulcrum Therapeutics, Inc.; and,</w:t>
      </w:r>
    </w:p>
    <w:p>
      <w:pPr>
        <w:spacing w:after="0" w:line="9" w:lineRule="exact"/>
        <w:rPr>
          <w:rFonts w:ascii="Arial" w:cs="Arial" w:eastAsia="Arial" w:hAnsi="Arial"/>
          <w:sz w:val="18"/>
          <w:szCs w:val="18"/>
          <w:color w:val="auto"/>
        </w:rPr>
      </w:pPr>
    </w:p>
    <w:p>
      <w:pPr>
        <w:ind w:left="900" w:hanging="447"/>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Registration Statement (Form S-3 No. 333-244136) and related Prospectus of Fulcrum Therapeutics, Inc.;</w:t>
      </w:r>
    </w:p>
    <w:p>
      <w:pPr>
        <w:spacing w:after="0" w:line="2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of our report dated March 4, 2021, with respect to the consolidated financial statements of Fulcrum Therapeutics, Inc. included in this Annual Report (Form 10-K) of Fulcrum Therapeutics, Inc.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ectPr>
          <w:pgSz w:w="11900" w:h="16838" w:orient="portrait"/>
          <w:cols w:equalWidth="0" w:num="1">
            <w:col w:w="11240"/>
          </w:cols>
          <w:pgMar w:left="320" w:top="121"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Robert J. Gould, certify that:</w:t>
      </w:r>
    </w:p>
    <w:p>
      <w:pPr>
        <w:spacing w:after="0" w:line="117" w:lineRule="exact"/>
        <w:rPr>
          <w:sz w:val="20"/>
          <w:szCs w:val="20"/>
          <w:color w:val="auto"/>
        </w:rPr>
      </w:pPr>
    </w:p>
    <w:p>
      <w:pPr>
        <w:ind w:left="800" w:hanging="182"/>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March 4, 2021</w:t>
            </w:r>
          </w:p>
        </w:tc>
        <w:tc>
          <w:tcPr>
            <w:tcW w:w="7120" w:type="dxa"/>
            <w:vAlign w:val="bottom"/>
            <w:gridSpan w:val="2"/>
          </w:tcPr>
          <w:p>
            <w:pPr>
              <w:ind w:left="2640"/>
              <w:spacing w:after="0"/>
              <w:rPr>
                <w:sz w:val="20"/>
                <w:szCs w:val="20"/>
                <w:color w:val="auto"/>
              </w:rPr>
            </w:pPr>
            <w:r>
              <w:rPr>
                <w:rFonts w:ascii="Arial" w:cs="Arial" w:eastAsia="Arial" w:hAnsi="Arial"/>
                <w:sz w:val="18"/>
                <w:szCs w:val="18"/>
                <w:color w:val="auto"/>
              </w:rPr>
              <w:t>By: /s/ Robert J. Gould</w:t>
            </w:r>
          </w:p>
        </w:tc>
      </w:tr>
      <w:tr>
        <w:trPr>
          <w:trHeight w:val="195"/>
        </w:trPr>
        <w:tc>
          <w:tcPr>
            <w:tcW w:w="4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J. Gould, Ph.D.</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Bryan Stuart, certify that:</w:t>
      </w:r>
    </w:p>
    <w:p>
      <w:pPr>
        <w:spacing w:after="0" w:line="117" w:lineRule="exact"/>
        <w:rPr>
          <w:sz w:val="20"/>
          <w:szCs w:val="20"/>
          <w:color w:val="auto"/>
        </w:rPr>
      </w:pPr>
    </w:p>
    <w:p>
      <w:pPr>
        <w:ind w:left="800" w:hanging="182"/>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Fulcrum Therapeutics, Inc.;</w:t>
      </w:r>
    </w:p>
    <w:p>
      <w:pPr>
        <w:spacing w:after="0" w:line="117" w:lineRule="exact"/>
        <w:rPr>
          <w:rFonts w:ascii="Arial" w:cs="Arial" w:eastAsia="Arial" w:hAnsi="Arial"/>
          <w:sz w:val="18"/>
          <w:szCs w:val="18"/>
          <w:color w:val="auto"/>
        </w:rPr>
      </w:pPr>
    </w:p>
    <w:p>
      <w:pPr>
        <w:ind w:right="240" w:firstLine="618"/>
        <w:spacing w:after="0" w:line="263" w:lineRule="auto"/>
        <w:tabs>
          <w:tab w:leader="none" w:pos="7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200" w:firstLine="618"/>
        <w:spacing w:after="0" w:line="308" w:lineRule="auto"/>
        <w:tabs>
          <w:tab w:leader="none" w:pos="79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160" w:firstLine="618"/>
        <w:spacing w:after="0" w:line="277" w:lineRule="auto"/>
        <w:tabs>
          <w:tab w:leader="none" w:pos="7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620" w:right="320" w:firstLine="575"/>
        <w:spacing w:after="0" w:line="263" w:lineRule="auto"/>
        <w:tabs>
          <w:tab w:leader="none" w:pos="1441"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440" w:hanging="245"/>
        <w:spacing w:after="0"/>
        <w:tabs>
          <w:tab w:leader="none" w:pos="1440" w:val="left"/>
        </w:tabs>
        <w:numPr>
          <w:ilvl w:val="1"/>
          <w:numId w:val="8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ind w:left="620" w:right="100" w:firstLine="575"/>
        <w:spacing w:after="0" w:line="342" w:lineRule="auto"/>
        <w:tabs>
          <w:tab w:leader="none" w:pos="1441"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20" w:right="60" w:firstLine="575"/>
        <w:spacing w:after="0" w:line="263" w:lineRule="auto"/>
        <w:tabs>
          <w:tab w:leader="none" w:pos="1452"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20" w:firstLine="618"/>
        <w:spacing w:after="0" w:line="308" w:lineRule="auto"/>
        <w:tabs>
          <w:tab w:leader="none" w:pos="79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20" w:right="320" w:firstLine="575"/>
        <w:spacing w:after="0" w:line="308" w:lineRule="auto"/>
        <w:tabs>
          <w:tab w:leader="none" w:pos="1441" w:val="left"/>
        </w:tabs>
        <w:numPr>
          <w:ilvl w:val="1"/>
          <w:numId w:val="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620" w:right="600" w:firstLine="575"/>
        <w:spacing w:after="0" w:line="277" w:lineRule="auto"/>
        <w:tabs>
          <w:tab w:leader="none" w:pos="1452"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Date: March 4, 2021</w:t>
            </w:r>
          </w:p>
        </w:tc>
        <w:tc>
          <w:tcPr>
            <w:tcW w:w="7120" w:type="dxa"/>
            <w:vAlign w:val="bottom"/>
            <w:gridSpan w:val="2"/>
          </w:tcPr>
          <w:p>
            <w:pPr>
              <w:ind w:left="2640"/>
              <w:spacing w:after="0"/>
              <w:rPr>
                <w:sz w:val="20"/>
                <w:szCs w:val="20"/>
                <w:color w:val="auto"/>
              </w:rPr>
            </w:pPr>
            <w:r>
              <w:rPr>
                <w:rFonts w:ascii="Arial" w:cs="Arial" w:eastAsia="Arial" w:hAnsi="Arial"/>
                <w:sz w:val="18"/>
                <w:szCs w:val="18"/>
                <w:color w:val="auto"/>
              </w:rPr>
              <w:t>By: /s/ Bryan Stuart</w:t>
            </w:r>
          </w:p>
        </w:tc>
      </w:tr>
      <w:tr>
        <w:trPr>
          <w:trHeight w:val="195"/>
        </w:trPr>
        <w:tc>
          <w:tcPr>
            <w:tcW w:w="4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Bryan Stuart</w:t>
            </w:r>
          </w:p>
        </w:tc>
      </w:tr>
      <w:tr>
        <w:trPr>
          <w:trHeight w:val="216"/>
        </w:trPr>
        <w:tc>
          <w:tcPr>
            <w:tcW w:w="4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30"/>
        </w:trPr>
        <w:tc>
          <w:tcPr>
            <w:tcW w:w="41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Annual Report on Form 10-K of Fulcrum Therapeutics, Inc. (the “Company”) for the year ended December 31, 2020, as filed with the Securities and Exchange Commission on the date hereof (the “Report”), the undersigned, Robert J. Gould,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2"/>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J. Gould,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In connection with the Annual Report on Form 10-K of Fulcrum Therapeutics, Inc. (the “Company”) for the year ended December 31, 2020, as filed with the Securities and Exchange Commission on the date hereof (the “Report”), the undersigned, Bryan Stuart, Chief Operating Officer of the Company, hereby certifies, pursuant to 18 U.S.C. Section 1350, as adopted pursuant to Section 906 of the Sarbanes-Oxley Act of 2002, that to his knowledge:</w:t>
      </w:r>
    </w:p>
    <w:p>
      <w:pPr>
        <w:spacing w:after="0" w:line="149" w:lineRule="exact"/>
        <w:rPr>
          <w:sz w:val="20"/>
          <w:szCs w:val="20"/>
          <w:color w:val="auto"/>
        </w:rPr>
      </w:pPr>
    </w:p>
    <w:p>
      <w:pPr>
        <w:ind w:left="780" w:hanging="262"/>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2"/>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tabs>
          <w:tab w:leader="none" w:pos="5500" w:val="left"/>
          <w:tab w:leader="none" w:pos="5940" w:val="left"/>
        </w:tabs>
        <w:rPr>
          <w:sz w:val="20"/>
          <w:szCs w:val="20"/>
          <w:color w:val="auto"/>
        </w:rPr>
      </w:pPr>
      <w:r>
        <w:rPr>
          <w:rFonts w:ascii="Arial" w:cs="Arial" w:eastAsia="Arial" w:hAnsi="Arial"/>
          <w:sz w:val="18"/>
          <w:szCs w:val="18"/>
          <w:color w:val="auto"/>
        </w:rPr>
        <w:t>Date: March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Bryan Stuart</w:t>
      </w:r>
    </w:p>
    <w:p>
      <w:pPr>
        <w:spacing w:after="0" w:line="5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1)"/>
      <w:numFmt w:val="decimal"/>
      <w:start w:val="2"/>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decimal"/>
      <w:start w:val="4"/>
    </w:lvl>
    <w:lvl w:ilvl="1">
      <w:lvlJc w:val="left"/>
      <w:lvlText w:val="(%2)"/>
      <w:numFmt w:val="lowerLetter"/>
      <w:start w:val="1"/>
    </w:lvl>
  </w:abstractNum>
  <w:abstractNum w:abstractNumId="63">
    <w:nsid w:val="661E3F1E"/>
    <w:multiLevelType w:val="hybridMultilevel"/>
    <w:lvl w:ilvl="0">
      <w:lvlJc w:val="left"/>
      <w:lvlText w:val="%1."/>
      <w:numFmt w:val="decimal"/>
      <w:start w:val="5"/>
    </w:lvl>
    <w:lvl w:ilvl="1">
      <w:lvlJc w:val="left"/>
      <w:lvlText w:val="%2"/>
      <w:numFmt w:val="lowerRoman"/>
      <w:start w:val="1"/>
    </w:lvl>
    <w:lvl w:ilvl="2">
      <w:lvlJc w:val="left"/>
      <w:lvlText w:val="(%3)"/>
      <w:numFmt w:val="lowerLetter"/>
      <w:start w:val="1"/>
    </w:lvl>
  </w:abstractNum>
  <w:abstractNum w:abstractNumId="64">
    <w:nsid w:val="5DC79EA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65">
    <w:nsid w:val="540A471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66">
    <w:nsid w:val="7BD3EE7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67">
    <w:nsid w:val="51D9C564"/>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3"/>
    </w:lvl>
  </w:abstractNum>
  <w:abstractNum w:abstractNumId="68">
    <w:nsid w:val="613EFDC5"/>
    <w:multiLevelType w:val="hybridMultilevel"/>
    <w:lvl w:ilvl="0">
      <w:lvlJc w:val="left"/>
      <w:lvlText w:val="(%1)"/>
      <w:numFmt w:val="lowerRoman"/>
      <w:start w:val="1"/>
    </w:lvl>
  </w:abstractNum>
  <w:abstractNum w:abstractNumId="69">
    <w:nsid w:val="BF72B14"/>
    <w:multiLevelType w:val="hybridMultilevel"/>
    <w:lvl w:ilvl="0">
      <w:lvlJc w:val="left"/>
      <w:lvlText w:val="%1."/>
      <w:numFmt w:val="decimal"/>
      <w:start w:val="8"/>
    </w:lvl>
    <w:lvl w:ilvl="1">
      <w:lvlJc w:val="left"/>
      <w:lvlText w:val="(%2)"/>
      <w:numFmt w:val="lowerLetter"/>
      <w:start w:val="1"/>
    </w:lvl>
  </w:abstractNum>
  <w:abstractNum w:abstractNumId="70">
    <w:nsid w:val="11447B73"/>
    <w:multiLevelType w:val="hybridMultilevel"/>
    <w:lvl w:ilvl="0">
      <w:lvlJc w:val="left"/>
      <w:lvlText w:val="%1"/>
      <w:numFmt w:val="decimal"/>
      <w:start w:val="1"/>
    </w:lvl>
    <w:lvl w:ilvl="1">
      <w:lvlJc w:val="left"/>
      <w:lvlText w:val="(%2)"/>
      <w:numFmt w:val="lowerLetter"/>
      <w:start w:val="3"/>
    </w:lvl>
  </w:abstractNum>
  <w:abstractNum w:abstractNumId="71">
    <w:nsid w:val="42963E5A"/>
    <w:multiLevelType w:val="hybridMultilevel"/>
    <w:lvl w:ilvl="0">
      <w:lvlJc w:val="left"/>
      <w:lvlText w:val="(%1)"/>
      <w:numFmt w:val="decimal"/>
      <w:start w:val="12"/>
    </w:lvl>
    <w:lvl w:ilvl="1">
      <w:lvlJc w:val="left"/>
      <w:lvlText w:val="(%2)"/>
      <w:numFmt w:val="lowerLetter"/>
      <w:start w:val="4"/>
    </w:lvl>
  </w:abstractNum>
  <w:abstractNum w:abstractNumId="72">
    <w:nsid w:val="A0382C5"/>
    <w:multiLevelType w:val="hybridMultilevel"/>
    <w:lvl w:ilvl="0">
      <w:lvlJc w:val="left"/>
      <w:lvlText w:val="(%1)"/>
      <w:numFmt w:val="lowerLetter"/>
      <w:start w:val="5"/>
    </w:lvl>
  </w:abstractNum>
  <w:abstractNum w:abstractNumId="73">
    <w:nsid w:val="8F2B15E"/>
    <w:multiLevelType w:val="hybridMultilevel"/>
    <w:lvl w:ilvl="0">
      <w:lvlJc w:val="left"/>
      <w:lvlText w:val="%1."/>
      <w:numFmt w:val="decimal"/>
      <w:start w:val="9"/>
    </w:lvl>
  </w:abstractNum>
  <w:abstractNum w:abstractNumId="74">
    <w:nsid w:val="1A32234B"/>
    <w:multiLevelType w:val="hybridMultilevel"/>
    <w:lvl w:ilvl="0">
      <w:lvlJc w:val="left"/>
      <w:lvlText w:val="%1."/>
      <w:numFmt w:val="decimal"/>
      <w:start w:val="11"/>
    </w:lvl>
  </w:abstractNum>
  <w:abstractNum w:abstractNumId="75">
    <w:nsid w:val="3B0FD379"/>
    <w:multiLevelType w:val="hybridMultilevel"/>
    <w:lvl w:ilvl="0">
      <w:lvlJc w:val="left"/>
      <w:lvlText w:val="%1."/>
      <w:numFmt w:val="decimal"/>
      <w:start w:val="14"/>
    </w:lvl>
  </w:abstractNum>
  <w:abstractNum w:abstractNumId="76">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4962813B"/>
    <w:multiLevelType w:val="hybridMultilevel"/>
    <w:lvl w:ilvl="0">
      <w:lvlJc w:val="left"/>
      <w:lvlText w:val="%1."/>
      <w:numFmt w:val="decimal"/>
      <w:start w:val="2"/>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14" Type="http://schemas.openxmlformats.org/officeDocument/2006/relationships/hyperlink" Target="http://www.sec.gov/Archives/edgar/data/0001680581/000104746919004324/a2239321zex-3_1.htm" TargetMode="External"/><Relationship Id="rId215" Type="http://schemas.openxmlformats.org/officeDocument/2006/relationships/hyperlink" Target="http://www.sec.gov/Archives/edgar/data/0001680581/000104746919004324/a2239321zex-3_2.htm" TargetMode="External"/><Relationship Id="rId216" Type="http://schemas.openxmlformats.org/officeDocument/2006/relationships/hyperlink" Target="http://www.sec.gov/Archives/edgar/data/1680581/000104746919003793/a2239080zex-4_1.htm" TargetMode="External"/><Relationship Id="rId217" Type="http://schemas.openxmlformats.org/officeDocument/2006/relationships/hyperlink" Target="http://www.sec.gov/Archives/edgar/data/1680581/000156459020008951/fulc-ex42_198.htm" TargetMode="External"/><Relationship Id="rId218" Type="http://schemas.openxmlformats.org/officeDocument/2006/relationships/hyperlink" Target="http://www.sec.gov/Archives/edgar/data/1680581/000104746919003793/a2239080zex-10_1.htm" TargetMode="External"/><Relationship Id="rId219" Type="http://schemas.openxmlformats.org/officeDocument/2006/relationships/hyperlink" Target="http://www.sec.gov/Archives/edgar/data/1680581/000104746919003793/a2239080zex-10_2.htm" TargetMode="External"/><Relationship Id="rId220" Type="http://schemas.openxmlformats.org/officeDocument/2006/relationships/hyperlink" Target="http://www.sec.gov/Archives/edgar/data/1680581/000104746919003793/a2239080zex-10_3.htm" TargetMode="External"/><Relationship Id="rId221" Type="http://schemas.openxmlformats.org/officeDocument/2006/relationships/hyperlink" Target="http://www.sec.gov/Archives/edgar/data/1680581/000104746919003793/a2239080zex-10_4.htm" TargetMode="External"/><Relationship Id="rId222" Type="http://schemas.openxmlformats.org/officeDocument/2006/relationships/hyperlink" Target="http://www.sec.gov/Archives/edgar/data/1680581/000104746919003793/a2239080zex-10_5.htm" TargetMode="External"/><Relationship Id="rId223" Type="http://schemas.openxmlformats.org/officeDocument/2006/relationships/hyperlink" Target="http://www.sec.gov/Archives/edgar/data/0001680581/000104746919004014/a2239182zex-10_6.htm" TargetMode="External"/><Relationship Id="rId224" Type="http://schemas.openxmlformats.org/officeDocument/2006/relationships/hyperlink" Target="http://www.sec.gov/Archives/edgar/data/0001680581/000104746919004014/a2239182zex-10_7.htm" TargetMode="External"/><Relationship Id="rId225" Type="http://schemas.openxmlformats.org/officeDocument/2006/relationships/hyperlink" Target="http://www.sec.gov/Archives/edgar/data/0001680581/000104746919004014/a2239182zex-10_8.htm" TargetMode="External"/><Relationship Id="rId226" Type="http://schemas.openxmlformats.org/officeDocument/2006/relationships/hyperlink" Target="http://www.sec.gov/Archives/edgar/data/1680581/000104746919003793/a2239080zex-10_10.htm" TargetMode="External"/><Relationship Id="rId227" Type="http://schemas.openxmlformats.org/officeDocument/2006/relationships/hyperlink" Target="http://www.sec.gov/Archives/edgar/data/1680581/000104746919003793/a2239080zex-10_11.htm" TargetMode="External"/><Relationship Id="rId228" Type="http://schemas.openxmlformats.org/officeDocument/2006/relationships/hyperlink" Target="http://www.sec.gov/Archives/edgar/data/0001680581/000104746919004014/a2239182zex-10_12.htm" TargetMode="External"/><Relationship Id="rId229" Type="http://schemas.openxmlformats.org/officeDocument/2006/relationships/hyperlink" Target="http://www.sec.gov/Archives/edgar/data/0001680581/000104746919004158/a2239256zex-10_13.htm" TargetMode="External"/><Relationship Id="rId230" Type="http://schemas.openxmlformats.org/officeDocument/2006/relationships/hyperlink" Target="http://www.sec.gov/Archives/edgar/data/0001680581/000104746919004158/a2239256zex-10_14.htm" TargetMode="External"/><Relationship Id="rId233" Type="http://schemas.openxmlformats.org/officeDocument/2006/relationships/hyperlink" Target="http://www.sec.gov/Archives/edgar/data/1680581/000156459020024866/fulc-ex101_13.htm" TargetMode="External"/><Relationship Id="rId234" Type="http://schemas.openxmlformats.org/officeDocument/2006/relationships/hyperlink" Target="http://www.sec.gov/Archives/edgar/data/0001680581/000104746919003793/a2239080zex-10_15.htm" TargetMode="External"/><Relationship Id="rId235" Type="http://schemas.openxmlformats.org/officeDocument/2006/relationships/hyperlink" Target="http://www.sec.gov/Archives/edgar/data/1680581/000156459020008951/fulc-ex1017_693.htm" TargetMode="External"/><Relationship Id="rId236" Type="http://schemas.openxmlformats.org/officeDocument/2006/relationships/hyperlink" Target="http://www.sec.gov/Archives/edgar/data/1680581/000156459020052732/fulc-ex101_12.htm" TargetMode="External"/><Relationship Id="rId237" Type="http://schemas.openxmlformats.org/officeDocument/2006/relationships/hyperlink" Target="http://www.sec.gov/Archives/edgar/data/1680581/000156459020052732/fulc-ex102_13.htm" TargetMode="External"/><Relationship Id="rId238" Type="http://schemas.openxmlformats.org/officeDocument/2006/relationships/hyperlink" Target="http://www.sec.gov/Archives/edgar/data/1680581/000119312520165696/d857108dex101.htm" TargetMode="External"/><Relationship Id="rId239" Type="http://schemas.openxmlformats.org/officeDocument/2006/relationships/hyperlink" Target="http://www.sec.gov/Archives/edgar/data/1680581/000119312520165696/d85710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2021-03-04T06:15:37Z</dcterms:created>
  <dcterms:modified xsi:type="dcterms:W3CDTF">2021-03-04T06:15:37Z</dcterms:modified>
</cp:coreProperties>
</file>