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40" w:hanging="6"/>
        <w:spacing w:after="0" w:line="251"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10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231" w:right="59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8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1,120,000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0"/>
                <w:szCs w:val="20"/>
                <w:color w:val="auto"/>
              </w:rPr>
              <w:t>PN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1,120,000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2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2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1,120,000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1,120,000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1,120,000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1,120,000</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2.15%</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60" w:type="dxa"/>
            <w:vAlign w:val="bottom"/>
            <w:gridSpan w:val="16"/>
          </w:tcPr>
          <w:p>
            <w:pPr>
              <w:ind w:left="440"/>
              <w:spacing w:after="0" w:line="206" w:lineRule="exact"/>
              <w:rPr>
                <w:sz w:val="20"/>
                <w:szCs w:val="20"/>
                <w:color w:val="auto"/>
              </w:rPr>
            </w:pPr>
            <w:r>
              <w:rPr>
                <w:rFonts w:ascii="Arial" w:cs="Arial" w:eastAsia="Arial" w:hAnsi="Arial"/>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1(b).</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The Company’s principal executive offices are located at 26 Landsdowne Street, Cambridge, MA, 02139.</w:t>
            </w: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2(a).</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2"/>
              </w:rPr>
              <w:t>Adage Capital Partners, L.P., a Delaware limited partnership (“ACP”) with respect to the Common Stock</w:t>
            </w: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140" w:type="dxa"/>
            <w:vAlign w:val="bottom"/>
            <w:gridSpan w:val="11"/>
          </w:tcPr>
          <w:p>
            <w:pPr>
              <w:ind w:left="260"/>
              <w:spacing w:after="0"/>
              <w:rPr>
                <w:sz w:val="20"/>
                <w:szCs w:val="20"/>
                <w:color w:val="auto"/>
              </w:rPr>
            </w:pPr>
            <w:r>
              <w:rPr>
                <w:rFonts w:ascii="Arial" w:cs="Arial" w:eastAsia="Arial" w:hAnsi="Arial"/>
                <w:sz w:val="20"/>
                <w:szCs w:val="20"/>
                <w:color w:val="auto"/>
              </w:rPr>
              <w:t>directly owned by it;</w:t>
            </w:r>
          </w:p>
        </w:tc>
        <w:tc>
          <w:tcPr>
            <w:tcW w:w="380" w:type="dxa"/>
            <w:vAlign w:val="bottom"/>
            <w:tcBorders>
              <w:top w:val="single" w:sz="8" w:color="auto"/>
            </w:tcBorders>
          </w:tcPr>
          <w:p>
            <w:pPr>
              <w:spacing w:after="0"/>
              <w:rPr>
                <w:sz w:val="22"/>
                <w:szCs w:val="22"/>
                <w:color w:val="auto"/>
              </w:rPr>
            </w:pPr>
          </w:p>
        </w:tc>
        <w:tc>
          <w:tcPr>
            <w:tcW w:w="3260" w:type="dxa"/>
            <w:vAlign w:val="bottom"/>
            <w:gridSpan w:val="3"/>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4"/>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80" w:type="dxa"/>
            <w:vAlign w:val="bottom"/>
            <w:gridSpan w:val="15"/>
          </w:tcPr>
          <w:p>
            <w:pPr>
              <w:ind w:left="26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Common Stock directly owned by ACP;</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(iii)</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7"/>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80" w:type="dxa"/>
            <w:vAlign w:val="bottom"/>
            <w:gridSpan w:val="15"/>
          </w:tcPr>
          <w:p>
            <w:pPr>
              <w:ind w:left="260"/>
              <w:spacing w:after="0" w:line="206" w:lineRule="exact"/>
              <w:rPr>
                <w:sz w:val="20"/>
                <w:szCs w:val="20"/>
                <w:color w:val="auto"/>
              </w:rPr>
            </w:pPr>
            <w:r>
              <w:rPr>
                <w:rFonts w:ascii="Arial" w:cs="Arial" w:eastAsia="Arial" w:hAnsi="Arial"/>
                <w:sz w:val="20"/>
                <w:szCs w:val="20"/>
                <w:color w:val="auto"/>
                <w:w w:val="90"/>
              </w:rPr>
              <w:t>Delaware (“ACA”), as managing member of ACPGP, general partner of ACP, with respect to the Common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Stock directly owned by ACP;</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(iv)</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90"/>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partner of ACP with respect to the Common Stock directly owned by ACP; and</w:t>
            </w:r>
          </w:p>
        </w:tc>
      </w:tr>
      <w:tr>
        <w:trPr>
          <w:trHeight w:val="414"/>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(v)</w:t>
            </w: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780" w:type="dxa"/>
            <w:vAlign w:val="bottom"/>
            <w:gridSpan w:val="15"/>
          </w:tcPr>
          <w:p>
            <w:pPr>
              <w:ind w:left="260"/>
              <w:spacing w:after="0"/>
              <w:rPr>
                <w:sz w:val="20"/>
                <w:szCs w:val="20"/>
                <w:color w:val="auto"/>
              </w:rPr>
            </w:pPr>
            <w:r>
              <w:rPr>
                <w:rFonts w:ascii="Arial" w:cs="Arial" w:eastAsia="Arial" w:hAnsi="Arial"/>
                <w:sz w:val="20"/>
                <w:szCs w:val="20"/>
                <w:color w:val="auto"/>
              </w:rPr>
              <w:t>ACP with respect to the Common Stock directly owned by ACP.</w:t>
            </w:r>
          </w:p>
        </w:tc>
      </w:tr>
      <w:tr>
        <w:trPr>
          <w:trHeight w:val="415"/>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2(b).</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60" w:type="dxa"/>
            <w:vAlign w:val="bottom"/>
            <w:gridSpan w:val="16"/>
          </w:tcPr>
          <w:p>
            <w:pPr>
              <w:ind w:left="440"/>
              <w:spacing w:after="0"/>
              <w:rPr>
                <w:sz w:val="20"/>
                <w:szCs w:val="20"/>
                <w:color w:val="auto"/>
              </w:rPr>
            </w:pPr>
            <w:r>
              <w:rPr>
                <w:rFonts w:ascii="Arial" w:cs="Arial" w:eastAsia="Arial" w:hAnsi="Arial"/>
                <w:sz w:val="20"/>
                <w:szCs w:val="20"/>
                <w:color w:val="auto"/>
              </w:rPr>
              <w:t>the United States.</w:t>
            </w:r>
          </w:p>
        </w:tc>
      </w:tr>
      <w:tr>
        <w:trPr>
          <w:trHeight w:val="668"/>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2(d).</w:t>
            </w:r>
          </w:p>
        </w:tc>
        <w:tc>
          <w:tcPr>
            <w:tcW w:w="9760" w:type="dxa"/>
            <w:vAlign w:val="bottom"/>
            <w:gridSpan w:val="16"/>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60" w:type="dxa"/>
            <w:vAlign w:val="bottom"/>
            <w:gridSpan w:val="16"/>
          </w:tcPr>
          <w:p>
            <w:pPr>
              <w:ind w:left="440"/>
              <w:spacing w:after="0" w:line="206" w:lineRule="exact"/>
              <w:rPr>
                <w:sz w:val="20"/>
                <w:szCs w:val="20"/>
                <w:color w:val="auto"/>
              </w:rPr>
            </w:pPr>
            <w:r>
              <w:rPr>
                <w:rFonts w:ascii="Arial" w:cs="Arial" w:eastAsia="Arial" w:hAnsi="Arial"/>
                <w:sz w:val="20"/>
                <w:szCs w:val="20"/>
                <w:color w:val="auto"/>
              </w:rPr>
              <w:t>Common stock, par value $0.001 per share (the “Common Stock”).</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4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359616109</w:t>
            </w:r>
          </w:p>
        </w:tc>
        <w:tc>
          <w:tcPr>
            <w:tcW w:w="8140" w:type="dxa"/>
            <w:vAlign w:val="bottom"/>
          </w:tcPr>
          <w:p>
            <w:pPr>
              <w:spacing w:after="0"/>
              <w:rPr>
                <w:sz w:val="21"/>
                <w:szCs w:val="21"/>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12"/>
        </w:trPr>
        <w:tc>
          <w:tcPr>
            <w:tcW w:w="1240" w:type="dxa"/>
            <w:vAlign w:val="bottom"/>
          </w:tcPr>
          <w:p>
            <w:pPr>
              <w:spacing w:after="0"/>
              <w:rPr>
                <w:sz w:val="18"/>
                <w:szCs w:val="18"/>
                <w:color w:val="auto"/>
              </w:rPr>
            </w:pPr>
          </w:p>
        </w:tc>
        <w:tc>
          <w:tcPr>
            <w:tcW w:w="9760" w:type="dxa"/>
            <w:vAlign w:val="bottom"/>
            <w:gridSpan w:val="3"/>
          </w:tcPr>
          <w:p>
            <w:pPr>
              <w:ind w:left="440"/>
              <w:spacing w:after="0" w:line="211" w:lineRule="exact"/>
              <w:rPr>
                <w:sz w:val="20"/>
                <w:szCs w:val="20"/>
                <w:color w:val="auto"/>
              </w:rPr>
            </w:pPr>
            <w:r>
              <w:rPr>
                <w:rFonts w:ascii="Arial" w:cs="Arial" w:eastAsia="Arial" w:hAnsi="Arial"/>
                <w:sz w:val="20"/>
                <w:szCs w:val="20"/>
                <w:b w:val="1"/>
                <w:bCs w:val="1"/>
                <w:color w:val="auto"/>
              </w:rPr>
              <w:t>THE PERSON FILING IS A:</w:t>
            </w:r>
          </w:p>
        </w:tc>
      </w:tr>
      <w:tr>
        <w:trPr>
          <w:trHeight w:val="310"/>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w w:val="90"/>
              </w:rPr>
              <w:t>A church plan that is excluded from the definition of an investment company under Section 3(c)(14)</w:t>
            </w:r>
          </w:p>
        </w:tc>
      </w:tr>
      <w:tr>
        <w:trPr>
          <w:trHeight w:val="250"/>
        </w:trPr>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40" w:type="dxa"/>
            <w:vAlign w:val="bottom"/>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494"/>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r>
        <w:rPr>
          <w:rFonts w:ascii="Arial" w:cs="Arial" w:eastAsia="Arial" w:hAnsi="Arial"/>
          <w:sz w:val="20"/>
          <w:szCs w:val="20"/>
          <w:color w:val="auto"/>
        </w:rPr>
        <w:t>.</w:t>
      </w:r>
    </w:p>
    <w:p>
      <w:pPr>
        <w:spacing w:after="0" w:line="184"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700" w:hanging="792"/>
        <w:spacing w:after="0"/>
        <w:tabs>
          <w:tab w:leader="none" w:pos="1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380" w:hanging="676"/>
        <w:spacing w:after="0"/>
        <w:tabs>
          <w:tab w:leader="none" w:pos="23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Amount beneficially owned: 1,120,000</w:t>
      </w:r>
    </w:p>
    <w:p>
      <w:pPr>
        <w:ind w:left="2380" w:right="120" w:hanging="676"/>
        <w:spacing w:after="0" w:line="239" w:lineRule="auto"/>
        <w:tabs>
          <w:tab w:leader="none" w:pos="23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Percent of class: 2.15%. The percentage set forth in this Schedule 13G/A is calculated based upon 52,051,405 shares of Common Stock be outstanding as of November 1, 2022, as reported in the Company’s Quarterly Report on Form 10-Q for the quarterly period ended September 30, 2022 filed with the Securities and Exchange Commission on November 8, 2022.</w:t>
      </w:r>
    </w:p>
    <w:p>
      <w:pPr>
        <w:spacing w:after="0" w:line="1" w:lineRule="exact"/>
        <w:rPr>
          <w:rFonts w:ascii="Arial" w:cs="Arial" w:eastAsia="Arial" w:hAnsi="Arial"/>
          <w:sz w:val="20"/>
          <w:szCs w:val="20"/>
          <w:color w:val="auto"/>
        </w:rPr>
      </w:pPr>
    </w:p>
    <w:p>
      <w:pPr>
        <w:ind w:left="2380" w:hanging="676"/>
        <w:spacing w:after="0"/>
        <w:tabs>
          <w:tab w:leader="none" w:pos="23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040" w:hanging="661"/>
        <w:spacing w:after="0"/>
        <w:tabs>
          <w:tab w:leader="none" w:pos="30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vote or direct the vote: 1,120,000</w:t>
      </w:r>
    </w:p>
    <w:p>
      <w:pPr>
        <w:ind w:left="3040" w:hanging="661"/>
        <w:spacing w:after="0"/>
        <w:tabs>
          <w:tab w:leader="none" w:pos="30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040" w:hanging="661"/>
        <w:spacing w:after="0"/>
        <w:tabs>
          <w:tab w:leader="none" w:pos="30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1,120,000</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both"/>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Common Stock beneficially owned by it, which power may be exercised by its general partner, ACPGP. ACA, as managing member of ACPGP, directs ACPGP’s operations. Neither ACPGP nor ACA directly own any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700" w:hanging="792"/>
        <w:spacing w:after="0"/>
        <w:tabs>
          <w:tab w:leader="none" w:pos="1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Amount beneficially owned: 1,120,000</w:t>
      </w: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Percent of class: 2.15%</w:t>
      </w: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Shared power to vote or direct the vote: 1,120,000</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1,120,000</w:t>
      </w:r>
    </w:p>
    <w:p>
      <w:pPr>
        <w:spacing w:after="0" w:line="213" w:lineRule="exact"/>
        <w:rPr>
          <w:sz w:val="20"/>
          <w:szCs w:val="20"/>
          <w:color w:val="auto"/>
        </w:rPr>
      </w:pPr>
    </w:p>
    <w:p>
      <w:pPr>
        <w:ind w:left="120" w:right="48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Common Stock beneficially owned by ACP. Neither Mr. Atchinson nor Mr. Gross directly own any Common Stock. By reason of the provisions of Rule 13d-3 of the Act, each may be deemed to beneficially own the shares beneficially owned by ACP.</w:t>
      </w:r>
    </w:p>
    <w:p>
      <w:pPr>
        <w:spacing w:after="0" w:line="19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right="460"/>
        <w:spacing w:after="0" w:line="250"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9"/>
          <w:szCs w:val="19"/>
          <w:color w:val="auto"/>
        </w:rPr>
        <w:t>☒</w:t>
      </w:r>
    </w:p>
    <w:p>
      <w:pPr>
        <w:spacing w:after="0" w:line="181"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Arial" w:cs="Arial" w:eastAsia="Arial" w:hAnsi="Arial"/>
          <w:sz w:val="18"/>
          <w:szCs w:val="18"/>
          <w:b w:val="1"/>
          <w:bCs w:val="1"/>
          <w:color w:val="auto"/>
        </w:rPr>
        <w:t>CUSIP No. 359616109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9,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2"/>
      <w:numFmt w:val="bullet"/>
      <w:start w:val="1"/>
    </w:lvl>
  </w:abstractNum>
  <w:abstractNum w:abstractNumId="14">
    <w:nsid w:val="4E6AFB66"/>
    <w:multiLevelType w:val="hybridMultilevel"/>
    <w:lvl w:ilvl="0">
      <w:lvlJc w:val="left"/>
      <w:lvlText w:val="3"/>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
    <w:nsid w:val="431BD7B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2023-02-09T10:56:56Z</dcterms:created>
  <dcterms:modified xsi:type="dcterms:W3CDTF">2023-02-09T10:56:56Z</dcterms:modified>
</cp:coreProperties>
</file>