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UNITED STATES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SECURITIES AND EXCHANGE COMMISSION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Washington, D.C. 20549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Notice of Effectiveness</w:t>
            </w:r>
          </w:p>
        </w:tc>
      </w:tr>
      <w:tr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November 4, 2026 4:15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2">
                    <w:r>
                      <w:rPr>
                        <w:rStyle w:val="InternetLink"/>
                      </w:rPr>
                      <w:t>0001680581</w:t>
                    </w:r>
                  </w:hyperlink>
                </w:p>
              </w:tc>
            </w:tr>
            <w:tr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>
                    <w:t>Fulcrum Therapeutics, Inc.</w:t>
                  </w:r>
                </w:p>
              </w:tc>
            </w:tr>
            <w:tr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3">
                    <w:r>
                      <w:rPr>
                        <w:rStyle w:val="InternetLink"/>
                      </w:rPr>
                      <w:t>333-298705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</w:pPr>
            <w:r/>
          </w:p>
        </w:tc>
      </w:tr>
      <w:tr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80581" TargetMode="External"/><Relationship Id="rId3" Type="http://schemas.openxmlformats.org/officeDocument/2006/relationships/hyperlink" Target="http://www.sec.gov/cgi-bin/browse-edgar?action=getcompany&amp;filenum=333-29870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203</Characters>
  <CharactersWithSpaces>221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