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07">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E5588"/>
        </w:rPr>
        <w:t>Filed Pursuant to Rule 424(b)(4)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3E5588"/>
        </w:rPr>
        <w:t>Registration No. 333-232260</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3E5588"/>
        </w:rPr>
        <w:t>PROSPECTUS</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32"/>
          <w:szCs w:val="32"/>
          <w:i w:val="1"/>
          <w:iCs w:val="1"/>
          <w:color w:val="3E5588"/>
        </w:rPr>
        <w:t>4,500,000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2"/>
          <w:szCs w:val="22"/>
          <w:i w:val="1"/>
          <w:iCs w:val="1"/>
          <w:color w:val="3E5588"/>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line="268" w:lineRule="auto"/>
        <w:rPr>
          <w:sz w:val="20"/>
          <w:szCs w:val="20"/>
          <w:color w:val="auto"/>
        </w:rPr>
      </w:pPr>
      <w:r>
        <w:rPr>
          <w:rFonts w:ascii="Arial" w:cs="Arial" w:eastAsia="Arial" w:hAnsi="Arial"/>
          <w:sz w:val="18"/>
          <w:szCs w:val="18"/>
          <w:b w:val="1"/>
          <w:bCs w:val="1"/>
          <w:i w:val="1"/>
          <w:iCs w:val="1"/>
          <w:color w:val="3E5588"/>
        </w:rPr>
        <w:t>This is an initial public offering of common stock by Fulcrum Therapeutics, Inc. We are selling 4,500,000 shares of common stock. The initial public offering price is $16.00 per share.</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b w:val="1"/>
          <w:bCs w:val="1"/>
          <w:i w:val="1"/>
          <w:iCs w:val="1"/>
          <w:color w:val="3E5588"/>
        </w:rPr>
        <w:t>Prior to this offering, there has been no public market for our common stock. Our common stock has been approved for listing on the Nasdaq Global Market under the symbol "FULC."</w:t>
      </w:r>
    </w:p>
    <w:p>
      <w:pPr>
        <w:spacing w:after="0" w:line="186" w:lineRule="exact"/>
        <w:rPr>
          <w:sz w:val="24"/>
          <w:szCs w:val="24"/>
          <w:color w:val="auto"/>
        </w:rPr>
      </w:pPr>
    </w:p>
    <w:p>
      <w:pPr>
        <w:spacing w:after="0" w:line="268" w:lineRule="auto"/>
        <w:rPr>
          <w:sz w:val="20"/>
          <w:szCs w:val="20"/>
          <w:color w:val="auto"/>
        </w:rPr>
      </w:pPr>
      <w:r>
        <w:rPr>
          <w:rFonts w:ascii="Arial" w:cs="Arial" w:eastAsia="Arial" w:hAnsi="Arial"/>
          <w:sz w:val="18"/>
          <w:szCs w:val="18"/>
          <w:b w:val="1"/>
          <w:bCs w:val="1"/>
          <w:i w:val="1"/>
          <w:iCs w:val="1"/>
          <w:color w:val="3E5588"/>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82" w:lineRule="exact"/>
        <w:rPr>
          <w:sz w:val="24"/>
          <w:szCs w:val="24"/>
          <w:color w:val="auto"/>
        </w:rPr>
      </w:pPr>
    </w:p>
    <w:tbl>
      <w:tblPr>
        <w:tblLayout w:type="fixed"/>
        <w:tblInd w:w="1140" w:type="dxa"/>
        <w:tblCellMar>
          <w:top w:w="0" w:type="dxa"/>
          <w:left w:w="0" w:type="dxa"/>
          <w:bottom w:w="0" w:type="dxa"/>
          <w:right w:w="0" w:type="dxa"/>
        </w:tblCellMar>
      </w:tblP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8"/>
                <w:szCs w:val="18"/>
                <w:i w:val="1"/>
                <w:iCs w:val="1"/>
                <w:color w:val="3E5588"/>
              </w:rPr>
              <w:t>Initial public offering price</w:t>
            </w:r>
          </w:p>
        </w:tc>
        <w:tc>
          <w:tcPr>
            <w:tcW w:w="560" w:type="dxa"/>
            <w:vAlign w:val="bottom"/>
          </w:tcPr>
          <w:p>
            <w:pPr>
              <w:spacing w:after="0"/>
              <w:rPr>
                <w:sz w:val="20"/>
                <w:szCs w:val="20"/>
                <w:color w:val="auto"/>
              </w:rPr>
            </w:pPr>
            <w:r>
              <w:rPr>
                <w:rFonts w:ascii="Arial" w:cs="Arial" w:eastAsia="Arial" w:hAnsi="Arial"/>
                <w:sz w:val="14"/>
                <w:szCs w:val="14"/>
                <w:b w:val="1"/>
                <w:bCs w:val="1"/>
                <w:i w:val="1"/>
                <w:iCs w:val="1"/>
                <w:color w:val="3E5588"/>
                <w:w w:val="82"/>
              </w:rPr>
              <w:t>Per Share</w:t>
            </w:r>
          </w:p>
        </w:tc>
        <w:tc>
          <w:tcPr>
            <w:tcW w:w="660" w:type="dxa"/>
            <w:vAlign w:val="bottom"/>
            <w:vMerge w:val="restart"/>
          </w:tcPr>
          <w:p>
            <w:pPr>
              <w:jc w:val="right"/>
              <w:spacing w:after="0"/>
              <w:rPr>
                <w:sz w:val="20"/>
                <w:szCs w:val="20"/>
                <w:color w:val="auto"/>
              </w:rPr>
            </w:pPr>
            <w:r>
              <w:rPr>
                <w:rFonts w:ascii="Arial" w:cs="Arial" w:eastAsia="Arial" w:hAnsi="Arial"/>
                <w:sz w:val="18"/>
                <w:szCs w:val="18"/>
                <w:i w:val="1"/>
                <w:iCs w:val="1"/>
                <w:color w:val="3E5588"/>
              </w:rPr>
              <w:t>$</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i w:val="1"/>
                <w:iCs w:val="1"/>
                <w:color w:val="3E5588"/>
              </w:rPr>
              <w:t>Total</w:t>
            </w:r>
          </w:p>
        </w:tc>
        <w:tc>
          <w:tcPr>
            <w:tcW w:w="0" w:type="dxa"/>
            <w:vAlign w:val="bottom"/>
          </w:tcPr>
          <w:p>
            <w:pPr>
              <w:spacing w:after="0"/>
              <w:rPr>
                <w:sz w:val="1"/>
                <w:szCs w:val="1"/>
                <w:color w:val="auto"/>
              </w:rPr>
            </w:pPr>
          </w:p>
        </w:tc>
      </w:tr>
      <w:tr>
        <w:trPr>
          <w:trHeight w:val="202"/>
        </w:trPr>
        <w:tc>
          <w:tcPr>
            <w:tcW w:w="7060" w:type="dxa"/>
            <w:vAlign w:val="bottom"/>
            <w:gridSpan w:val="2"/>
            <w:vMerge w:val="continue"/>
          </w:tcPr>
          <w:p>
            <w:pPr>
              <w:spacing w:after="0"/>
              <w:rPr>
                <w:sz w:val="17"/>
                <w:szCs w:val="17"/>
                <w:color w:val="auto"/>
              </w:rPr>
            </w:pPr>
          </w:p>
        </w:tc>
        <w:tc>
          <w:tcPr>
            <w:tcW w:w="560" w:type="dxa"/>
            <w:vAlign w:val="bottom"/>
            <w:tcBorders>
              <w:top w:val="single" w:sz="8" w:color="3E5588"/>
            </w:tcBorders>
          </w:tcPr>
          <w:p>
            <w:pPr>
              <w:jc w:val="center"/>
              <w:spacing w:after="0" w:line="202" w:lineRule="exact"/>
              <w:rPr>
                <w:sz w:val="20"/>
                <w:szCs w:val="20"/>
                <w:color w:val="auto"/>
              </w:rPr>
            </w:pPr>
            <w:r>
              <w:rPr>
                <w:rFonts w:ascii="Arial" w:cs="Arial" w:eastAsia="Arial" w:hAnsi="Arial"/>
                <w:sz w:val="18"/>
                <w:szCs w:val="18"/>
                <w:i w:val="1"/>
                <w:iCs w:val="1"/>
                <w:color w:val="3E5588"/>
                <w:w w:val="87"/>
              </w:rPr>
              <w:t>$16.00</w:t>
            </w:r>
          </w:p>
        </w:tc>
        <w:tc>
          <w:tcPr>
            <w:tcW w:w="660" w:type="dxa"/>
            <w:vAlign w:val="bottom"/>
            <w:vMerge w:val="continue"/>
          </w:tcPr>
          <w:p>
            <w:pPr>
              <w:spacing w:after="0"/>
              <w:rPr>
                <w:sz w:val="17"/>
                <w:szCs w:val="17"/>
                <w:color w:val="auto"/>
              </w:rPr>
            </w:pPr>
          </w:p>
        </w:tc>
        <w:tc>
          <w:tcPr>
            <w:tcW w:w="620" w:type="dxa"/>
            <w:vAlign w:val="bottom"/>
            <w:tcBorders>
              <w:top w:val="single" w:sz="8" w:color="3E5588"/>
            </w:tcBorders>
          </w:tcPr>
          <w:p>
            <w:pPr>
              <w:jc w:val="center"/>
              <w:spacing w:after="0"/>
              <w:rPr>
                <w:sz w:val="20"/>
                <w:szCs w:val="20"/>
                <w:color w:val="auto"/>
              </w:rPr>
            </w:pPr>
            <w:r>
              <w:rPr>
                <w:rFonts w:ascii="Arial" w:cs="Arial" w:eastAsia="Arial" w:hAnsi="Arial"/>
                <w:sz w:val="16"/>
                <w:szCs w:val="16"/>
                <w:i w:val="1"/>
                <w:iCs w:val="1"/>
                <w:color w:val="3E5588"/>
                <w:w w:val="77"/>
              </w:rPr>
              <w:t>72,000,000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060" w:type="dxa"/>
            <w:vAlign w:val="bottom"/>
            <w:gridSpan w:val="2"/>
          </w:tcPr>
          <w:p>
            <w:pPr>
              <w:spacing w:after="0" w:line="255" w:lineRule="exact"/>
              <w:rPr>
                <w:sz w:val="20"/>
                <w:szCs w:val="20"/>
                <w:color w:val="auto"/>
              </w:rPr>
            </w:pPr>
            <w:r>
              <w:rPr>
                <w:rFonts w:ascii="Arial" w:cs="Arial" w:eastAsia="Arial" w:hAnsi="Arial"/>
                <w:sz w:val="18"/>
                <w:szCs w:val="18"/>
                <w:i w:val="1"/>
                <w:iCs w:val="1"/>
                <w:color w:val="3E5588"/>
              </w:rPr>
              <w:t>Underwriting discounts and commissions</w:t>
            </w:r>
            <w:r>
              <w:rPr>
                <w:rFonts w:ascii="Arial" w:cs="Arial" w:eastAsia="Arial" w:hAnsi="Arial"/>
                <w:sz w:val="29"/>
                <w:szCs w:val="29"/>
                <w:i w:val="1"/>
                <w:iCs w:val="1"/>
                <w:color w:val="3E5588"/>
                <w:vertAlign w:val="superscript"/>
              </w:rPr>
              <w:t>(1)</w:t>
            </w:r>
          </w:p>
        </w:tc>
        <w:tc>
          <w:tcPr>
            <w:tcW w:w="560" w:type="dxa"/>
            <w:vAlign w:val="bottom"/>
          </w:tcPr>
          <w:p>
            <w:pPr>
              <w:jc w:val="center"/>
              <w:spacing w:after="0"/>
              <w:rPr>
                <w:sz w:val="20"/>
                <w:szCs w:val="20"/>
                <w:color w:val="auto"/>
              </w:rPr>
            </w:pPr>
            <w:r>
              <w:rPr>
                <w:rFonts w:ascii="Arial" w:cs="Arial" w:eastAsia="Arial" w:hAnsi="Arial"/>
                <w:sz w:val="18"/>
                <w:szCs w:val="18"/>
                <w:i w:val="1"/>
                <w:iCs w:val="1"/>
                <w:color w:val="3E5588"/>
                <w:w w:val="88"/>
              </w:rPr>
              <w:t>$1.12</w:t>
            </w:r>
          </w:p>
        </w:tc>
        <w:tc>
          <w:tcPr>
            <w:tcW w:w="1420" w:type="dxa"/>
            <w:vAlign w:val="bottom"/>
            <w:gridSpan w:val="3"/>
          </w:tcPr>
          <w:p>
            <w:pPr>
              <w:jc w:val="center"/>
              <w:ind w:left="432"/>
              <w:spacing w:after="0"/>
              <w:rPr>
                <w:sz w:val="20"/>
                <w:szCs w:val="20"/>
                <w:color w:val="auto"/>
              </w:rPr>
            </w:pPr>
            <w:r>
              <w:rPr>
                <w:rFonts w:ascii="Arial" w:cs="Arial" w:eastAsia="Arial" w:hAnsi="Arial"/>
                <w:sz w:val="18"/>
                <w:szCs w:val="18"/>
                <w:i w:val="1"/>
                <w:iCs w:val="1"/>
                <w:color w:val="3E5588"/>
                <w:w w:val="86"/>
              </w:rPr>
              <w:t>$5,040,000</w:t>
            </w:r>
          </w:p>
        </w:tc>
        <w:tc>
          <w:tcPr>
            <w:tcW w:w="0" w:type="dxa"/>
            <w:vAlign w:val="bottom"/>
          </w:tcPr>
          <w:p>
            <w:pPr>
              <w:spacing w:after="0"/>
              <w:rPr>
                <w:sz w:val="1"/>
                <w:szCs w:val="1"/>
                <w:color w:val="auto"/>
              </w:rPr>
            </w:pPr>
          </w:p>
        </w:tc>
      </w:tr>
      <w:tr>
        <w:trPr>
          <w:trHeight w:val="222"/>
        </w:trPr>
        <w:tc>
          <w:tcPr>
            <w:tcW w:w="7060" w:type="dxa"/>
            <w:vAlign w:val="bottom"/>
            <w:gridSpan w:val="2"/>
          </w:tcPr>
          <w:p>
            <w:pPr>
              <w:spacing w:after="0"/>
              <w:rPr>
                <w:sz w:val="20"/>
                <w:szCs w:val="20"/>
                <w:color w:val="auto"/>
              </w:rPr>
            </w:pPr>
            <w:r>
              <w:rPr>
                <w:rFonts w:ascii="Arial" w:cs="Arial" w:eastAsia="Arial" w:hAnsi="Arial"/>
                <w:sz w:val="18"/>
                <w:szCs w:val="18"/>
                <w:i w:val="1"/>
                <w:iCs w:val="1"/>
                <w:color w:val="3E5588"/>
              </w:rPr>
              <w:t>Proceeds to Fulcrum, before expenses</w:t>
            </w:r>
          </w:p>
        </w:tc>
        <w:tc>
          <w:tcPr>
            <w:tcW w:w="560" w:type="dxa"/>
            <w:vAlign w:val="bottom"/>
          </w:tcPr>
          <w:p>
            <w:pPr>
              <w:jc w:val="center"/>
              <w:spacing w:after="0"/>
              <w:rPr>
                <w:sz w:val="20"/>
                <w:szCs w:val="20"/>
                <w:color w:val="auto"/>
              </w:rPr>
            </w:pPr>
            <w:r>
              <w:rPr>
                <w:rFonts w:ascii="Arial" w:cs="Arial" w:eastAsia="Arial" w:hAnsi="Arial"/>
                <w:sz w:val="18"/>
                <w:szCs w:val="18"/>
                <w:i w:val="1"/>
                <w:iCs w:val="1"/>
                <w:color w:val="3E5588"/>
                <w:w w:val="87"/>
              </w:rPr>
              <w:t>$14.88</w:t>
            </w:r>
          </w:p>
        </w:tc>
        <w:tc>
          <w:tcPr>
            <w:tcW w:w="1420" w:type="dxa"/>
            <w:vAlign w:val="bottom"/>
            <w:gridSpan w:val="3"/>
          </w:tcPr>
          <w:p>
            <w:pPr>
              <w:jc w:val="center"/>
              <w:ind w:left="452"/>
              <w:spacing w:after="0"/>
              <w:rPr>
                <w:sz w:val="20"/>
                <w:szCs w:val="20"/>
                <w:color w:val="auto"/>
              </w:rPr>
            </w:pPr>
            <w:r>
              <w:rPr>
                <w:rFonts w:ascii="Arial" w:cs="Arial" w:eastAsia="Arial" w:hAnsi="Arial"/>
                <w:sz w:val="18"/>
                <w:szCs w:val="18"/>
                <w:i w:val="1"/>
                <w:iCs w:val="1"/>
                <w:color w:val="3E5588"/>
                <w:w w:val="87"/>
              </w:rPr>
              <w:t>$66,960,000</w:t>
            </w:r>
          </w:p>
        </w:tc>
        <w:tc>
          <w:tcPr>
            <w:tcW w:w="0" w:type="dxa"/>
            <w:vAlign w:val="bottom"/>
          </w:tcPr>
          <w:p>
            <w:pPr>
              <w:spacing w:after="0"/>
              <w:rPr>
                <w:sz w:val="1"/>
                <w:szCs w:val="1"/>
                <w:color w:val="auto"/>
              </w:rPr>
            </w:pPr>
          </w:p>
        </w:tc>
      </w:tr>
      <w:tr>
        <w:trPr>
          <w:trHeight w:val="110"/>
        </w:trPr>
        <w:tc>
          <w:tcPr>
            <w:tcW w:w="940" w:type="dxa"/>
            <w:vAlign w:val="bottom"/>
            <w:tcBorders>
              <w:bottom w:val="single" w:sz="8" w:color="3E5588"/>
            </w:tcBorders>
          </w:tcPr>
          <w:p>
            <w:pPr>
              <w:spacing w:after="0"/>
              <w:rPr>
                <w:sz w:val="9"/>
                <w:szCs w:val="9"/>
                <w:color w:val="auto"/>
              </w:rPr>
            </w:pPr>
          </w:p>
        </w:tc>
        <w:tc>
          <w:tcPr>
            <w:tcW w:w="6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4"/>
          <w:szCs w:val="24"/>
          <w:color w:val="auto"/>
        </w:rPr>
      </w:pPr>
    </w:p>
    <w:p>
      <w:pPr>
        <w:ind w:left="1680" w:hanging="531"/>
        <w:spacing w:after="0"/>
        <w:tabs>
          <w:tab w:leader="none" w:pos="1680" w:val="left"/>
        </w:tabs>
        <w:numPr>
          <w:ilvl w:val="0"/>
          <w:numId w:val="1"/>
        </w:numPr>
        <w:rPr>
          <w:rFonts w:ascii="Arial" w:cs="Arial" w:eastAsia="Arial" w:hAnsi="Arial"/>
          <w:sz w:val="18"/>
          <w:szCs w:val="18"/>
          <w:i w:val="1"/>
          <w:iCs w:val="1"/>
          <w:color w:val="3E5588"/>
        </w:rPr>
      </w:pPr>
      <w:r>
        <w:rPr>
          <w:rFonts w:ascii="Arial" w:cs="Arial" w:eastAsia="Arial" w:hAnsi="Arial"/>
          <w:sz w:val="18"/>
          <w:szCs w:val="18"/>
          <w:i w:val="1"/>
          <w:iCs w:val="1"/>
          <w:color w:val="3E5588"/>
        </w:rPr>
        <w:t>See "Underwriters" on page 194 for additional information regarding compensation of underwriters.</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b w:val="1"/>
          <w:bCs w:val="1"/>
          <w:i w:val="1"/>
          <w:iCs w:val="1"/>
          <w:color w:val="3E5588"/>
        </w:rPr>
        <w:t>We have granted the underwriters the right to purchase up to an additional 675,000 shares of common stock. The underwriters may exercise this right at any time within 30 days after the date of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123190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22"/>
          <w:szCs w:val="22"/>
          <w:b w:val="1"/>
          <w:bCs w:val="1"/>
          <w:i w:val="1"/>
          <w:iCs w:val="1"/>
          <w:color w:val="3E5588"/>
        </w:rPr>
        <w:t>Investing in our common stock involves risks. See "Risk Factors" beginning on page 10 of this prospectus.</w:t>
      </w:r>
    </w:p>
    <w:p>
      <w:pPr>
        <w:spacing w:after="0" w:line="219" w:lineRule="exact"/>
        <w:rPr>
          <w:sz w:val="24"/>
          <w:szCs w:val="24"/>
          <w:color w:val="auto"/>
        </w:rPr>
      </w:pPr>
    </w:p>
    <w:p>
      <w:pPr>
        <w:spacing w:after="0" w:line="268" w:lineRule="auto"/>
        <w:rPr>
          <w:sz w:val="20"/>
          <w:szCs w:val="20"/>
          <w:color w:val="auto"/>
        </w:rPr>
      </w:pPr>
      <w:r>
        <w:rPr>
          <w:rFonts w:ascii="Arial" w:cs="Arial" w:eastAsia="Arial" w:hAnsi="Arial"/>
          <w:sz w:val="18"/>
          <w:szCs w:val="18"/>
          <w:i w:val="1"/>
          <w:iCs w:val="1"/>
          <w:color w:val="3E5588"/>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i w:val="1"/>
          <w:iCs w:val="1"/>
          <w:color w:val="3E5588"/>
        </w:rPr>
        <w:t>The underwriters expect to deliver the shares of common stock to purchasers on or about July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ind w:left="1140"/>
        <w:spacing w:after="0"/>
        <w:tabs>
          <w:tab w:leader="none" w:pos="4800" w:val="left"/>
          <w:tab w:leader="none" w:pos="8960" w:val="left"/>
        </w:tabs>
        <w:rPr>
          <w:sz w:val="20"/>
          <w:szCs w:val="20"/>
          <w:color w:val="auto"/>
        </w:rPr>
      </w:pPr>
      <w:r>
        <w:rPr>
          <w:rFonts w:ascii="Arial" w:cs="Arial" w:eastAsia="Arial" w:hAnsi="Arial"/>
          <w:sz w:val="22"/>
          <w:szCs w:val="22"/>
          <w:i w:val="1"/>
          <w:iCs w:val="1"/>
          <w:color w:val="3E5588"/>
        </w:rPr>
        <w:t>MORGAN STANLEY</w:t>
      </w:r>
      <w:r>
        <w:rPr>
          <w:sz w:val="20"/>
          <w:szCs w:val="20"/>
          <w:color w:val="auto"/>
        </w:rPr>
        <w:tab/>
      </w:r>
      <w:r>
        <w:rPr>
          <w:rFonts w:ascii="Arial" w:cs="Arial" w:eastAsia="Arial" w:hAnsi="Arial"/>
          <w:sz w:val="22"/>
          <w:szCs w:val="22"/>
          <w:i w:val="1"/>
          <w:iCs w:val="1"/>
          <w:color w:val="3E5588"/>
        </w:rPr>
        <w:t>BofA MERRILL LYNCH</w:t>
      </w:r>
      <w:r>
        <w:rPr>
          <w:sz w:val="20"/>
          <w:szCs w:val="20"/>
          <w:color w:val="auto"/>
        </w:rPr>
        <w:tab/>
      </w:r>
      <w:r>
        <w:rPr>
          <w:rFonts w:ascii="Arial" w:cs="Arial" w:eastAsia="Arial" w:hAnsi="Arial"/>
          <w:sz w:val="19"/>
          <w:szCs w:val="19"/>
          <w:i w:val="1"/>
          <w:iCs w:val="1"/>
          <w:color w:val="3E5588"/>
        </w:rPr>
        <w:t>SVB LEERINK</w:t>
      </w:r>
    </w:p>
    <w:p>
      <w:pPr>
        <w:sectPr>
          <w:pgSz w:w="11900" w:h="16838" w:orient="portrait"/>
          <w:cols w:equalWidth="0" w:num="1">
            <w:col w:w="11420"/>
          </w:cols>
          <w:pgMar w:left="240" w:top="685" w:right="239" w:bottom="1440" w:gutter="0" w:footer="0" w:header="0"/>
        </w:sectPr>
      </w:pP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6"/>
          <w:szCs w:val="16"/>
          <w:i w:val="1"/>
          <w:iCs w:val="1"/>
          <w:color w:val="3E5588"/>
        </w:rPr>
        <w:t>July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3E5588"/>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167005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3920" w:type="dxa"/>
            <w:vAlign w:val="bottom"/>
            <w:gridSpan w:val="15"/>
          </w:tcPr>
          <w:p>
            <w:pPr>
              <w:spacing w:after="0"/>
              <w:rPr>
                <w:rFonts w:ascii="Arial" w:cs="Arial" w:eastAsia="Arial" w:hAnsi="Arial"/>
                <w:sz w:val="18"/>
                <w:szCs w:val="18"/>
                <w:color w:val="3E5588"/>
              </w:rPr>
            </w:pPr>
            <w:hyperlink w:anchor="page3">
              <w:r>
                <w:rPr>
                  <w:rFonts w:ascii="Arial" w:cs="Arial" w:eastAsia="Arial" w:hAnsi="Arial"/>
                  <w:sz w:val="18"/>
                  <w:szCs w:val="18"/>
                  <w:color w:val="3E5588"/>
                </w:rPr>
                <w:t>PROSPECTUS SUMMARY</w:t>
              </w:r>
            </w:hyperlink>
          </w:p>
        </w:tc>
        <w:tc>
          <w:tcPr>
            <w:tcW w:w="380" w:type="dxa"/>
            <w:vAlign w:val="bottom"/>
            <w:gridSpan w:val="4"/>
          </w:tcPr>
          <w:p>
            <w:pPr>
              <w:jc w:val="right"/>
              <w:spacing w:after="0"/>
              <w:rPr>
                <w:rFonts w:ascii="Arial" w:cs="Arial" w:eastAsia="Arial" w:hAnsi="Arial"/>
                <w:sz w:val="18"/>
                <w:szCs w:val="18"/>
                <w:color w:val="3E5588"/>
              </w:rPr>
            </w:pPr>
            <w:hyperlink w:anchor="page3">
              <w:r>
                <w:rPr>
                  <w:rFonts w:ascii="Arial" w:cs="Arial" w:eastAsia="Arial" w:hAnsi="Arial"/>
                  <w:sz w:val="18"/>
                  <w:szCs w:val="18"/>
                  <w:color w:val="3E5588"/>
                </w:rPr>
                <w:t>1</w:t>
              </w:r>
            </w:hyperlink>
          </w:p>
        </w:tc>
      </w:tr>
      <w:tr>
        <w:trPr>
          <w:trHeight w:val="20"/>
        </w:trPr>
        <w:tc>
          <w:tcPr>
            <w:tcW w:w="180" w:type="dxa"/>
            <w:vAlign w:val="bottom"/>
            <w:shd w:val="clear" w:color="auto" w:fill="3E5588"/>
          </w:tcPr>
          <w:p>
            <w:pPr>
              <w:spacing w:after="0" w:line="20" w:lineRule="exact"/>
              <w:rPr>
                <w:sz w:val="1"/>
                <w:szCs w:val="1"/>
                <w:color w:val="auto"/>
              </w:rPr>
            </w:pPr>
          </w:p>
        </w:tc>
        <w:tc>
          <w:tcPr>
            <w:tcW w:w="460" w:type="dxa"/>
            <w:vAlign w:val="bottom"/>
            <w:shd w:val="clear" w:color="auto" w:fill="3E5588"/>
          </w:tcPr>
          <w:p>
            <w:pPr>
              <w:spacing w:after="0" w:line="20" w:lineRule="exact"/>
              <w:rPr>
                <w:sz w:val="1"/>
                <w:szCs w:val="1"/>
                <w:color w:val="auto"/>
              </w:rPr>
            </w:pPr>
          </w:p>
        </w:tc>
        <w:tc>
          <w:tcPr>
            <w:tcW w:w="200" w:type="dxa"/>
            <w:vAlign w:val="bottom"/>
            <w:shd w:val="clear" w:color="auto" w:fill="3E5588"/>
          </w:tcPr>
          <w:p>
            <w:pPr>
              <w:spacing w:after="0" w:line="20" w:lineRule="exact"/>
              <w:rPr>
                <w:sz w:val="1"/>
                <w:szCs w:val="1"/>
                <w:color w:val="auto"/>
              </w:rPr>
            </w:pPr>
          </w:p>
        </w:tc>
        <w:tc>
          <w:tcPr>
            <w:tcW w:w="380" w:type="dxa"/>
            <w:vAlign w:val="bottom"/>
            <w:tcBorders>
              <w:left w:val="single" w:sz="8" w:color="3E5588"/>
            </w:tcBorders>
            <w:shd w:val="clear" w:color="auto" w:fill="3E5588"/>
          </w:tcPr>
          <w:p>
            <w:pPr>
              <w:spacing w:after="0" w:line="20" w:lineRule="exact"/>
              <w:rPr>
                <w:sz w:val="1"/>
                <w:szCs w:val="1"/>
                <w:color w:val="auto"/>
              </w:rPr>
            </w:pPr>
          </w:p>
        </w:tc>
        <w:tc>
          <w:tcPr>
            <w:tcW w:w="60" w:type="dxa"/>
            <w:vAlign w:val="bottom"/>
            <w:shd w:val="clear" w:color="auto" w:fill="3E5588"/>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500" w:type="dxa"/>
            <w:vAlign w:val="bottom"/>
            <w:tcBorders>
              <w:left w:val="single" w:sz="8" w:color="3E5588"/>
            </w:tcBorders>
            <w:shd w:val="clear" w:color="auto" w:fill="3E558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r>
      <w:tr>
        <w:trPr>
          <w:trHeight w:val="196"/>
        </w:trPr>
        <w:tc>
          <w:tcPr>
            <w:tcW w:w="2040" w:type="dxa"/>
            <w:vAlign w:val="bottom"/>
            <w:gridSpan w:val="8"/>
          </w:tcPr>
          <w:p>
            <w:pPr>
              <w:spacing w:after="0" w:line="196" w:lineRule="exact"/>
              <w:rPr>
                <w:rFonts w:ascii="Arial" w:cs="Arial" w:eastAsia="Arial" w:hAnsi="Arial"/>
                <w:sz w:val="18"/>
                <w:szCs w:val="18"/>
                <w:color w:val="3E5588"/>
              </w:rPr>
            </w:pPr>
            <w:hyperlink w:anchor="page12">
              <w:r>
                <w:rPr>
                  <w:rFonts w:ascii="Arial" w:cs="Arial" w:eastAsia="Arial" w:hAnsi="Arial"/>
                  <w:sz w:val="18"/>
                  <w:szCs w:val="18"/>
                  <w:color w:val="3E5588"/>
                </w:rPr>
                <w:t>RISK FACTORS</w:t>
              </w:r>
            </w:hyperlink>
          </w:p>
        </w:tc>
        <w:tc>
          <w:tcPr>
            <w:tcW w:w="1880" w:type="dxa"/>
            <w:vAlign w:val="bottom"/>
            <w:gridSpan w:val="7"/>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12">
              <w:r>
                <w:rPr>
                  <w:rFonts w:ascii="Arial" w:cs="Arial" w:eastAsia="Arial" w:hAnsi="Arial"/>
                  <w:sz w:val="18"/>
                  <w:szCs w:val="18"/>
                  <w:color w:val="3E5588"/>
                </w:rPr>
                <w:t>10</w:t>
              </w:r>
            </w:hyperlink>
          </w:p>
        </w:tc>
      </w:tr>
      <w:tr>
        <w:trPr>
          <w:trHeight w:val="20"/>
        </w:trPr>
        <w:tc>
          <w:tcPr>
            <w:tcW w:w="180" w:type="dxa"/>
            <w:vAlign w:val="bottom"/>
            <w:shd w:val="clear" w:color="auto" w:fill="3E5588"/>
          </w:tcPr>
          <w:p>
            <w:pPr>
              <w:spacing w:after="0" w:line="20" w:lineRule="exact"/>
              <w:rPr>
                <w:sz w:val="1"/>
                <w:szCs w:val="1"/>
                <w:color w:val="auto"/>
              </w:rPr>
            </w:pPr>
          </w:p>
        </w:tc>
        <w:tc>
          <w:tcPr>
            <w:tcW w:w="460" w:type="dxa"/>
            <w:vAlign w:val="bottom"/>
            <w:shd w:val="clear" w:color="auto" w:fill="3E5588"/>
          </w:tcPr>
          <w:p>
            <w:pPr>
              <w:spacing w:after="0" w:line="20" w:lineRule="exact"/>
              <w:rPr>
                <w:sz w:val="1"/>
                <w:szCs w:val="1"/>
                <w:color w:val="auto"/>
              </w:rPr>
            </w:pPr>
          </w:p>
        </w:tc>
        <w:tc>
          <w:tcPr>
            <w:tcW w:w="200" w:type="dxa"/>
            <w:vAlign w:val="bottom"/>
            <w:shd w:val="clear" w:color="auto" w:fill="3E5588"/>
          </w:tcPr>
          <w:p>
            <w:pPr>
              <w:spacing w:after="0" w:line="20" w:lineRule="exact"/>
              <w:rPr>
                <w:sz w:val="1"/>
                <w:szCs w:val="1"/>
                <w:color w:val="auto"/>
              </w:rPr>
            </w:pPr>
          </w:p>
        </w:tc>
        <w:tc>
          <w:tcPr>
            <w:tcW w:w="380" w:type="dxa"/>
            <w:vAlign w:val="bottom"/>
            <w:tcBorders>
              <w:left w:val="single" w:sz="8" w:color="3E5588"/>
            </w:tcBorders>
            <w:shd w:val="clear" w:color="auto" w:fill="3E55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3E5588"/>
                <w:w w:val="99"/>
              </w:rPr>
            </w:pPr>
            <w:hyperlink w:anchor="page69">
              <w:r>
                <w:rPr>
                  <w:rFonts w:ascii="Arial" w:cs="Arial" w:eastAsia="Arial" w:hAnsi="Arial"/>
                  <w:sz w:val="18"/>
                  <w:szCs w:val="18"/>
                  <w:color w:val="3E5588"/>
                  <w:w w:val="99"/>
                </w:rPr>
                <w:t>CAUTIONARY NOTE REGARDING FORWARD-</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3E5588"/>
            </w:tcBorders>
          </w:tcPr>
          <w:p>
            <w:pPr>
              <w:spacing w:after="0"/>
              <w:rPr>
                <w:sz w:val="17"/>
                <w:szCs w:val="17"/>
                <w:color w:val="auto"/>
              </w:rPr>
            </w:pPr>
          </w:p>
        </w:tc>
        <w:tc>
          <w:tcPr>
            <w:tcW w:w="3520" w:type="dxa"/>
            <w:vAlign w:val="bottom"/>
            <w:tcBorders>
              <w:top w:val="single" w:sz="8" w:color="3E5588"/>
            </w:tcBorders>
            <w:gridSpan w:val="11"/>
          </w:tcPr>
          <w:p>
            <w:pPr>
              <w:spacing w:after="0" w:line="196" w:lineRule="exact"/>
              <w:rPr>
                <w:rFonts w:ascii="Arial" w:cs="Arial" w:eastAsia="Arial" w:hAnsi="Arial"/>
                <w:sz w:val="18"/>
                <w:szCs w:val="18"/>
                <w:color w:val="3E5588"/>
              </w:rPr>
            </w:pPr>
            <w:hyperlink w:anchor="page69">
              <w:r>
                <w:rPr>
                  <w:rFonts w:ascii="Arial" w:cs="Arial" w:eastAsia="Arial" w:hAnsi="Arial"/>
                  <w:sz w:val="18"/>
                  <w:szCs w:val="18"/>
                  <w:color w:val="3E5588"/>
                </w:rPr>
                <w:t>LOOKING STATEMENTS AND INDUSTRY</w:t>
              </w:r>
            </w:hyperlink>
          </w:p>
        </w:tc>
        <w:tc>
          <w:tcPr>
            <w:tcW w:w="2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300" w:type="dxa"/>
            <w:vAlign w:val="bottom"/>
            <w:tcBorders>
              <w:top w:val="single" w:sz="8" w:color="3E5588"/>
            </w:tcBorders>
            <w:gridSpan w:val="9"/>
          </w:tcPr>
          <w:p>
            <w:pPr>
              <w:spacing w:after="0" w:line="196" w:lineRule="exact"/>
              <w:rPr>
                <w:rFonts w:ascii="Arial" w:cs="Arial" w:eastAsia="Arial" w:hAnsi="Arial"/>
                <w:sz w:val="18"/>
                <w:szCs w:val="18"/>
                <w:color w:val="3E5588"/>
              </w:rPr>
            </w:pPr>
            <w:hyperlink w:anchor="page69">
              <w:r>
                <w:rPr>
                  <w:rFonts w:ascii="Arial" w:cs="Arial" w:eastAsia="Arial" w:hAnsi="Arial"/>
                  <w:sz w:val="18"/>
                  <w:szCs w:val="18"/>
                  <w:color w:val="3E5588"/>
                </w:rPr>
                <w:t>DATA</w:t>
              </w:r>
            </w:hyperlink>
          </w:p>
        </w:tc>
        <w:tc>
          <w:tcPr>
            <w:tcW w:w="440" w:type="dxa"/>
            <w:vAlign w:val="bottom"/>
            <w:gridSpan w:val="5"/>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69">
              <w:r>
                <w:rPr>
                  <w:rFonts w:ascii="Arial" w:cs="Arial" w:eastAsia="Arial" w:hAnsi="Arial"/>
                  <w:sz w:val="18"/>
                  <w:szCs w:val="18"/>
                  <w:color w:val="3E5588"/>
                </w:rPr>
                <w:t>67</w:t>
              </w:r>
            </w:hyperlink>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3E558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3E5588"/>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3E5588"/>
                <w:w w:val="86"/>
              </w:rPr>
            </w:pPr>
            <w:hyperlink w:anchor="page71">
              <w:r>
                <w:rPr>
                  <w:rFonts w:ascii="Arial" w:cs="Arial" w:eastAsia="Arial" w:hAnsi="Arial"/>
                  <w:sz w:val="18"/>
                  <w:szCs w:val="18"/>
                  <w:color w:val="3E5588"/>
                  <w:w w:val="86"/>
                </w:rPr>
                <w:t>USE OF PROCEEDS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71">
              <w:r>
                <w:rPr>
                  <w:rFonts w:ascii="Arial" w:cs="Arial" w:eastAsia="Arial" w:hAnsi="Arial"/>
                  <w:sz w:val="18"/>
                  <w:szCs w:val="18"/>
                  <w:color w:val="3E5588"/>
                </w:rPr>
                <w:t>69</w:t>
              </w:r>
            </w:hyperlink>
          </w:p>
        </w:tc>
      </w:tr>
      <w:tr>
        <w:trPr>
          <w:trHeight w:val="20"/>
        </w:trPr>
        <w:tc>
          <w:tcPr>
            <w:tcW w:w="840" w:type="dxa"/>
            <w:vAlign w:val="bottom"/>
            <w:gridSpan w:val="3"/>
            <w:shd w:val="clear" w:color="auto" w:fill="3E5588"/>
          </w:tcPr>
          <w:p>
            <w:pPr>
              <w:spacing w:after="0" w:line="20" w:lineRule="exact"/>
              <w:rPr>
                <w:sz w:val="1"/>
                <w:szCs w:val="1"/>
                <w:color w:val="auto"/>
              </w:rPr>
            </w:pPr>
          </w:p>
        </w:tc>
        <w:tc>
          <w:tcPr>
            <w:tcW w:w="440" w:type="dxa"/>
            <w:vAlign w:val="bottom"/>
            <w:tcBorders>
              <w:left w:val="single" w:sz="8" w:color="3E5588"/>
            </w:tcBorders>
            <w:gridSpan w:val="2"/>
            <w:shd w:val="clear" w:color="auto" w:fill="3E5588"/>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860" w:type="dxa"/>
            <w:vAlign w:val="bottom"/>
            <w:tcBorders>
              <w:left w:val="single" w:sz="8" w:color="3E5588"/>
            </w:tcBorders>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3E5588"/>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3E5588"/>
                <w:w w:val="95"/>
              </w:rPr>
            </w:pPr>
            <w:hyperlink w:anchor="page72">
              <w:r>
                <w:rPr>
                  <w:rFonts w:ascii="Arial" w:cs="Arial" w:eastAsia="Arial" w:hAnsi="Arial"/>
                  <w:sz w:val="18"/>
                  <w:szCs w:val="18"/>
                  <w:color w:val="3E5588"/>
                  <w:w w:val="95"/>
                </w:rPr>
                <w:t>DIVIDEND POLICY</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72">
              <w:r>
                <w:rPr>
                  <w:rFonts w:ascii="Arial" w:cs="Arial" w:eastAsia="Arial" w:hAnsi="Arial"/>
                  <w:sz w:val="18"/>
                  <w:szCs w:val="18"/>
                  <w:color w:val="3E5588"/>
                </w:rPr>
                <w:t>70</w:t>
              </w:r>
            </w:hyperlink>
          </w:p>
        </w:tc>
      </w:tr>
      <w:tr>
        <w:trPr>
          <w:trHeight w:val="20"/>
        </w:trPr>
        <w:tc>
          <w:tcPr>
            <w:tcW w:w="840" w:type="dxa"/>
            <w:vAlign w:val="bottom"/>
            <w:gridSpan w:val="3"/>
            <w:shd w:val="clear" w:color="auto" w:fill="3E5588"/>
          </w:tcPr>
          <w:p>
            <w:pPr>
              <w:spacing w:after="0" w:line="20" w:lineRule="exact"/>
              <w:rPr>
                <w:sz w:val="1"/>
                <w:szCs w:val="1"/>
                <w:color w:val="auto"/>
              </w:rPr>
            </w:pPr>
          </w:p>
        </w:tc>
        <w:tc>
          <w:tcPr>
            <w:tcW w:w="440" w:type="dxa"/>
            <w:vAlign w:val="bottom"/>
            <w:tcBorders>
              <w:left w:val="single" w:sz="8" w:color="3E5588"/>
            </w:tcBorders>
            <w:gridSpan w:val="2"/>
            <w:shd w:val="clear" w:color="auto" w:fill="3E5588"/>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3E5588"/>
          </w:tcPr>
          <w:p>
            <w:pPr>
              <w:spacing w:after="0" w:line="20" w:lineRule="exact"/>
              <w:rPr>
                <w:sz w:val="1"/>
                <w:szCs w:val="1"/>
                <w:color w:val="auto"/>
              </w:rPr>
            </w:pPr>
          </w:p>
        </w:tc>
      </w:tr>
      <w:tr>
        <w:trPr>
          <w:trHeight w:val="196"/>
        </w:trPr>
        <w:tc>
          <w:tcPr>
            <w:tcW w:w="1540" w:type="dxa"/>
            <w:vAlign w:val="bottom"/>
            <w:gridSpan w:val="7"/>
          </w:tcPr>
          <w:p>
            <w:pPr>
              <w:spacing w:after="0" w:line="196" w:lineRule="exact"/>
              <w:rPr>
                <w:rFonts w:ascii="Arial" w:cs="Arial" w:eastAsia="Arial" w:hAnsi="Arial"/>
                <w:sz w:val="18"/>
                <w:szCs w:val="18"/>
                <w:color w:val="3E5588"/>
              </w:rPr>
            </w:pPr>
            <w:hyperlink w:anchor="page73">
              <w:r>
                <w:rPr>
                  <w:rFonts w:ascii="Arial" w:cs="Arial" w:eastAsia="Arial" w:hAnsi="Arial"/>
                  <w:sz w:val="18"/>
                  <w:szCs w:val="18"/>
                  <w:color w:val="3E5588"/>
                </w:rPr>
                <w:t>CAPITALIZATION</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73">
              <w:r>
                <w:rPr>
                  <w:rFonts w:ascii="Arial" w:cs="Arial" w:eastAsia="Arial" w:hAnsi="Arial"/>
                  <w:sz w:val="18"/>
                  <w:szCs w:val="18"/>
                  <w:color w:val="3E5588"/>
                </w:rPr>
                <w:t>71</w:t>
              </w:r>
            </w:hyperlink>
          </w:p>
        </w:tc>
      </w:tr>
      <w:tr>
        <w:trPr>
          <w:trHeight w:val="20"/>
        </w:trPr>
        <w:tc>
          <w:tcPr>
            <w:tcW w:w="840" w:type="dxa"/>
            <w:vAlign w:val="bottom"/>
            <w:gridSpan w:val="3"/>
            <w:shd w:val="clear" w:color="auto" w:fill="3E5588"/>
          </w:tcPr>
          <w:p>
            <w:pPr>
              <w:spacing w:after="0" w:line="20" w:lineRule="exact"/>
              <w:rPr>
                <w:sz w:val="1"/>
                <w:szCs w:val="1"/>
                <w:color w:val="auto"/>
              </w:rPr>
            </w:pPr>
          </w:p>
        </w:tc>
        <w:tc>
          <w:tcPr>
            <w:tcW w:w="440" w:type="dxa"/>
            <w:vAlign w:val="bottom"/>
            <w:tcBorders>
              <w:left w:val="single" w:sz="8" w:color="3E5588"/>
            </w:tcBorders>
            <w:gridSpan w:val="2"/>
            <w:shd w:val="clear" w:color="auto" w:fill="3E5588"/>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3E5588"/>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3E5588"/>
                <w:w w:val="95"/>
              </w:rPr>
            </w:pPr>
            <w:hyperlink w:anchor="page75">
              <w:r>
                <w:rPr>
                  <w:rFonts w:ascii="Arial" w:cs="Arial" w:eastAsia="Arial" w:hAnsi="Arial"/>
                  <w:sz w:val="18"/>
                  <w:szCs w:val="18"/>
                  <w:color w:val="3E5588"/>
                  <w:w w:val="95"/>
                </w:rPr>
                <w:t>DILUTION</w:t>
              </w:r>
            </w:hyperlink>
          </w:p>
        </w:tc>
        <w:tc>
          <w:tcPr>
            <w:tcW w:w="580" w:type="dxa"/>
            <w:vAlign w:val="bottom"/>
            <w:gridSpan w:val="3"/>
          </w:tcPr>
          <w:p>
            <w:pPr>
              <w:spacing w:after="0"/>
              <w:rPr>
                <w:sz w:val="17"/>
                <w:szCs w:val="17"/>
                <w:color w:val="auto"/>
              </w:rPr>
            </w:pPr>
          </w:p>
        </w:tc>
        <w:tc>
          <w:tcPr>
            <w:tcW w:w="2500" w:type="dxa"/>
            <w:vAlign w:val="bottom"/>
            <w:gridSpan w:val="9"/>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75">
              <w:r>
                <w:rPr>
                  <w:rFonts w:ascii="Arial" w:cs="Arial" w:eastAsia="Arial" w:hAnsi="Arial"/>
                  <w:sz w:val="18"/>
                  <w:szCs w:val="18"/>
                  <w:color w:val="3E5588"/>
                </w:rPr>
                <w:t>73</w:t>
              </w:r>
            </w:hyperlink>
          </w:p>
        </w:tc>
      </w:tr>
      <w:tr>
        <w:trPr>
          <w:trHeight w:val="20"/>
        </w:trPr>
        <w:tc>
          <w:tcPr>
            <w:tcW w:w="840" w:type="dxa"/>
            <w:vAlign w:val="bottom"/>
            <w:gridSpan w:val="3"/>
            <w:shd w:val="clear" w:color="auto" w:fill="3E5588"/>
          </w:tcPr>
          <w:p>
            <w:pPr>
              <w:spacing w:after="0" w:line="20" w:lineRule="exact"/>
              <w:rPr>
                <w:sz w:val="1"/>
                <w:szCs w:val="1"/>
                <w:color w:val="auto"/>
              </w:rPr>
            </w:pPr>
          </w:p>
        </w:tc>
        <w:tc>
          <w:tcPr>
            <w:tcW w:w="440" w:type="dxa"/>
            <w:vAlign w:val="bottom"/>
            <w:tcBorders>
              <w:left w:val="single" w:sz="8" w:color="3E5588"/>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3E5588"/>
          </w:tcPr>
          <w:p>
            <w:pPr>
              <w:spacing w:after="0" w:line="20" w:lineRule="exact"/>
              <w:rPr>
                <w:sz w:val="1"/>
                <w:szCs w:val="1"/>
                <w:color w:val="auto"/>
              </w:rPr>
            </w:pPr>
          </w:p>
        </w:tc>
      </w:tr>
      <w:tr>
        <w:trPr>
          <w:trHeight w:val="196"/>
        </w:trPr>
        <w:tc>
          <w:tcPr>
            <w:tcW w:w="3760" w:type="dxa"/>
            <w:vAlign w:val="bottom"/>
            <w:gridSpan w:val="13"/>
          </w:tcPr>
          <w:p>
            <w:pPr>
              <w:spacing w:after="0" w:line="196" w:lineRule="exact"/>
              <w:rPr>
                <w:rFonts w:ascii="Arial" w:cs="Arial" w:eastAsia="Arial" w:hAnsi="Arial"/>
                <w:sz w:val="18"/>
                <w:szCs w:val="18"/>
                <w:color w:val="3E5588"/>
                <w:w w:val="94"/>
              </w:rPr>
            </w:pPr>
            <w:hyperlink w:anchor="page77">
              <w:r>
                <w:rPr>
                  <w:rFonts w:ascii="Arial" w:cs="Arial" w:eastAsia="Arial" w:hAnsi="Arial"/>
                  <w:sz w:val="18"/>
                  <w:szCs w:val="18"/>
                  <w:color w:val="3E5588"/>
                  <w:w w:val="94"/>
                </w:rPr>
                <w:t>SELECTED CONSOLIDATED FINANCIAL DATA</w:t>
              </w:r>
            </w:hyperlink>
          </w:p>
        </w:tc>
        <w:tc>
          <w:tcPr>
            <w:tcW w:w="160" w:type="dxa"/>
            <w:vAlign w:val="bottom"/>
            <w:gridSpan w:val="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77">
              <w:r>
                <w:rPr>
                  <w:rFonts w:ascii="Arial" w:cs="Arial" w:eastAsia="Arial" w:hAnsi="Arial"/>
                  <w:sz w:val="18"/>
                  <w:szCs w:val="18"/>
                  <w:color w:val="3E5588"/>
                </w:rPr>
                <w:t>75</w:t>
              </w:r>
            </w:hyperlink>
          </w:p>
        </w:tc>
      </w:tr>
      <w:tr>
        <w:trPr>
          <w:trHeight w:val="20"/>
        </w:trPr>
        <w:tc>
          <w:tcPr>
            <w:tcW w:w="840" w:type="dxa"/>
            <w:vAlign w:val="bottom"/>
            <w:gridSpan w:val="3"/>
            <w:shd w:val="clear" w:color="auto" w:fill="3E5588"/>
          </w:tcPr>
          <w:p>
            <w:pPr>
              <w:spacing w:after="0" w:line="20" w:lineRule="exact"/>
              <w:rPr>
                <w:sz w:val="1"/>
                <w:szCs w:val="1"/>
                <w:color w:val="auto"/>
              </w:rPr>
            </w:pPr>
          </w:p>
        </w:tc>
        <w:tc>
          <w:tcPr>
            <w:tcW w:w="440" w:type="dxa"/>
            <w:vAlign w:val="bottom"/>
            <w:tcBorders>
              <w:left w:val="single" w:sz="8" w:color="3E5588"/>
            </w:tcBorders>
            <w:gridSpan w:val="2"/>
            <w:shd w:val="clear" w:color="auto" w:fill="3E5588"/>
          </w:tcPr>
          <w:p>
            <w:pPr>
              <w:spacing w:after="0" w:line="20" w:lineRule="exact"/>
              <w:rPr>
                <w:sz w:val="1"/>
                <w:szCs w:val="1"/>
                <w:color w:val="auto"/>
              </w:rPr>
            </w:pPr>
          </w:p>
        </w:tc>
        <w:tc>
          <w:tcPr>
            <w:tcW w:w="260" w:type="dxa"/>
            <w:vAlign w:val="bottom"/>
            <w:gridSpan w:val="2"/>
            <w:shd w:val="clear" w:color="auto" w:fill="3E5588"/>
          </w:tcPr>
          <w:p>
            <w:pPr>
              <w:spacing w:after="0" w:line="20" w:lineRule="exact"/>
              <w:rPr>
                <w:sz w:val="1"/>
                <w:szCs w:val="1"/>
                <w:color w:val="auto"/>
              </w:rPr>
            </w:pPr>
          </w:p>
        </w:tc>
        <w:tc>
          <w:tcPr>
            <w:tcW w:w="860" w:type="dxa"/>
            <w:vAlign w:val="bottom"/>
            <w:tcBorders>
              <w:left w:val="single" w:sz="8" w:color="3E5588"/>
            </w:tcBorders>
            <w:gridSpan w:val="2"/>
            <w:shd w:val="clear" w:color="auto" w:fill="3E5588"/>
          </w:tcPr>
          <w:p>
            <w:pPr>
              <w:spacing w:after="0" w:line="20" w:lineRule="exact"/>
              <w:rPr>
                <w:sz w:val="1"/>
                <w:szCs w:val="1"/>
                <w:color w:val="auto"/>
              </w:rPr>
            </w:pPr>
          </w:p>
        </w:tc>
        <w:tc>
          <w:tcPr>
            <w:tcW w:w="1240" w:type="dxa"/>
            <w:vAlign w:val="bottom"/>
            <w:gridSpan w:val="2"/>
            <w:shd w:val="clear" w:color="auto" w:fill="3E5588"/>
          </w:tcPr>
          <w:p>
            <w:pPr>
              <w:spacing w:after="0" w:line="20" w:lineRule="exact"/>
              <w:rPr>
                <w:sz w:val="1"/>
                <w:szCs w:val="1"/>
                <w:color w:val="auto"/>
              </w:rPr>
            </w:pPr>
          </w:p>
        </w:tc>
        <w:tc>
          <w:tcPr>
            <w:tcW w:w="120" w:type="dxa"/>
            <w:vAlign w:val="bottom"/>
            <w:gridSpan w:val="2"/>
            <w:shd w:val="clear" w:color="auto" w:fill="3E55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r>
      <w:tr>
        <w:trPr>
          <w:trHeight w:val="196"/>
        </w:trPr>
        <w:tc>
          <w:tcPr>
            <w:tcW w:w="3920" w:type="dxa"/>
            <w:vAlign w:val="bottom"/>
            <w:gridSpan w:val="15"/>
          </w:tcPr>
          <w:p>
            <w:pPr>
              <w:spacing w:after="0" w:line="196" w:lineRule="exact"/>
              <w:rPr>
                <w:rFonts w:ascii="Arial" w:cs="Arial" w:eastAsia="Arial" w:hAnsi="Arial"/>
                <w:sz w:val="18"/>
                <w:szCs w:val="18"/>
                <w:color w:val="3E5588"/>
                <w:w w:val="98"/>
              </w:rPr>
            </w:pPr>
            <w:hyperlink w:anchor="page79">
              <w:r>
                <w:rPr>
                  <w:rFonts w:ascii="Arial" w:cs="Arial" w:eastAsia="Arial" w:hAnsi="Arial"/>
                  <w:sz w:val="18"/>
                  <w:szCs w:val="18"/>
                  <w:color w:val="3E5588"/>
                  <w:w w:val="98"/>
                </w:rPr>
                <w:t>MANAGEMENT'S DISCUSSION AND ANALYSIS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Borders>
              <w:top w:val="single" w:sz="8" w:color="3E5588"/>
            </w:tcBorders>
          </w:tcPr>
          <w:p>
            <w:pPr>
              <w:spacing w:after="0"/>
              <w:rPr>
                <w:sz w:val="17"/>
                <w:szCs w:val="17"/>
                <w:color w:val="auto"/>
              </w:rPr>
            </w:pPr>
          </w:p>
        </w:tc>
        <w:tc>
          <w:tcPr>
            <w:tcW w:w="3460" w:type="dxa"/>
            <w:vAlign w:val="bottom"/>
            <w:tcBorders>
              <w:top w:val="single" w:sz="8" w:color="3E5588"/>
              <w:bottom w:val="single" w:sz="8" w:color="3E5588"/>
            </w:tcBorders>
            <w:gridSpan w:val="10"/>
          </w:tcPr>
          <w:p>
            <w:pPr>
              <w:spacing w:after="0" w:line="196" w:lineRule="exact"/>
              <w:rPr>
                <w:rFonts w:ascii="Arial" w:cs="Arial" w:eastAsia="Arial" w:hAnsi="Arial"/>
                <w:sz w:val="18"/>
                <w:szCs w:val="18"/>
                <w:color w:val="3E5588"/>
                <w:w w:val="95"/>
              </w:rPr>
            </w:pPr>
            <w:hyperlink w:anchor="page79">
              <w:r>
                <w:rPr>
                  <w:rFonts w:ascii="Arial" w:cs="Arial" w:eastAsia="Arial" w:hAnsi="Arial"/>
                  <w:sz w:val="18"/>
                  <w:szCs w:val="18"/>
                  <w:color w:val="3E5588"/>
                  <w:w w:val="95"/>
                </w:rPr>
                <w:t>OF FINANCIAL CONDITION AND RESULTS</w:t>
              </w:r>
            </w:hyperlink>
          </w:p>
        </w:tc>
        <w:tc>
          <w:tcPr>
            <w:tcW w:w="160" w:type="dxa"/>
            <w:vAlign w:val="bottom"/>
            <w:tcBorders>
              <w:top w:val="single" w:sz="8" w:color="3E5588"/>
            </w:tcBorders>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1360" w:type="dxa"/>
            <w:vAlign w:val="bottom"/>
            <w:gridSpan w:val="6"/>
          </w:tcPr>
          <w:p>
            <w:pPr>
              <w:spacing w:after="0" w:line="196" w:lineRule="exact"/>
              <w:rPr>
                <w:rFonts w:ascii="Arial" w:cs="Arial" w:eastAsia="Arial" w:hAnsi="Arial"/>
                <w:sz w:val="18"/>
                <w:szCs w:val="18"/>
                <w:color w:val="3E5588"/>
                <w:w w:val="89"/>
              </w:rPr>
            </w:pPr>
            <w:hyperlink w:anchor="page79">
              <w:r>
                <w:rPr>
                  <w:rFonts w:ascii="Arial" w:cs="Arial" w:eastAsia="Arial" w:hAnsi="Arial"/>
                  <w:sz w:val="18"/>
                  <w:szCs w:val="18"/>
                  <w:color w:val="3E5588"/>
                  <w:w w:val="89"/>
                </w:rPr>
                <w:t>OF OPERATIONS</w:t>
              </w:r>
            </w:hyperlink>
          </w:p>
        </w:tc>
        <w:tc>
          <w:tcPr>
            <w:tcW w:w="2380" w:type="dxa"/>
            <w:vAlign w:val="bottom"/>
            <w:gridSpan w:val="8"/>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79">
              <w:r>
                <w:rPr>
                  <w:rFonts w:ascii="Arial" w:cs="Arial" w:eastAsia="Arial" w:hAnsi="Arial"/>
                  <w:sz w:val="18"/>
                  <w:szCs w:val="18"/>
                  <w:color w:val="3E5588"/>
                </w:rPr>
                <w:t>77</w:t>
              </w:r>
            </w:hyperlink>
          </w:p>
        </w:tc>
      </w:tr>
      <w:tr>
        <w:trPr>
          <w:trHeight w:val="20"/>
        </w:trPr>
        <w:tc>
          <w:tcPr>
            <w:tcW w:w="180" w:type="dxa"/>
            <w:vAlign w:val="bottom"/>
          </w:tcPr>
          <w:p>
            <w:pPr>
              <w:spacing w:after="0" w:line="20" w:lineRule="exact"/>
              <w:rPr>
                <w:sz w:val="1"/>
                <w:szCs w:val="1"/>
                <w:color w:val="auto"/>
              </w:rPr>
            </w:pPr>
          </w:p>
        </w:tc>
        <w:tc>
          <w:tcPr>
            <w:tcW w:w="660" w:type="dxa"/>
            <w:vAlign w:val="bottom"/>
            <w:gridSpan w:val="2"/>
            <w:shd w:val="clear" w:color="auto" w:fill="3E5588"/>
          </w:tcPr>
          <w:p>
            <w:pPr>
              <w:spacing w:after="0" w:line="20" w:lineRule="exact"/>
              <w:rPr>
                <w:sz w:val="1"/>
                <w:szCs w:val="1"/>
                <w:color w:val="auto"/>
              </w:rPr>
            </w:pPr>
          </w:p>
        </w:tc>
        <w:tc>
          <w:tcPr>
            <w:tcW w:w="440" w:type="dxa"/>
            <w:vAlign w:val="bottom"/>
            <w:tcBorders>
              <w:left w:val="single" w:sz="8" w:color="3E5588"/>
            </w:tcBorders>
            <w:gridSpan w:val="2"/>
            <w:shd w:val="clear" w:color="auto" w:fill="3E5588"/>
          </w:tcPr>
          <w:p>
            <w:pPr>
              <w:spacing w:after="0" w:line="20" w:lineRule="exact"/>
              <w:rPr>
                <w:sz w:val="1"/>
                <w:szCs w:val="1"/>
                <w:color w:val="auto"/>
              </w:rPr>
            </w:pPr>
          </w:p>
        </w:tc>
        <w:tc>
          <w:tcPr>
            <w:tcW w:w="260" w:type="dxa"/>
            <w:vAlign w:val="bottom"/>
            <w:gridSpan w:val="2"/>
            <w:shd w:val="clear" w:color="auto" w:fill="3E5588"/>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3E5588"/>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3E5588"/>
                <w:w w:val="87"/>
              </w:rPr>
            </w:pPr>
            <w:hyperlink w:anchor="page95">
              <w:r>
                <w:rPr>
                  <w:rFonts w:ascii="Arial" w:cs="Arial" w:eastAsia="Arial" w:hAnsi="Arial"/>
                  <w:sz w:val="18"/>
                  <w:szCs w:val="18"/>
                  <w:color w:val="3E5588"/>
                  <w:w w:val="87"/>
                </w:rPr>
                <w:t>BUSINESS</w:t>
              </w:r>
            </w:hyperlink>
          </w:p>
        </w:tc>
        <w:tc>
          <w:tcPr>
            <w:tcW w:w="3080" w:type="dxa"/>
            <w:vAlign w:val="bottom"/>
            <w:gridSpan w:val="12"/>
          </w:tcPr>
          <w:p>
            <w:pPr>
              <w:spacing w:after="0"/>
              <w:rPr>
                <w:sz w:val="17"/>
                <w:szCs w:val="17"/>
                <w:color w:val="auto"/>
              </w:rPr>
            </w:pPr>
          </w:p>
        </w:tc>
        <w:tc>
          <w:tcPr>
            <w:tcW w:w="380" w:type="dxa"/>
            <w:vAlign w:val="bottom"/>
            <w:gridSpan w:val="4"/>
          </w:tcPr>
          <w:p>
            <w:pPr>
              <w:jc w:val="right"/>
              <w:spacing w:after="0" w:line="196" w:lineRule="exact"/>
              <w:rPr>
                <w:rFonts w:ascii="Arial" w:cs="Arial" w:eastAsia="Arial" w:hAnsi="Arial"/>
                <w:sz w:val="18"/>
                <w:szCs w:val="18"/>
                <w:color w:val="3E5588"/>
              </w:rPr>
            </w:pPr>
            <w:hyperlink w:anchor="page95">
              <w:r>
                <w:rPr>
                  <w:rFonts w:ascii="Arial" w:cs="Arial" w:eastAsia="Arial" w:hAnsi="Arial"/>
                  <w:sz w:val="18"/>
                  <w:szCs w:val="18"/>
                  <w:color w:val="3E5588"/>
                </w:rPr>
                <w:t>93</w:t>
              </w:r>
            </w:hyperlink>
          </w:p>
        </w:tc>
      </w:tr>
      <w:tr>
        <w:trPr>
          <w:trHeight w:val="20"/>
        </w:trPr>
        <w:tc>
          <w:tcPr>
            <w:tcW w:w="840" w:type="dxa"/>
            <w:vAlign w:val="bottom"/>
            <w:gridSpan w:val="3"/>
            <w:shd w:val="clear" w:color="auto" w:fill="3E5588"/>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3E5588"/>
          </w:tcPr>
          <w:p>
            <w:pPr>
              <w:spacing w:after="0" w:line="20" w:lineRule="exact"/>
              <w:rPr>
                <w:sz w:val="1"/>
                <w:szCs w:val="1"/>
                <w:color w:val="auto"/>
              </w:rPr>
            </w:pPr>
          </w:p>
        </w:tc>
      </w:tr>
      <w:tr>
        <w:trPr>
          <w:trHeight w:val="196"/>
        </w:trPr>
        <w:tc>
          <w:tcPr>
            <w:tcW w:w="1280" w:type="dxa"/>
            <w:vAlign w:val="bottom"/>
            <w:tcBorders>
              <w:bottom w:val="single" w:sz="8" w:color="3E5588"/>
            </w:tcBorders>
            <w:gridSpan w:val="5"/>
          </w:tcPr>
          <w:p>
            <w:pPr>
              <w:spacing w:after="0" w:line="196" w:lineRule="exact"/>
              <w:rPr>
                <w:rFonts w:ascii="Arial" w:cs="Arial" w:eastAsia="Arial" w:hAnsi="Arial"/>
                <w:sz w:val="18"/>
                <w:szCs w:val="18"/>
                <w:color w:val="3E5588"/>
                <w:w w:val="97"/>
              </w:rPr>
            </w:pPr>
            <w:hyperlink w:anchor="page157">
              <w:r>
                <w:rPr>
                  <w:rFonts w:ascii="Arial" w:cs="Arial" w:eastAsia="Arial" w:hAnsi="Arial"/>
                  <w:sz w:val="18"/>
                  <w:szCs w:val="18"/>
                  <w:color w:val="3E5588"/>
                  <w:w w:val="97"/>
                </w:rPr>
                <w:t>MANAGEMENT</w:t>
              </w:r>
            </w:hyperlink>
          </w:p>
        </w:tc>
        <w:tc>
          <w:tcPr>
            <w:tcW w:w="2640" w:type="dxa"/>
            <w:vAlign w:val="bottom"/>
            <w:gridSpan w:val="10"/>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3E5588"/>
            </w:tcBorders>
            <w:gridSpan w:val="3"/>
          </w:tcPr>
          <w:p>
            <w:pPr>
              <w:jc w:val="right"/>
              <w:spacing w:after="0" w:line="196" w:lineRule="exact"/>
              <w:rPr>
                <w:rFonts w:ascii="Arial" w:cs="Arial" w:eastAsia="Arial" w:hAnsi="Arial"/>
                <w:sz w:val="18"/>
                <w:szCs w:val="18"/>
                <w:color w:val="3E5588"/>
                <w:w w:val="86"/>
              </w:rPr>
            </w:pPr>
            <w:hyperlink w:anchor="page157">
              <w:r>
                <w:rPr>
                  <w:rFonts w:ascii="Arial" w:cs="Arial" w:eastAsia="Arial" w:hAnsi="Arial"/>
                  <w:sz w:val="18"/>
                  <w:szCs w:val="18"/>
                  <w:color w:val="3E5588"/>
                  <w:w w:val="86"/>
                </w:rPr>
                <w:t>155</w:t>
              </w:r>
            </w:hyperlink>
          </w:p>
        </w:tc>
      </w:tr>
      <w:tr>
        <w:trPr>
          <w:trHeight w:val="196"/>
        </w:trPr>
        <w:tc>
          <w:tcPr>
            <w:tcW w:w="2400" w:type="dxa"/>
            <w:vAlign w:val="bottom"/>
            <w:tcBorders>
              <w:bottom w:val="single" w:sz="8" w:color="3E5588"/>
            </w:tcBorders>
            <w:gridSpan w:val="9"/>
          </w:tcPr>
          <w:p>
            <w:pPr>
              <w:spacing w:after="0" w:line="196" w:lineRule="exact"/>
              <w:rPr>
                <w:rFonts w:ascii="Arial" w:cs="Arial" w:eastAsia="Arial" w:hAnsi="Arial"/>
                <w:sz w:val="18"/>
                <w:szCs w:val="18"/>
                <w:color w:val="3E5588"/>
                <w:w w:val="94"/>
              </w:rPr>
            </w:pPr>
            <w:hyperlink w:anchor="page163">
              <w:r>
                <w:rPr>
                  <w:rFonts w:ascii="Arial" w:cs="Arial" w:eastAsia="Arial" w:hAnsi="Arial"/>
                  <w:sz w:val="18"/>
                  <w:szCs w:val="18"/>
                  <w:color w:val="3E5588"/>
                  <w:w w:val="94"/>
                </w:rPr>
                <w:t>EXECUTIVE COMPENSATION</w:t>
              </w:r>
            </w:hyperlink>
          </w:p>
        </w:tc>
        <w:tc>
          <w:tcPr>
            <w:tcW w:w="15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3E5588"/>
            </w:tcBorders>
            <w:gridSpan w:val="3"/>
          </w:tcPr>
          <w:p>
            <w:pPr>
              <w:jc w:val="right"/>
              <w:spacing w:after="0" w:line="196" w:lineRule="exact"/>
              <w:rPr>
                <w:rFonts w:ascii="Arial" w:cs="Arial" w:eastAsia="Arial" w:hAnsi="Arial"/>
                <w:sz w:val="18"/>
                <w:szCs w:val="18"/>
                <w:color w:val="3E5588"/>
                <w:w w:val="86"/>
              </w:rPr>
            </w:pPr>
            <w:hyperlink w:anchor="page163">
              <w:r>
                <w:rPr>
                  <w:rFonts w:ascii="Arial" w:cs="Arial" w:eastAsia="Arial" w:hAnsi="Arial"/>
                  <w:sz w:val="18"/>
                  <w:szCs w:val="18"/>
                  <w:color w:val="3E5588"/>
                  <w:w w:val="86"/>
                </w:rPr>
                <w:t>161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154305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Borders>
              <w:bottom w:val="single" w:sz="8" w:color="3E5588"/>
            </w:tcBorders>
            <w:gridSpan w:val="12"/>
          </w:tcPr>
          <w:p>
            <w:pPr>
              <w:spacing w:after="0"/>
              <w:rPr>
                <w:rFonts w:ascii="Arial" w:cs="Arial" w:eastAsia="Arial" w:hAnsi="Arial"/>
                <w:sz w:val="18"/>
                <w:szCs w:val="18"/>
                <w:color w:val="3E5588"/>
                <w:w w:val="92"/>
              </w:rPr>
            </w:pPr>
            <w:hyperlink w:anchor="page180">
              <w:r>
                <w:rPr>
                  <w:rFonts w:ascii="Arial" w:cs="Arial" w:eastAsia="Arial" w:hAnsi="Arial"/>
                  <w:sz w:val="18"/>
                  <w:szCs w:val="18"/>
                  <w:color w:val="3E5588"/>
                  <w:w w:val="92"/>
                </w:rPr>
                <w:t>TRANSACTIONS WITH RELATED PERSONS</w:t>
              </w:r>
            </w:hyperlink>
          </w:p>
        </w:tc>
        <w:tc>
          <w:tcPr>
            <w:tcW w:w="560" w:type="dxa"/>
            <w:vAlign w:val="bottom"/>
            <w:gridSpan w:val="3"/>
          </w:tcPr>
          <w:p>
            <w:pPr>
              <w:spacing w:after="0"/>
              <w:rPr>
                <w:sz w:val="17"/>
                <w:szCs w:val="17"/>
                <w:color w:val="auto"/>
              </w:rPr>
            </w:pPr>
          </w:p>
        </w:tc>
        <w:tc>
          <w:tcPr>
            <w:tcW w:w="240" w:type="dxa"/>
            <w:vAlign w:val="bottom"/>
            <w:tcBorders>
              <w:bottom w:val="single" w:sz="8" w:color="3E5588"/>
            </w:tcBorders>
          </w:tcPr>
          <w:p>
            <w:pPr>
              <w:jc w:val="right"/>
              <w:spacing w:after="0"/>
              <w:rPr>
                <w:rFonts w:ascii="Arial" w:cs="Arial" w:eastAsia="Arial" w:hAnsi="Arial"/>
                <w:sz w:val="18"/>
                <w:szCs w:val="18"/>
                <w:color w:val="3E5588"/>
                <w:w w:val="73"/>
              </w:rPr>
            </w:pPr>
            <w:hyperlink w:anchor="page180">
              <w:r>
                <w:rPr>
                  <w:rFonts w:ascii="Arial" w:cs="Arial" w:eastAsia="Arial" w:hAnsi="Arial"/>
                  <w:sz w:val="18"/>
                  <w:szCs w:val="18"/>
                  <w:color w:val="3E5588"/>
                  <w:w w:val="73"/>
                </w:rPr>
                <w:t>178</w:t>
              </w:r>
            </w:hyperlink>
          </w:p>
        </w:tc>
      </w:tr>
      <w:tr>
        <w:trPr>
          <w:trHeight w:val="196"/>
        </w:trPr>
        <w:tc>
          <w:tcPr>
            <w:tcW w:w="2320" w:type="dxa"/>
            <w:vAlign w:val="bottom"/>
            <w:tcBorders>
              <w:bottom w:val="single" w:sz="8" w:color="3E5588"/>
            </w:tcBorders>
            <w:gridSpan w:val="6"/>
          </w:tcPr>
          <w:p>
            <w:pPr>
              <w:spacing w:after="0" w:line="196" w:lineRule="exact"/>
              <w:rPr>
                <w:rFonts w:ascii="Arial" w:cs="Arial" w:eastAsia="Arial" w:hAnsi="Arial"/>
                <w:sz w:val="18"/>
                <w:szCs w:val="18"/>
                <w:color w:val="3E5588"/>
                <w:w w:val="92"/>
              </w:rPr>
            </w:pPr>
            <w:hyperlink w:anchor="page184">
              <w:r>
                <w:rPr>
                  <w:rFonts w:ascii="Arial" w:cs="Arial" w:eastAsia="Arial" w:hAnsi="Arial"/>
                  <w:sz w:val="18"/>
                  <w:szCs w:val="18"/>
                  <w:color w:val="3E5588"/>
                  <w:w w:val="92"/>
                </w:rPr>
                <w:t>PRINCIPAL STOCKHOLDERS</w:t>
              </w:r>
            </w:hyperlink>
          </w:p>
        </w:tc>
        <w:tc>
          <w:tcPr>
            <w:tcW w:w="1720" w:type="dxa"/>
            <w:vAlign w:val="bottom"/>
            <w:gridSpan w:val="9"/>
          </w:tcPr>
          <w:p>
            <w:pPr>
              <w:spacing w:after="0"/>
              <w:rPr>
                <w:sz w:val="17"/>
                <w:szCs w:val="17"/>
                <w:color w:val="auto"/>
              </w:rPr>
            </w:pPr>
          </w:p>
        </w:tc>
        <w:tc>
          <w:tcPr>
            <w:tcW w:w="240" w:type="dxa"/>
            <w:vAlign w:val="bottom"/>
            <w:tcBorders>
              <w:bottom w:val="single" w:sz="8" w:color="3E5588"/>
            </w:tcBorders>
          </w:tcPr>
          <w:p>
            <w:pPr>
              <w:jc w:val="right"/>
              <w:spacing w:after="0" w:line="196" w:lineRule="exact"/>
              <w:rPr>
                <w:rFonts w:ascii="Arial" w:cs="Arial" w:eastAsia="Arial" w:hAnsi="Arial"/>
                <w:sz w:val="18"/>
                <w:szCs w:val="18"/>
                <w:color w:val="3E5588"/>
                <w:w w:val="73"/>
              </w:rPr>
            </w:pPr>
            <w:hyperlink w:anchor="page184">
              <w:r>
                <w:rPr>
                  <w:rFonts w:ascii="Arial" w:cs="Arial" w:eastAsia="Arial" w:hAnsi="Arial"/>
                  <w:sz w:val="18"/>
                  <w:szCs w:val="18"/>
                  <w:color w:val="3E5588"/>
                  <w:w w:val="73"/>
                </w:rPr>
                <w:t>182</w:t>
              </w:r>
            </w:hyperlink>
          </w:p>
        </w:tc>
      </w:tr>
      <w:tr>
        <w:trPr>
          <w:trHeight w:val="196"/>
        </w:trPr>
        <w:tc>
          <w:tcPr>
            <w:tcW w:w="2800" w:type="dxa"/>
            <w:vAlign w:val="bottom"/>
            <w:tcBorders>
              <w:bottom w:val="single" w:sz="8" w:color="3E5588"/>
            </w:tcBorders>
            <w:gridSpan w:val="7"/>
          </w:tcPr>
          <w:p>
            <w:pPr>
              <w:spacing w:after="0" w:line="196" w:lineRule="exact"/>
              <w:rPr>
                <w:rFonts w:ascii="Arial" w:cs="Arial" w:eastAsia="Arial" w:hAnsi="Arial"/>
                <w:sz w:val="18"/>
                <w:szCs w:val="18"/>
                <w:color w:val="3E5588"/>
                <w:w w:val="92"/>
              </w:rPr>
            </w:pPr>
            <w:hyperlink w:anchor="page186">
              <w:r>
                <w:rPr>
                  <w:rFonts w:ascii="Arial" w:cs="Arial" w:eastAsia="Arial" w:hAnsi="Arial"/>
                  <w:sz w:val="18"/>
                  <w:szCs w:val="18"/>
                  <w:color w:val="3E5588"/>
                  <w:w w:val="92"/>
                </w:rPr>
                <w:t>DESCRIPTION OF CAPITAL STOCK</w:t>
              </w:r>
            </w:hyperlink>
          </w:p>
        </w:tc>
        <w:tc>
          <w:tcPr>
            <w:tcW w:w="1240" w:type="dxa"/>
            <w:vAlign w:val="bottom"/>
            <w:gridSpan w:val="8"/>
          </w:tcPr>
          <w:p>
            <w:pPr>
              <w:spacing w:after="0"/>
              <w:rPr>
                <w:sz w:val="17"/>
                <w:szCs w:val="17"/>
                <w:color w:val="auto"/>
              </w:rPr>
            </w:pPr>
          </w:p>
        </w:tc>
        <w:tc>
          <w:tcPr>
            <w:tcW w:w="240" w:type="dxa"/>
            <w:vAlign w:val="bottom"/>
            <w:tcBorders>
              <w:bottom w:val="single" w:sz="8" w:color="3E5588"/>
            </w:tcBorders>
          </w:tcPr>
          <w:p>
            <w:pPr>
              <w:jc w:val="right"/>
              <w:spacing w:after="0" w:line="196" w:lineRule="exact"/>
              <w:rPr>
                <w:rFonts w:ascii="Arial" w:cs="Arial" w:eastAsia="Arial" w:hAnsi="Arial"/>
                <w:sz w:val="18"/>
                <w:szCs w:val="18"/>
                <w:color w:val="3E5588"/>
                <w:w w:val="73"/>
              </w:rPr>
            </w:pPr>
            <w:hyperlink w:anchor="page186">
              <w:r>
                <w:rPr>
                  <w:rFonts w:ascii="Arial" w:cs="Arial" w:eastAsia="Arial" w:hAnsi="Arial"/>
                  <w:sz w:val="18"/>
                  <w:szCs w:val="18"/>
                  <w:color w:val="3E5588"/>
                  <w:w w:val="73"/>
                </w:rPr>
                <w:t>184</w:t>
              </w:r>
            </w:hyperlink>
          </w:p>
        </w:tc>
      </w:tr>
      <w:tr>
        <w:trPr>
          <w:trHeight w:val="196"/>
        </w:trPr>
        <w:tc>
          <w:tcPr>
            <w:tcW w:w="3100" w:type="dxa"/>
            <w:vAlign w:val="bottom"/>
            <w:tcBorders>
              <w:bottom w:val="single" w:sz="8" w:color="3E5588"/>
            </w:tcBorders>
            <w:gridSpan w:val="9"/>
          </w:tcPr>
          <w:p>
            <w:pPr>
              <w:spacing w:after="0" w:line="196" w:lineRule="exact"/>
              <w:rPr>
                <w:rFonts w:ascii="Arial" w:cs="Arial" w:eastAsia="Arial" w:hAnsi="Arial"/>
                <w:sz w:val="18"/>
                <w:szCs w:val="18"/>
                <w:color w:val="3E5588"/>
                <w:w w:val="93"/>
              </w:rPr>
            </w:pPr>
            <w:hyperlink w:anchor="page190">
              <w:r>
                <w:rPr>
                  <w:rFonts w:ascii="Arial" w:cs="Arial" w:eastAsia="Arial" w:hAnsi="Arial"/>
                  <w:sz w:val="18"/>
                  <w:szCs w:val="18"/>
                  <w:color w:val="3E5588"/>
                  <w:w w:val="93"/>
                </w:rPr>
                <w:t>SHARES ELIGIBLE FOR FUTURE SALE</w:t>
              </w:r>
            </w:hyperlink>
          </w:p>
        </w:tc>
        <w:tc>
          <w:tcPr>
            <w:tcW w:w="940" w:type="dxa"/>
            <w:vAlign w:val="bottom"/>
            <w:gridSpan w:val="6"/>
          </w:tcPr>
          <w:p>
            <w:pPr>
              <w:spacing w:after="0"/>
              <w:rPr>
                <w:sz w:val="17"/>
                <w:szCs w:val="17"/>
                <w:color w:val="auto"/>
              </w:rPr>
            </w:pPr>
          </w:p>
        </w:tc>
        <w:tc>
          <w:tcPr>
            <w:tcW w:w="240" w:type="dxa"/>
            <w:vAlign w:val="bottom"/>
            <w:tcBorders>
              <w:bottom w:val="single" w:sz="8" w:color="3E5588"/>
            </w:tcBorders>
          </w:tcPr>
          <w:p>
            <w:pPr>
              <w:jc w:val="right"/>
              <w:spacing w:after="0" w:line="196" w:lineRule="exact"/>
              <w:rPr>
                <w:rFonts w:ascii="Arial" w:cs="Arial" w:eastAsia="Arial" w:hAnsi="Arial"/>
                <w:sz w:val="18"/>
                <w:szCs w:val="18"/>
                <w:color w:val="3E5588"/>
                <w:w w:val="73"/>
              </w:rPr>
            </w:pPr>
            <w:hyperlink w:anchor="page190">
              <w:r>
                <w:rPr>
                  <w:rFonts w:ascii="Arial" w:cs="Arial" w:eastAsia="Arial" w:hAnsi="Arial"/>
                  <w:sz w:val="18"/>
                  <w:szCs w:val="18"/>
                  <w:color w:val="3E5588"/>
                  <w:w w:val="73"/>
                </w:rPr>
                <w:t>188</w:t>
              </w:r>
            </w:hyperlink>
          </w:p>
        </w:tc>
      </w:tr>
      <w:tr>
        <w:trPr>
          <w:trHeight w:val="196"/>
        </w:trPr>
        <w:tc>
          <w:tcPr>
            <w:tcW w:w="3240" w:type="dxa"/>
            <w:vAlign w:val="bottom"/>
            <w:tcBorders>
              <w:bottom w:val="single" w:sz="8" w:color="3E5588"/>
            </w:tcBorders>
            <w:gridSpan w:val="11"/>
          </w:tcPr>
          <w:p>
            <w:pPr>
              <w:spacing w:after="0" w:line="196" w:lineRule="exact"/>
              <w:rPr>
                <w:rFonts w:ascii="Arial" w:cs="Arial" w:eastAsia="Arial" w:hAnsi="Arial"/>
                <w:sz w:val="18"/>
                <w:szCs w:val="18"/>
                <w:color w:val="3E5588"/>
                <w:w w:val="95"/>
              </w:rPr>
            </w:pPr>
            <w:hyperlink w:anchor="page192">
              <w:r>
                <w:rPr>
                  <w:rFonts w:ascii="Arial" w:cs="Arial" w:eastAsia="Arial" w:hAnsi="Arial"/>
                  <w:sz w:val="18"/>
                  <w:szCs w:val="18"/>
                  <w:color w:val="3E5588"/>
                  <w:w w:val="95"/>
                </w:rPr>
                <w:t>MATERIAL U.S. FEDERAL INCOME AND</w:t>
              </w:r>
            </w:hyperlink>
          </w:p>
        </w:tc>
        <w:tc>
          <w:tcPr>
            <w:tcW w:w="800" w:type="dxa"/>
            <w:vAlign w:val="bottom"/>
            <w:gridSpan w:val="4"/>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860" w:type="dxa"/>
            <w:vAlign w:val="bottom"/>
            <w:gridSpan w:val="14"/>
          </w:tcPr>
          <w:p>
            <w:pPr>
              <w:spacing w:after="0" w:line="196" w:lineRule="exact"/>
              <w:rPr>
                <w:rFonts w:ascii="Arial" w:cs="Arial" w:eastAsia="Arial" w:hAnsi="Arial"/>
                <w:sz w:val="18"/>
                <w:szCs w:val="18"/>
                <w:color w:val="3E5588"/>
              </w:rPr>
            </w:pPr>
            <w:hyperlink w:anchor="page192">
              <w:r>
                <w:rPr>
                  <w:rFonts w:ascii="Arial" w:cs="Arial" w:eastAsia="Arial" w:hAnsi="Arial"/>
                  <w:sz w:val="18"/>
                  <w:szCs w:val="18"/>
                  <w:color w:val="3E5588"/>
                </w:rPr>
                <w:t>ESTATE TAX CONSIDERATIONS FOR NON-</w:t>
              </w:r>
            </w:hyperlink>
          </w:p>
        </w:tc>
        <w:tc>
          <w:tcPr>
            <w:tcW w:w="2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3420" w:type="dxa"/>
            <w:vAlign w:val="bottom"/>
            <w:tcBorders>
              <w:top w:val="single" w:sz="8" w:color="3E5588"/>
            </w:tcBorders>
            <w:gridSpan w:val="12"/>
          </w:tcPr>
          <w:p>
            <w:pPr>
              <w:spacing w:after="0" w:line="196" w:lineRule="exact"/>
              <w:rPr>
                <w:rFonts w:ascii="Arial" w:cs="Arial" w:eastAsia="Arial" w:hAnsi="Arial"/>
                <w:sz w:val="18"/>
                <w:szCs w:val="18"/>
                <w:color w:val="3E5588"/>
              </w:rPr>
            </w:pPr>
            <w:hyperlink w:anchor="page192">
              <w:r>
                <w:rPr>
                  <w:rFonts w:ascii="Arial" w:cs="Arial" w:eastAsia="Arial" w:hAnsi="Arial"/>
                  <w:sz w:val="18"/>
                  <w:szCs w:val="18"/>
                  <w:color w:val="3E5588"/>
                </w:rPr>
                <w:t>U.S. HOLDERS OF COMMON STOCK</w:t>
              </w:r>
            </w:hyperlink>
          </w:p>
        </w:tc>
        <w:tc>
          <w:tcPr>
            <w:tcW w:w="440" w:type="dxa"/>
            <w:vAlign w:val="bottom"/>
            <w:gridSpan w:val="2"/>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3E5588"/>
                <w:w w:val="73"/>
              </w:rPr>
            </w:pPr>
            <w:hyperlink w:anchor="page192">
              <w:r>
                <w:rPr>
                  <w:rFonts w:ascii="Arial" w:cs="Arial" w:eastAsia="Arial" w:hAnsi="Arial"/>
                  <w:sz w:val="18"/>
                  <w:szCs w:val="18"/>
                  <w:color w:val="3E5588"/>
                  <w:w w:val="73"/>
                </w:rPr>
                <w:t>190</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60" w:type="dxa"/>
            <w:vAlign w:val="bottom"/>
            <w:shd w:val="clear" w:color="auto" w:fill="3E5588"/>
          </w:tcPr>
          <w:p>
            <w:pPr>
              <w:spacing w:after="0" w:line="20" w:lineRule="exact"/>
              <w:rPr>
                <w:sz w:val="1"/>
                <w:szCs w:val="1"/>
                <w:color w:val="auto"/>
              </w:rPr>
            </w:pPr>
          </w:p>
        </w:tc>
        <w:tc>
          <w:tcPr>
            <w:tcW w:w="1660" w:type="dxa"/>
            <w:vAlign w:val="bottom"/>
            <w:gridSpan w:val="3"/>
            <w:shd w:val="clear" w:color="auto" w:fill="3E558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3E5588"/>
            </w:tcBorders>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r>
      <w:tr>
        <w:trPr>
          <w:trHeight w:val="196"/>
        </w:trPr>
        <w:tc>
          <w:tcPr>
            <w:tcW w:w="4040" w:type="dxa"/>
            <w:vAlign w:val="bottom"/>
            <w:gridSpan w:val="15"/>
          </w:tcPr>
          <w:p>
            <w:pPr>
              <w:spacing w:after="0" w:line="196" w:lineRule="exact"/>
              <w:rPr>
                <w:rFonts w:ascii="Arial" w:cs="Arial" w:eastAsia="Arial" w:hAnsi="Arial"/>
                <w:sz w:val="18"/>
                <w:szCs w:val="18"/>
                <w:color w:val="3E5588"/>
              </w:rPr>
            </w:pPr>
            <w:hyperlink w:anchor="page196">
              <w:r>
                <w:rPr>
                  <w:rFonts w:ascii="Arial" w:cs="Arial" w:eastAsia="Arial" w:hAnsi="Arial"/>
                  <w:sz w:val="18"/>
                  <w:szCs w:val="18"/>
                  <w:color w:val="3E5588"/>
                </w:rPr>
                <w:t>UNDERWRITERS</w:t>
              </w:r>
            </w:hyperlink>
          </w:p>
        </w:tc>
        <w:tc>
          <w:tcPr>
            <w:tcW w:w="240" w:type="dxa"/>
            <w:vAlign w:val="bottom"/>
          </w:tcPr>
          <w:p>
            <w:pPr>
              <w:jc w:val="right"/>
              <w:spacing w:after="0" w:line="196" w:lineRule="exact"/>
              <w:rPr>
                <w:rFonts w:ascii="Arial" w:cs="Arial" w:eastAsia="Arial" w:hAnsi="Arial"/>
                <w:sz w:val="18"/>
                <w:szCs w:val="18"/>
                <w:color w:val="3E5588"/>
                <w:w w:val="73"/>
              </w:rPr>
            </w:pPr>
            <w:hyperlink w:anchor="page196">
              <w:r>
                <w:rPr>
                  <w:rFonts w:ascii="Arial" w:cs="Arial" w:eastAsia="Arial" w:hAnsi="Arial"/>
                  <w:sz w:val="18"/>
                  <w:szCs w:val="18"/>
                  <w:color w:val="3E5588"/>
                  <w:w w:val="73"/>
                </w:rPr>
                <w:t>194</w:t>
              </w:r>
            </w:hyperlink>
          </w:p>
        </w:tc>
      </w:tr>
      <w:tr>
        <w:trPr>
          <w:trHeight w:val="20"/>
        </w:trPr>
        <w:tc>
          <w:tcPr>
            <w:tcW w:w="740" w:type="dxa"/>
            <w:vAlign w:val="bottom"/>
            <w:gridSpan w:val="2"/>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3E5588"/>
            </w:tcBorders>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r>
      <w:tr>
        <w:trPr>
          <w:trHeight w:val="196"/>
        </w:trPr>
        <w:tc>
          <w:tcPr>
            <w:tcW w:w="1420" w:type="dxa"/>
            <w:vAlign w:val="bottom"/>
            <w:tcBorders>
              <w:bottom w:val="single" w:sz="8" w:color="3E5588"/>
            </w:tcBorders>
            <w:gridSpan w:val="5"/>
          </w:tcPr>
          <w:p>
            <w:pPr>
              <w:spacing w:after="0" w:line="196" w:lineRule="exact"/>
              <w:rPr>
                <w:rFonts w:ascii="Arial" w:cs="Arial" w:eastAsia="Arial" w:hAnsi="Arial"/>
                <w:sz w:val="18"/>
                <w:szCs w:val="18"/>
                <w:color w:val="3E5588"/>
                <w:w w:val="93"/>
              </w:rPr>
            </w:pPr>
            <w:hyperlink w:anchor="page206">
              <w:r>
                <w:rPr>
                  <w:rFonts w:ascii="Arial" w:cs="Arial" w:eastAsia="Arial" w:hAnsi="Arial"/>
                  <w:sz w:val="18"/>
                  <w:szCs w:val="18"/>
                  <w:color w:val="3E5588"/>
                  <w:w w:val="93"/>
                </w:rPr>
                <w:t>LEGAL MATTERS</w:t>
              </w:r>
            </w:hyperlink>
          </w:p>
        </w:tc>
        <w:tc>
          <w:tcPr>
            <w:tcW w:w="2620" w:type="dxa"/>
            <w:vAlign w:val="bottom"/>
            <w:gridSpan w:val="10"/>
          </w:tcPr>
          <w:p>
            <w:pPr>
              <w:spacing w:after="0"/>
              <w:rPr>
                <w:sz w:val="17"/>
                <w:szCs w:val="17"/>
                <w:color w:val="auto"/>
              </w:rPr>
            </w:pPr>
          </w:p>
        </w:tc>
        <w:tc>
          <w:tcPr>
            <w:tcW w:w="240" w:type="dxa"/>
            <w:vAlign w:val="bottom"/>
            <w:tcBorders>
              <w:bottom w:val="single" w:sz="8" w:color="3E5588"/>
            </w:tcBorders>
          </w:tcPr>
          <w:p>
            <w:pPr>
              <w:jc w:val="right"/>
              <w:spacing w:after="0" w:line="196" w:lineRule="exact"/>
              <w:rPr>
                <w:rFonts w:ascii="Arial" w:cs="Arial" w:eastAsia="Arial" w:hAnsi="Arial"/>
                <w:sz w:val="18"/>
                <w:szCs w:val="18"/>
                <w:color w:val="3E5588"/>
                <w:w w:val="73"/>
              </w:rPr>
            </w:pPr>
            <w:hyperlink w:anchor="page206">
              <w:r>
                <w:rPr>
                  <w:rFonts w:ascii="Arial" w:cs="Arial" w:eastAsia="Arial" w:hAnsi="Arial"/>
                  <w:sz w:val="18"/>
                  <w:szCs w:val="18"/>
                  <w:color w:val="3E5588"/>
                  <w:w w:val="73"/>
                </w:rPr>
                <w:t>204</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3E5588"/>
              </w:rPr>
            </w:pPr>
            <w:hyperlink w:anchor="page206">
              <w:r>
                <w:rPr>
                  <w:rFonts w:ascii="Arial" w:cs="Arial" w:eastAsia="Arial" w:hAnsi="Arial"/>
                  <w:sz w:val="18"/>
                  <w:szCs w:val="18"/>
                  <w:color w:val="3E5588"/>
                </w:rPr>
                <w:t>EXPERTS</w:t>
              </w:r>
            </w:hyperlink>
          </w:p>
        </w:tc>
        <w:tc>
          <w:tcPr>
            <w:tcW w:w="240" w:type="dxa"/>
            <w:vAlign w:val="bottom"/>
          </w:tcPr>
          <w:p>
            <w:pPr>
              <w:jc w:val="right"/>
              <w:spacing w:after="0" w:line="196" w:lineRule="exact"/>
              <w:rPr>
                <w:rFonts w:ascii="Arial" w:cs="Arial" w:eastAsia="Arial" w:hAnsi="Arial"/>
                <w:sz w:val="18"/>
                <w:szCs w:val="18"/>
                <w:color w:val="3E5588"/>
                <w:w w:val="73"/>
              </w:rPr>
            </w:pPr>
            <w:hyperlink w:anchor="page206">
              <w:r>
                <w:rPr>
                  <w:rFonts w:ascii="Arial" w:cs="Arial" w:eastAsia="Arial" w:hAnsi="Arial"/>
                  <w:sz w:val="18"/>
                  <w:szCs w:val="18"/>
                  <w:color w:val="3E5588"/>
                  <w:w w:val="73"/>
                </w:rPr>
                <w:t>204</w:t>
              </w:r>
            </w:hyperlink>
          </w:p>
        </w:tc>
      </w:tr>
      <w:tr>
        <w:trPr>
          <w:trHeight w:val="20"/>
        </w:trPr>
        <w:tc>
          <w:tcPr>
            <w:tcW w:w="740" w:type="dxa"/>
            <w:vAlign w:val="bottom"/>
            <w:gridSpan w:val="2"/>
            <w:shd w:val="clear" w:color="auto" w:fill="3E558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tcBorders>
              <w:right w:val="single" w:sz="8" w:color="3E5588"/>
            </w:tcBorders>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r>
      <w:tr>
        <w:trPr>
          <w:trHeight w:val="196"/>
        </w:trPr>
        <w:tc>
          <w:tcPr>
            <w:tcW w:w="3720" w:type="dxa"/>
            <w:vAlign w:val="bottom"/>
            <w:tcBorders>
              <w:bottom w:val="single" w:sz="8" w:color="3E5588"/>
            </w:tcBorders>
            <w:gridSpan w:val="14"/>
          </w:tcPr>
          <w:p>
            <w:pPr>
              <w:spacing w:after="0" w:line="196" w:lineRule="exact"/>
              <w:rPr>
                <w:rFonts w:ascii="Arial" w:cs="Arial" w:eastAsia="Arial" w:hAnsi="Arial"/>
                <w:sz w:val="18"/>
                <w:szCs w:val="18"/>
                <w:color w:val="3E5588"/>
                <w:w w:val="94"/>
              </w:rPr>
            </w:pPr>
            <w:hyperlink w:anchor="page206">
              <w:r>
                <w:rPr>
                  <w:rFonts w:ascii="Arial" w:cs="Arial" w:eastAsia="Arial" w:hAnsi="Arial"/>
                  <w:sz w:val="18"/>
                  <w:szCs w:val="18"/>
                  <w:color w:val="3E5588"/>
                  <w:w w:val="94"/>
                </w:rPr>
                <w:t>WHERE YOU CAN FIND MORE INFORMATION</w:t>
              </w:r>
            </w:hyperlink>
          </w:p>
        </w:tc>
        <w:tc>
          <w:tcPr>
            <w:tcW w:w="320" w:type="dxa"/>
            <w:vAlign w:val="bottom"/>
          </w:tcPr>
          <w:p>
            <w:pPr>
              <w:spacing w:after="0"/>
              <w:rPr>
                <w:sz w:val="17"/>
                <w:szCs w:val="17"/>
                <w:color w:val="auto"/>
              </w:rPr>
            </w:pPr>
          </w:p>
        </w:tc>
        <w:tc>
          <w:tcPr>
            <w:tcW w:w="240" w:type="dxa"/>
            <w:vAlign w:val="bottom"/>
            <w:tcBorders>
              <w:bottom w:val="single" w:sz="8" w:color="3E5588"/>
            </w:tcBorders>
          </w:tcPr>
          <w:p>
            <w:pPr>
              <w:jc w:val="right"/>
              <w:spacing w:after="0" w:line="196" w:lineRule="exact"/>
              <w:rPr>
                <w:rFonts w:ascii="Arial" w:cs="Arial" w:eastAsia="Arial" w:hAnsi="Arial"/>
                <w:sz w:val="18"/>
                <w:szCs w:val="18"/>
                <w:color w:val="3E5588"/>
                <w:w w:val="73"/>
              </w:rPr>
            </w:pPr>
            <w:hyperlink w:anchor="page206">
              <w:r>
                <w:rPr>
                  <w:rFonts w:ascii="Arial" w:cs="Arial" w:eastAsia="Arial" w:hAnsi="Arial"/>
                  <w:sz w:val="18"/>
                  <w:szCs w:val="18"/>
                  <w:color w:val="3E5588"/>
                  <w:w w:val="73"/>
                </w:rPr>
                <w:t>204</w:t>
              </w:r>
            </w:hyperlink>
          </w:p>
        </w:tc>
      </w:tr>
      <w:tr>
        <w:trPr>
          <w:trHeight w:val="196"/>
        </w:trPr>
        <w:tc>
          <w:tcPr>
            <w:tcW w:w="4040" w:type="dxa"/>
            <w:vAlign w:val="bottom"/>
            <w:gridSpan w:val="15"/>
          </w:tcPr>
          <w:p>
            <w:pPr>
              <w:spacing w:after="0" w:line="196" w:lineRule="exact"/>
              <w:rPr>
                <w:rFonts w:ascii="Arial" w:cs="Arial" w:eastAsia="Arial" w:hAnsi="Arial"/>
                <w:sz w:val="18"/>
                <w:szCs w:val="18"/>
                <w:color w:val="3E5588"/>
              </w:rPr>
            </w:pPr>
            <w:hyperlink w:anchor="page207">
              <w:r>
                <w:rPr>
                  <w:rFonts w:ascii="Arial" w:cs="Arial" w:eastAsia="Arial" w:hAnsi="Arial"/>
                  <w:sz w:val="18"/>
                  <w:szCs w:val="18"/>
                  <w:color w:val="3E5588"/>
                </w:rPr>
                <w:t>INDEX TO CONSOLIDATED FINANCIAL</w:t>
              </w:r>
            </w:hyperlink>
          </w:p>
        </w:tc>
        <w:tc>
          <w:tcPr>
            <w:tcW w:w="240" w:type="dxa"/>
            <w:vAlign w:val="bottom"/>
          </w:tcPr>
          <w:p>
            <w:pPr>
              <w:spacing w:after="0"/>
              <w:rPr>
                <w:sz w:val="17"/>
                <w:szCs w:val="17"/>
                <w:color w:val="auto"/>
              </w:rPr>
            </w:pPr>
          </w:p>
        </w:tc>
      </w:tr>
      <w:tr>
        <w:trPr>
          <w:trHeight w:val="196"/>
        </w:trPr>
        <w:tc>
          <w:tcPr>
            <w:tcW w:w="180" w:type="dxa"/>
            <w:vAlign w:val="bottom"/>
            <w:tcBorders>
              <w:top w:val="single" w:sz="8" w:color="3E5588"/>
            </w:tcBorders>
          </w:tcPr>
          <w:p>
            <w:pPr>
              <w:spacing w:after="0"/>
              <w:rPr>
                <w:sz w:val="17"/>
                <w:szCs w:val="17"/>
                <w:color w:val="auto"/>
              </w:rPr>
            </w:pPr>
          </w:p>
        </w:tc>
        <w:tc>
          <w:tcPr>
            <w:tcW w:w="3000" w:type="dxa"/>
            <w:vAlign w:val="bottom"/>
            <w:tcBorders>
              <w:top w:val="single" w:sz="8" w:color="3E5588"/>
            </w:tcBorders>
            <w:gridSpan w:val="9"/>
          </w:tcPr>
          <w:p>
            <w:pPr>
              <w:spacing w:after="0" w:line="196" w:lineRule="exact"/>
              <w:rPr>
                <w:rFonts w:ascii="Arial" w:cs="Arial" w:eastAsia="Arial" w:hAnsi="Arial"/>
                <w:sz w:val="18"/>
                <w:szCs w:val="18"/>
                <w:color w:val="3E5588"/>
              </w:rPr>
            </w:pPr>
            <w:hyperlink w:anchor="page207">
              <w:r>
                <w:rPr>
                  <w:rFonts w:ascii="Arial" w:cs="Arial" w:eastAsia="Arial" w:hAnsi="Arial"/>
                  <w:sz w:val="18"/>
                  <w:szCs w:val="18"/>
                  <w:color w:val="3E5588"/>
                </w:rPr>
                <w:t>STATEMENTS</w:t>
              </w:r>
            </w:hyperlink>
          </w:p>
        </w:tc>
        <w:tc>
          <w:tcPr>
            <w:tcW w:w="860" w:type="dxa"/>
            <w:vAlign w:val="bottom"/>
            <w:gridSpan w:val="5"/>
          </w:tcPr>
          <w:p>
            <w:pPr>
              <w:spacing w:after="0"/>
              <w:rPr>
                <w:sz w:val="17"/>
                <w:szCs w:val="17"/>
                <w:color w:val="auto"/>
              </w:rPr>
            </w:pPr>
          </w:p>
        </w:tc>
        <w:tc>
          <w:tcPr>
            <w:tcW w:w="240" w:type="dxa"/>
            <w:vAlign w:val="bottom"/>
          </w:tcPr>
          <w:p>
            <w:pPr>
              <w:jc w:val="right"/>
              <w:spacing w:after="0" w:line="196" w:lineRule="exact"/>
              <w:rPr>
                <w:rFonts w:ascii="Arial" w:cs="Arial" w:eastAsia="Arial" w:hAnsi="Arial"/>
                <w:sz w:val="18"/>
                <w:szCs w:val="18"/>
                <w:color w:val="3E5588"/>
                <w:w w:val="81"/>
              </w:rPr>
            </w:pPr>
            <w:hyperlink w:anchor="page207">
              <w:r>
                <w:rPr>
                  <w:rFonts w:ascii="Arial" w:cs="Arial" w:eastAsia="Arial" w:hAnsi="Arial"/>
                  <w:sz w:val="18"/>
                  <w:szCs w:val="18"/>
                  <w:color w:val="3E5588"/>
                  <w:w w:val="81"/>
                </w:rPr>
                <w:t>F-1</w:t>
              </w:r>
            </w:hyperlink>
          </w:p>
        </w:tc>
      </w:tr>
      <w:tr>
        <w:trPr>
          <w:trHeight w:val="20"/>
        </w:trPr>
        <w:tc>
          <w:tcPr>
            <w:tcW w:w="180" w:type="dxa"/>
            <w:vAlign w:val="bottom"/>
          </w:tcPr>
          <w:p>
            <w:pPr>
              <w:spacing w:after="0" w:line="20" w:lineRule="exact"/>
              <w:rPr>
                <w:sz w:val="1"/>
                <w:szCs w:val="1"/>
                <w:color w:val="auto"/>
              </w:rPr>
            </w:pPr>
          </w:p>
        </w:tc>
        <w:tc>
          <w:tcPr>
            <w:tcW w:w="56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r>
    </w:tbl>
    <w:p>
      <w:pPr>
        <w:spacing w:after="0" w:line="848" w:lineRule="exact"/>
        <w:rPr>
          <w:sz w:val="20"/>
          <w:szCs w:val="20"/>
          <w:color w:val="auto"/>
        </w:rPr>
      </w:pPr>
    </w:p>
    <w:p>
      <w:pPr>
        <w:sectPr>
          <w:pgSz w:w="11900" w:h="16838" w:orient="portrait"/>
          <w:cols w:equalWidth="0" w:num="2">
            <w:col w:w="5880" w:space="720"/>
            <w:col w:w="4820"/>
          </w:cols>
          <w:pgMar w:left="240" w:top="341" w:right="2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3E5588"/>
        </w:rPr>
        <w:t>Neither we nor the underwriters have authorized anyone to provide you with any information other than that contained in this prospectus, any amendment or supplement to this prospectus or in any free writing prospectus we may authorize to be delivered or made available to you. We and the underwriters take no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jc w:val="both"/>
        <w:ind w:firstLine="550"/>
        <w:spacing w:after="0" w:line="256" w:lineRule="auto"/>
        <w:rPr>
          <w:sz w:val="20"/>
          <w:szCs w:val="20"/>
          <w:color w:val="auto"/>
        </w:rPr>
      </w:pPr>
      <w:r>
        <w:rPr>
          <w:rFonts w:ascii="Arial" w:cs="Arial" w:eastAsia="Arial" w:hAnsi="Arial"/>
          <w:sz w:val="18"/>
          <w:szCs w:val="18"/>
          <w:color w:val="3E5588"/>
        </w:rPr>
        <w:t>For investors outside the United States: 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jc w:val="both"/>
        <w:ind w:right="20" w:firstLine="438"/>
        <w:spacing w:after="0" w:line="268" w:lineRule="auto"/>
        <w:rPr>
          <w:sz w:val="20"/>
          <w:szCs w:val="20"/>
          <w:color w:val="auto"/>
        </w:rPr>
      </w:pPr>
      <w:r>
        <w:rPr>
          <w:rFonts w:ascii="Arial" w:cs="Arial" w:eastAsia="Arial" w:hAnsi="Arial"/>
          <w:sz w:val="18"/>
          <w:szCs w:val="18"/>
          <w:color w:val="3E5588"/>
        </w:rPr>
        <w:t>Trademarks, service marks and trade names appearing in this prospectus are the property of their respective owners. Solely for convenience, some of the trademarks, service marks and trade names referred to in this prospectus are listed without the ® and ™ symbols.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E5588"/>
        </w:rPr>
        <w:t>PROSPECTUS SUMMARY</w:t>
      </w:r>
    </w:p>
    <w:p>
      <w:pPr>
        <w:spacing w:after="0" w:line="231" w:lineRule="exact"/>
        <w:rPr>
          <w:sz w:val="20"/>
          <w:szCs w:val="20"/>
          <w:color w:val="auto"/>
        </w:rPr>
      </w:pPr>
    </w:p>
    <w:p>
      <w:pPr>
        <w:jc w:val="both"/>
        <w:ind w:left="240" w:firstLine="405"/>
        <w:spacing w:after="0" w:line="255" w:lineRule="auto"/>
        <w:rPr>
          <w:sz w:val="20"/>
          <w:szCs w:val="20"/>
          <w:color w:val="auto"/>
        </w:rPr>
      </w:pPr>
      <w:r>
        <w:rPr>
          <w:rFonts w:ascii="Arial" w:cs="Arial" w:eastAsia="Arial" w:hAnsi="Arial"/>
          <w:sz w:val="18"/>
          <w:szCs w:val="18"/>
          <w:i w:val="1"/>
          <w:iCs w:val="1"/>
          <w:color w:val="3E5588"/>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in the sections titled "Risk Factors" and "Management's Discussion and Analysis of Financial Condition and Results of Operations." Unless the context otherwise requires, we use the terms "company," "we," "us" and "our" in this prospectus to refer to Fulcrum Therapeutics, Inc.</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E5588"/>
        </w:rPr>
        <w:t>Overview</w:t>
      </w:r>
    </w:p>
    <w:p>
      <w:pPr>
        <w:spacing w:after="0" w:line="231" w:lineRule="exact"/>
        <w:rPr>
          <w:sz w:val="20"/>
          <w:szCs w:val="20"/>
          <w:color w:val="auto"/>
        </w:rPr>
      </w:pPr>
    </w:p>
    <w:p>
      <w:pPr>
        <w:jc w:val="both"/>
        <w:ind w:left="240" w:firstLine="348"/>
        <w:spacing w:after="0" w:line="289" w:lineRule="auto"/>
        <w:rPr>
          <w:sz w:val="20"/>
          <w:szCs w:val="20"/>
          <w:color w:val="auto"/>
        </w:rPr>
      </w:pPr>
      <w:r>
        <w:rPr>
          <w:rFonts w:ascii="Arial" w:cs="Arial" w:eastAsia="Arial" w:hAnsi="Arial"/>
          <w:sz w:val="16"/>
          <w:szCs w:val="16"/>
          <w:color w:val="3E5588"/>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left="240" w:firstLine="431"/>
        <w:spacing w:after="0" w:line="255" w:lineRule="auto"/>
        <w:rPr>
          <w:sz w:val="20"/>
          <w:szCs w:val="20"/>
          <w:color w:val="auto"/>
        </w:rPr>
      </w:pPr>
      <w:r>
        <w:rPr>
          <w:rFonts w:ascii="Arial" w:cs="Arial" w:eastAsia="Arial" w:hAnsi="Arial"/>
          <w:sz w:val="18"/>
          <w:szCs w:val="18"/>
          <w:color w:val="3E5588"/>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97" w:lineRule="exact"/>
        <w:rPr>
          <w:sz w:val="20"/>
          <w:szCs w:val="20"/>
          <w:color w:val="auto"/>
        </w:rPr>
      </w:pPr>
    </w:p>
    <w:p>
      <w:pPr>
        <w:jc w:val="both"/>
        <w:ind w:left="240" w:firstLine="456"/>
        <w:spacing w:after="0" w:line="294" w:lineRule="auto"/>
        <w:rPr>
          <w:sz w:val="20"/>
          <w:szCs w:val="20"/>
          <w:color w:val="auto"/>
        </w:rPr>
      </w:pPr>
      <w:r>
        <w:rPr>
          <w:rFonts w:ascii="Arial" w:cs="Arial" w:eastAsia="Arial" w:hAnsi="Arial"/>
          <w:sz w:val="16"/>
          <w:szCs w:val="16"/>
          <w:color w:val="3E5588"/>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gene in muscle cells derived from patients with FSHD. The mis-expression of the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left="240" w:firstLine="574"/>
        <w:spacing w:after="0" w:line="253" w:lineRule="auto"/>
        <w:rPr>
          <w:sz w:val="20"/>
          <w:szCs w:val="20"/>
          <w:color w:val="auto"/>
        </w:rPr>
      </w:pPr>
      <w:r>
        <w:rPr>
          <w:rFonts w:ascii="Arial" w:cs="Arial" w:eastAsia="Arial" w:hAnsi="Arial"/>
          <w:sz w:val="18"/>
          <w:szCs w:val="18"/>
          <w:color w:val="3E5588"/>
        </w:rPr>
        <w:t xml:space="preserve">Following our discovery of the role of p38a/b inhibitors in the reduction of </w:t>
      </w:r>
      <w:r>
        <w:rPr>
          <w:rFonts w:ascii="Arial" w:cs="Arial" w:eastAsia="Arial" w:hAnsi="Arial"/>
          <w:sz w:val="18"/>
          <w:szCs w:val="18"/>
          <w:i w:val="1"/>
          <w:iCs w:val="1"/>
          <w:color w:val="3E5588"/>
        </w:rPr>
        <w:t>DUX4</w:t>
      </w:r>
      <w:r>
        <w:rPr>
          <w:rFonts w:ascii="Arial" w:cs="Arial" w:eastAsia="Arial" w:hAnsi="Arial"/>
          <w:sz w:val="18"/>
          <w:szCs w:val="18"/>
          <w:color w:val="3E5588"/>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and received active pharmaceutical ingredient and losmapimod tablets that had been manufactured by GSK.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199" w:lineRule="exact"/>
        <w:rPr>
          <w:sz w:val="20"/>
          <w:szCs w:val="20"/>
          <w:color w:val="auto"/>
        </w:rPr>
      </w:pPr>
    </w:p>
    <w:p>
      <w:pPr>
        <w:jc w:val="both"/>
        <w:ind w:left="240" w:firstLine="406"/>
        <w:spacing w:after="0" w:line="268" w:lineRule="auto"/>
        <w:rPr>
          <w:sz w:val="20"/>
          <w:szCs w:val="20"/>
          <w:color w:val="auto"/>
        </w:rPr>
      </w:pPr>
      <w:r>
        <w:rPr>
          <w:rFonts w:ascii="Arial" w:cs="Arial" w:eastAsia="Arial" w:hAnsi="Arial"/>
          <w:sz w:val="18"/>
          <w:szCs w:val="18"/>
          <w:color w:val="3E5588"/>
        </w:rPr>
        <w:t>We plan to conduct a randomized, double-blind placebo-controlled Phase 2b clinical trial to investigate whether treatment with losmapimod reduces DUX4-driven gene expression in affected skeletal</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553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240"/>
        <w:spacing w:after="0" w:line="289" w:lineRule="auto"/>
        <w:rPr>
          <w:sz w:val="20"/>
          <w:szCs w:val="20"/>
          <w:color w:val="auto"/>
        </w:rPr>
      </w:pPr>
      <w:r>
        <w:rPr>
          <w:rFonts w:ascii="Arial" w:cs="Arial" w:eastAsia="Arial" w:hAnsi="Arial"/>
          <w:sz w:val="16"/>
          <w:szCs w:val="16"/>
          <w:color w:val="3E5588"/>
        </w:rPr>
        <w:t>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expect to complete a Phase 1 clinical trial in healthy volunteers and patients with FSHD in 2019. We utilized data from GSK's clinical trials of losmapimod and our preclinical data to submit in May 2019 an IND, and clinical trial applications, or CTAs, in Europe and Canada, that will enable us to advance our clinical development plan for losmapimod in FSHD, including initiating a Phase 2b clinical trial in mid-2019. The FDA accepted the IND in June 2019. The timing of the initiation of the Phase 2b clinical trial is not dependent on the completion of the Phase 1 clinical trial.</w:t>
      </w:r>
    </w:p>
    <w:p>
      <w:pPr>
        <w:spacing w:after="0" w:line="172" w:lineRule="exact"/>
        <w:rPr>
          <w:sz w:val="20"/>
          <w:szCs w:val="20"/>
          <w:color w:val="auto"/>
        </w:rPr>
      </w:pPr>
    </w:p>
    <w:p>
      <w:pPr>
        <w:jc w:val="both"/>
        <w:ind w:left="240" w:firstLine="388"/>
        <w:spacing w:after="0" w:line="288" w:lineRule="auto"/>
        <w:rPr>
          <w:sz w:val="20"/>
          <w:szCs w:val="20"/>
          <w:color w:val="auto"/>
        </w:rPr>
      </w:pPr>
      <w:r>
        <w:rPr>
          <w:rFonts w:ascii="Arial" w:cs="Arial" w:eastAsia="Arial" w:hAnsi="Arial"/>
          <w:sz w:val="16"/>
          <w:szCs w:val="16"/>
          <w:color w:val="3E5588"/>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left="240" w:firstLine="395"/>
        <w:spacing w:after="0" w:line="298" w:lineRule="auto"/>
        <w:rPr>
          <w:sz w:val="20"/>
          <w:szCs w:val="20"/>
          <w:color w:val="auto"/>
        </w:rPr>
      </w:pPr>
      <w:r>
        <w:rPr>
          <w:rFonts w:ascii="Arial" w:cs="Arial" w:eastAsia="Arial" w:hAnsi="Arial"/>
          <w:sz w:val="16"/>
          <w:szCs w:val="16"/>
          <w:color w:val="3E5588"/>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3E5588"/>
        </w:rPr>
        <w:t>HBB</w:t>
      </w:r>
      <w:r>
        <w:rPr>
          <w:rFonts w:ascii="Arial" w:cs="Arial" w:eastAsia="Arial" w:hAnsi="Arial"/>
          <w:sz w:val="16"/>
          <w:szCs w:val="16"/>
          <w:color w:val="3E5588"/>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3E5588"/>
        </w:rPr>
        <w:t>HBB</w:t>
      </w:r>
      <w:r>
        <w:rPr>
          <w:rFonts w:ascii="Arial" w:cs="Arial" w:eastAsia="Arial" w:hAnsi="Arial"/>
          <w:sz w:val="16"/>
          <w:szCs w:val="16"/>
          <w:color w:val="3E5588"/>
        </w:rPr>
        <w:t xml:space="preserve"> gene that can significantly impair the production of RBCs.</w:t>
      </w:r>
    </w:p>
    <w:p>
      <w:pPr>
        <w:spacing w:after="0" w:line="167" w:lineRule="exact"/>
        <w:rPr>
          <w:sz w:val="20"/>
          <w:szCs w:val="20"/>
          <w:color w:val="auto"/>
        </w:rPr>
      </w:pPr>
    </w:p>
    <w:p>
      <w:pPr>
        <w:jc w:val="both"/>
        <w:ind w:left="240" w:firstLine="368"/>
        <w:spacing w:after="0" w:line="294" w:lineRule="auto"/>
        <w:rPr>
          <w:sz w:val="20"/>
          <w:szCs w:val="20"/>
          <w:color w:val="auto"/>
        </w:rPr>
      </w:pPr>
      <w:r>
        <w:rPr>
          <w:rFonts w:ascii="Arial" w:cs="Arial" w:eastAsia="Arial" w:hAnsi="Arial"/>
          <w:sz w:val="16"/>
          <w:szCs w:val="16"/>
          <w:color w:val="3E5588"/>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whose expression is normally silenced shortly after birth. The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3E5588"/>
        </w:rPr>
        <w:t>in vitro</w:t>
      </w:r>
      <w:r>
        <w:rPr>
          <w:rFonts w:ascii="Arial" w:cs="Arial" w:eastAsia="Arial" w:hAnsi="Arial"/>
          <w:sz w:val="16"/>
          <w:szCs w:val="16"/>
          <w:color w:val="3E5588"/>
        </w:rPr>
        <w:t xml:space="preserve"> and </w:t>
      </w:r>
      <w:r>
        <w:rPr>
          <w:rFonts w:ascii="Arial" w:cs="Arial" w:eastAsia="Arial" w:hAnsi="Arial"/>
          <w:sz w:val="16"/>
          <w:szCs w:val="16"/>
          <w:i w:val="1"/>
          <w:iCs w:val="1"/>
          <w:color w:val="3E5588"/>
        </w:rPr>
        <w:t>in vivo</w:t>
      </w:r>
      <w:r>
        <w:rPr>
          <w:rFonts w:ascii="Arial" w:cs="Arial" w:eastAsia="Arial" w:hAnsi="Arial"/>
          <w:sz w:val="16"/>
          <w:szCs w:val="16"/>
          <w:color w:val="3E5588"/>
        </w:rPr>
        <w:t xml:space="preserve"> activation of the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left="240" w:firstLine="394"/>
        <w:spacing w:after="0" w:line="253" w:lineRule="auto"/>
        <w:rPr>
          <w:sz w:val="20"/>
          <w:szCs w:val="20"/>
          <w:color w:val="auto"/>
        </w:rPr>
      </w:pPr>
      <w:r>
        <w:rPr>
          <w:rFonts w:ascii="Arial" w:cs="Arial" w:eastAsia="Arial" w:hAnsi="Arial"/>
          <w:sz w:val="18"/>
          <w:szCs w:val="18"/>
          <w:color w:val="3E5588"/>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36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03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E5588"/>
        </w:rPr>
        <w:t>Our Pipeline</w:t>
      </w:r>
    </w:p>
    <w:p>
      <w:pPr>
        <w:spacing w:after="0" w:line="231" w:lineRule="exact"/>
        <w:rPr>
          <w:sz w:val="20"/>
          <w:szCs w:val="20"/>
          <w:color w:val="auto"/>
        </w:rPr>
      </w:pPr>
    </w:p>
    <w:p>
      <w:pPr>
        <w:ind w:left="640"/>
        <w:spacing w:after="0"/>
        <w:rPr>
          <w:sz w:val="20"/>
          <w:szCs w:val="20"/>
          <w:color w:val="auto"/>
        </w:rPr>
      </w:pPr>
      <w:r>
        <w:rPr>
          <w:rFonts w:ascii="Arial" w:cs="Arial" w:eastAsia="Arial" w:hAnsi="Arial"/>
          <w:sz w:val="16"/>
          <w:szCs w:val="16"/>
          <w:color w:val="3E5588"/>
        </w:rPr>
        <w:t>We designed our proprietary product engine with potential application across a broad array of genetically defined diseases with a known root cause.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3E5588"/>
        </w:rPr>
        <w:t>The following chart summarizes key information about our lead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E5588"/>
        </w:rPr>
        <w:t>Our Discovery Screening Programs</w:t>
      </w:r>
    </w:p>
    <w:p>
      <w:pPr>
        <w:spacing w:after="0" w:line="231" w:lineRule="exact"/>
        <w:rPr>
          <w:sz w:val="20"/>
          <w:szCs w:val="20"/>
          <w:color w:val="auto"/>
        </w:rPr>
      </w:pPr>
    </w:p>
    <w:p>
      <w:pPr>
        <w:jc w:val="both"/>
        <w:ind w:left="240" w:firstLine="423"/>
        <w:spacing w:after="0" w:line="256" w:lineRule="auto"/>
        <w:rPr>
          <w:sz w:val="20"/>
          <w:szCs w:val="20"/>
          <w:color w:val="auto"/>
        </w:rPr>
      </w:pPr>
      <w:r>
        <w:rPr>
          <w:rFonts w:ascii="Arial" w:cs="Arial" w:eastAsia="Arial" w:hAnsi="Arial"/>
          <w:sz w:val="18"/>
          <w:szCs w:val="18"/>
          <w:color w:val="3E5588"/>
        </w:rPr>
        <w:t>We are leveraging the broad applicability of our product engine to discover drug targets for other rare, genetically defined neuromuscular and CNS diseases. We plan to complete four additional screens in 2019, seeking to identify and validate drug targets that can potentially modulate gene expression to address the root causes of Duchenne muscular dystrophy (</w:t>
      </w:r>
      <w:r>
        <w:rPr>
          <w:rFonts w:ascii="Arial" w:cs="Arial" w:eastAsia="Arial" w:hAnsi="Arial"/>
          <w:sz w:val="18"/>
          <w:szCs w:val="18"/>
          <w:i w:val="1"/>
          <w:iCs w:val="1"/>
          <w:color w:val="3E5588"/>
        </w:rPr>
        <w:t>UTRN</w:t>
      </w:r>
      <w:r>
        <w:rPr>
          <w:rFonts w:ascii="Arial" w:cs="Arial" w:eastAsia="Arial" w:hAnsi="Arial"/>
          <w:sz w:val="18"/>
          <w:szCs w:val="18"/>
          <w:color w:val="3E5588"/>
        </w:rPr>
        <w:t xml:space="preserve"> gene), Friedreich ataxia (</w:t>
      </w:r>
      <w:r>
        <w:rPr>
          <w:rFonts w:ascii="Arial" w:cs="Arial" w:eastAsia="Arial" w:hAnsi="Arial"/>
          <w:sz w:val="18"/>
          <w:szCs w:val="18"/>
          <w:i w:val="1"/>
          <w:iCs w:val="1"/>
          <w:color w:val="3E5588"/>
        </w:rPr>
        <w:t>FXN</w:t>
      </w:r>
      <w:r>
        <w:rPr>
          <w:rFonts w:ascii="Arial" w:cs="Arial" w:eastAsia="Arial" w:hAnsi="Arial"/>
          <w:sz w:val="18"/>
          <w:szCs w:val="18"/>
          <w:color w:val="3E5588"/>
        </w:rPr>
        <w:t xml:space="preserve"> gene), Myotonic dystrophy 1 (</w:t>
      </w:r>
      <w:r>
        <w:rPr>
          <w:rFonts w:ascii="Arial" w:cs="Arial" w:eastAsia="Arial" w:hAnsi="Arial"/>
          <w:sz w:val="18"/>
          <w:szCs w:val="18"/>
          <w:i w:val="1"/>
          <w:iCs w:val="1"/>
          <w:color w:val="3E5588"/>
        </w:rPr>
        <w:t>DMPK</w:t>
      </w:r>
      <w:r>
        <w:rPr>
          <w:rFonts w:ascii="Arial" w:cs="Arial" w:eastAsia="Arial" w:hAnsi="Arial"/>
          <w:sz w:val="18"/>
          <w:szCs w:val="18"/>
          <w:color w:val="3E5588"/>
        </w:rPr>
        <w:t xml:space="preserve"> gene) and a-Synucleinopathies (</w:t>
      </w:r>
      <w:r>
        <w:rPr>
          <w:rFonts w:ascii="Arial" w:cs="Arial" w:eastAsia="Arial" w:hAnsi="Arial"/>
          <w:sz w:val="18"/>
          <w:szCs w:val="18"/>
          <w:i w:val="1"/>
          <w:iCs w:val="1"/>
          <w:color w:val="3E5588"/>
        </w:rPr>
        <w:t>SNCA</w:t>
      </w:r>
      <w:r>
        <w:rPr>
          <w:rFonts w:ascii="Arial" w:cs="Arial" w:eastAsia="Arial" w:hAnsi="Arial"/>
          <w:sz w:val="18"/>
          <w:szCs w:val="18"/>
          <w:color w:val="3E5588"/>
        </w:rPr>
        <w:t xml:space="preserve"> gene).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E5588"/>
        </w:rPr>
        <w:t>Our Strategy</w:t>
      </w:r>
    </w:p>
    <w:p>
      <w:pPr>
        <w:spacing w:after="0" w:line="231" w:lineRule="exact"/>
        <w:rPr>
          <w:sz w:val="20"/>
          <w:szCs w:val="20"/>
          <w:color w:val="auto"/>
        </w:rPr>
      </w:pPr>
    </w:p>
    <w:p>
      <w:pPr>
        <w:jc w:val="both"/>
        <w:ind w:left="240" w:firstLine="468"/>
        <w:spacing w:after="0" w:line="298" w:lineRule="auto"/>
        <w:rPr>
          <w:sz w:val="20"/>
          <w:szCs w:val="20"/>
          <w:color w:val="auto"/>
        </w:rPr>
      </w:pPr>
      <w:r>
        <w:rPr>
          <w:rFonts w:ascii="Arial" w:cs="Arial" w:eastAsia="Arial" w:hAnsi="Arial"/>
          <w:sz w:val="16"/>
          <w:szCs w:val="16"/>
          <w:color w:val="3E5588"/>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194" w:lineRule="exact"/>
        <w:rPr>
          <w:sz w:val="20"/>
          <w:szCs w:val="20"/>
          <w:color w:val="auto"/>
        </w:rPr>
      </w:pPr>
    </w:p>
    <w:p>
      <w:pPr>
        <w:ind w:left="1320" w:hanging="538"/>
        <w:spacing w:after="0"/>
        <w:tabs>
          <w:tab w:leader="none" w:pos="1320" w:val="left"/>
        </w:tabs>
        <w:numPr>
          <w:ilvl w:val="0"/>
          <w:numId w:val="2"/>
        </w:numPr>
        <w:rPr>
          <w:rFonts w:ascii="Arial" w:cs="Arial" w:eastAsia="Arial" w:hAnsi="Arial"/>
          <w:sz w:val="18"/>
          <w:szCs w:val="18"/>
          <w:color w:val="3E5588"/>
        </w:rPr>
      </w:pPr>
      <w:r>
        <w:rPr>
          <w:rFonts w:ascii="Arial" w:cs="Arial" w:eastAsia="Arial" w:hAnsi="Arial"/>
          <w:sz w:val="18"/>
          <w:szCs w:val="18"/>
          <w:color w:val="3E5588"/>
        </w:rPr>
        <w:t>Rapidly develop losmapimod for the treatment of FSHD.</w:t>
      </w:r>
    </w:p>
    <w:p>
      <w:pPr>
        <w:spacing w:after="0" w:line="238" w:lineRule="exact"/>
        <w:rPr>
          <w:rFonts w:ascii="Arial" w:cs="Arial" w:eastAsia="Arial" w:hAnsi="Arial"/>
          <w:sz w:val="18"/>
          <w:szCs w:val="18"/>
          <w:color w:val="3E5588"/>
        </w:rPr>
      </w:pPr>
    </w:p>
    <w:p>
      <w:pPr>
        <w:ind w:left="1320" w:hanging="538"/>
        <w:spacing w:after="0"/>
        <w:tabs>
          <w:tab w:leader="none" w:pos="1320" w:val="left"/>
        </w:tabs>
        <w:numPr>
          <w:ilvl w:val="0"/>
          <w:numId w:val="2"/>
        </w:numPr>
        <w:rPr>
          <w:rFonts w:ascii="Arial" w:cs="Arial" w:eastAsia="Arial" w:hAnsi="Arial"/>
          <w:sz w:val="18"/>
          <w:szCs w:val="18"/>
          <w:color w:val="3E5588"/>
        </w:rPr>
      </w:pPr>
      <w:r>
        <w:rPr>
          <w:rFonts w:ascii="Arial" w:cs="Arial" w:eastAsia="Arial" w:hAnsi="Arial"/>
          <w:sz w:val="18"/>
          <w:szCs w:val="18"/>
          <w:color w:val="3E5588"/>
        </w:rPr>
        <w:t>Advance FTX-HbF into clinical development.</w:t>
      </w:r>
    </w:p>
    <w:p>
      <w:pPr>
        <w:spacing w:after="0" w:line="238" w:lineRule="exact"/>
        <w:rPr>
          <w:rFonts w:ascii="Arial" w:cs="Arial" w:eastAsia="Arial" w:hAnsi="Arial"/>
          <w:sz w:val="18"/>
          <w:szCs w:val="18"/>
          <w:color w:val="3E5588"/>
        </w:rPr>
      </w:pPr>
    </w:p>
    <w:p>
      <w:pPr>
        <w:ind w:left="1320" w:hanging="538"/>
        <w:spacing w:after="0" w:line="268" w:lineRule="auto"/>
        <w:tabs>
          <w:tab w:leader="none" w:pos="1320" w:val="left"/>
        </w:tabs>
        <w:numPr>
          <w:ilvl w:val="0"/>
          <w:numId w:val="2"/>
        </w:numPr>
        <w:rPr>
          <w:rFonts w:ascii="Arial" w:cs="Arial" w:eastAsia="Arial" w:hAnsi="Arial"/>
          <w:sz w:val="18"/>
          <w:szCs w:val="18"/>
          <w:color w:val="3E5588"/>
        </w:rPr>
      </w:pPr>
      <w:r>
        <w:rPr>
          <w:rFonts w:ascii="Arial" w:cs="Arial" w:eastAsia="Arial" w:hAnsi="Arial"/>
          <w:sz w:val="18"/>
          <w:szCs w:val="18"/>
          <w:color w:val="3E5588"/>
        </w:rPr>
        <w:t>Continue to apply our proprietary product engine to grow our portfolio of product candidates for the treatment of genetically defined diseases.</w:t>
      </w:r>
    </w:p>
    <w:p>
      <w:pPr>
        <w:spacing w:after="0" w:line="212" w:lineRule="exact"/>
        <w:rPr>
          <w:rFonts w:ascii="Arial" w:cs="Arial" w:eastAsia="Arial" w:hAnsi="Arial"/>
          <w:sz w:val="18"/>
          <w:szCs w:val="18"/>
          <w:color w:val="3E5588"/>
        </w:rPr>
      </w:pPr>
    </w:p>
    <w:p>
      <w:pPr>
        <w:ind w:left="1320" w:hanging="538"/>
        <w:spacing w:after="0"/>
        <w:tabs>
          <w:tab w:leader="none" w:pos="1320" w:val="left"/>
        </w:tabs>
        <w:numPr>
          <w:ilvl w:val="0"/>
          <w:numId w:val="2"/>
        </w:numPr>
        <w:rPr>
          <w:rFonts w:ascii="Arial" w:cs="Arial" w:eastAsia="Arial" w:hAnsi="Arial"/>
          <w:sz w:val="18"/>
          <w:szCs w:val="18"/>
          <w:color w:val="3E5588"/>
        </w:rPr>
      </w:pPr>
      <w:r>
        <w:rPr>
          <w:rFonts w:ascii="Arial" w:cs="Arial" w:eastAsia="Arial" w:hAnsi="Arial"/>
          <w:sz w:val="18"/>
          <w:szCs w:val="18"/>
          <w:color w:val="3E5588"/>
        </w:rPr>
        <w:t>Further expand our product engine capabilities.</w:t>
      </w:r>
    </w:p>
    <w:p>
      <w:pPr>
        <w:spacing w:after="0" w:line="238" w:lineRule="exact"/>
        <w:rPr>
          <w:rFonts w:ascii="Arial" w:cs="Arial" w:eastAsia="Arial" w:hAnsi="Arial"/>
          <w:sz w:val="18"/>
          <w:szCs w:val="18"/>
          <w:color w:val="3E5588"/>
        </w:rPr>
      </w:pPr>
    </w:p>
    <w:p>
      <w:pPr>
        <w:ind w:left="1320" w:hanging="538"/>
        <w:spacing w:after="0"/>
        <w:tabs>
          <w:tab w:leader="none" w:pos="1320" w:val="left"/>
        </w:tabs>
        <w:numPr>
          <w:ilvl w:val="0"/>
          <w:numId w:val="2"/>
        </w:numPr>
        <w:rPr>
          <w:rFonts w:ascii="Arial" w:cs="Arial" w:eastAsia="Arial" w:hAnsi="Arial"/>
          <w:sz w:val="18"/>
          <w:szCs w:val="18"/>
          <w:color w:val="3E5588"/>
        </w:rPr>
      </w:pPr>
      <w:r>
        <w:rPr>
          <w:rFonts w:ascii="Arial" w:cs="Arial" w:eastAsia="Arial" w:hAnsi="Arial"/>
          <w:sz w:val="18"/>
          <w:szCs w:val="18"/>
          <w:color w:val="3E5588"/>
        </w:rPr>
        <w:t>Maximize the commercial potential of our product candidates.</w:t>
      </w:r>
    </w:p>
    <w:p>
      <w:pPr>
        <w:spacing w:after="0" w:line="238" w:lineRule="exact"/>
        <w:rPr>
          <w:rFonts w:ascii="Arial" w:cs="Arial" w:eastAsia="Arial" w:hAnsi="Arial"/>
          <w:sz w:val="18"/>
          <w:szCs w:val="18"/>
          <w:color w:val="3E5588"/>
        </w:rPr>
      </w:pPr>
    </w:p>
    <w:p>
      <w:pPr>
        <w:ind w:left="1320" w:hanging="538"/>
        <w:spacing w:after="0"/>
        <w:tabs>
          <w:tab w:leader="none" w:pos="1320" w:val="left"/>
        </w:tabs>
        <w:numPr>
          <w:ilvl w:val="0"/>
          <w:numId w:val="2"/>
        </w:numPr>
        <w:rPr>
          <w:rFonts w:ascii="Arial" w:cs="Arial" w:eastAsia="Arial" w:hAnsi="Arial"/>
          <w:sz w:val="18"/>
          <w:szCs w:val="18"/>
          <w:color w:val="3E5588"/>
        </w:rPr>
      </w:pPr>
      <w:r>
        <w:rPr>
          <w:rFonts w:ascii="Arial" w:cs="Arial" w:eastAsia="Arial" w:hAnsi="Arial"/>
          <w:sz w:val="18"/>
          <w:szCs w:val="18"/>
          <w:color w:val="3E5588"/>
        </w:rPr>
        <w:t>Selectively enter into strategic partnerships to maximize the value of our product engine and pipeline.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7532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E5588"/>
        </w:rPr>
        <w:t>Risks Associated with Our Business</w:t>
      </w:r>
    </w:p>
    <w:p>
      <w:pPr>
        <w:spacing w:after="0" w:line="231" w:lineRule="exact"/>
        <w:rPr>
          <w:sz w:val="20"/>
          <w:szCs w:val="20"/>
          <w:color w:val="auto"/>
        </w:rPr>
      </w:pPr>
    </w:p>
    <w:p>
      <w:pPr>
        <w:ind w:left="240" w:firstLine="354"/>
        <w:spacing w:after="0" w:line="268" w:lineRule="auto"/>
        <w:rPr>
          <w:sz w:val="20"/>
          <w:szCs w:val="20"/>
          <w:color w:val="auto"/>
        </w:rPr>
      </w:pPr>
      <w:r>
        <w:rPr>
          <w:rFonts w:ascii="Arial" w:cs="Arial" w:eastAsia="Arial" w:hAnsi="Arial"/>
          <w:sz w:val="18"/>
          <w:szCs w:val="18"/>
          <w:color w:val="3E5588"/>
        </w:rPr>
        <w:t>Our business is subject to a number of risks of which you should be aware before making an investment decision. These risks are discussed more fully in the "Risk Factors" section of this prospectus. These risks include, but are not limited to, the following:</w:t>
      </w:r>
    </w:p>
    <w:p>
      <w:pPr>
        <w:spacing w:after="0" w:line="213" w:lineRule="exact"/>
        <w:rPr>
          <w:sz w:val="20"/>
          <w:szCs w:val="20"/>
          <w:color w:val="auto"/>
        </w:rPr>
      </w:pPr>
    </w:p>
    <w:p>
      <w:pPr>
        <w:ind w:left="1320" w:hanging="538"/>
        <w:spacing w:after="0" w:line="268"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have incurred significant losses since our inception. We expect to incur losses over the next several years and may never achieve or maintain profitability. As of March 31, 2019, we had an accumulated deficit of $105.0 million.</w:t>
      </w:r>
    </w:p>
    <w:p>
      <w:pPr>
        <w:spacing w:after="0" w:line="199" w:lineRule="exact"/>
        <w:rPr>
          <w:rFonts w:ascii="Arial" w:cs="Arial" w:eastAsia="Arial" w:hAnsi="Arial"/>
          <w:sz w:val="18"/>
          <w:szCs w:val="18"/>
          <w:color w:val="3E5588"/>
        </w:rPr>
      </w:pPr>
    </w:p>
    <w:p>
      <w:pPr>
        <w:ind w:left="1320" w:hanging="538"/>
        <w:spacing w:after="0" w:line="268"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will need substantial additional funding. If we are unable to raise capital when needed, we could be forced to delay, reduce or eliminate our product development programs or commercialization efforts.</w:t>
      </w:r>
    </w:p>
    <w:p>
      <w:pPr>
        <w:spacing w:after="0" w:line="199" w:lineRule="exact"/>
        <w:rPr>
          <w:rFonts w:ascii="Arial" w:cs="Arial" w:eastAsia="Arial" w:hAnsi="Arial"/>
          <w:sz w:val="18"/>
          <w:szCs w:val="18"/>
          <w:color w:val="3E5588"/>
        </w:rPr>
      </w:pPr>
    </w:p>
    <w:p>
      <w:pPr>
        <w:ind w:left="1320" w:hanging="538"/>
        <w:spacing w:after="0"/>
        <w:tabs>
          <w:tab w:leader="none" w:pos="1320" w:val="left"/>
        </w:tabs>
        <w:numPr>
          <w:ilvl w:val="0"/>
          <w:numId w:val="3"/>
        </w:numPr>
        <w:rPr>
          <w:rFonts w:ascii="Arial" w:cs="Arial" w:eastAsia="Arial" w:hAnsi="Arial"/>
          <w:sz w:val="16"/>
          <w:szCs w:val="16"/>
          <w:color w:val="3E5588"/>
        </w:rPr>
      </w:pPr>
      <w:r>
        <w:rPr>
          <w:rFonts w:ascii="Arial" w:cs="Arial" w:eastAsia="Arial" w:hAnsi="Arial"/>
          <w:sz w:val="16"/>
          <w:szCs w:val="16"/>
          <w:color w:val="3E5588"/>
        </w:rPr>
        <w:t>Our limited operating history may make it difficult for you to evaluate the success of our business to date and to assess our future viability.</w:t>
      </w:r>
    </w:p>
    <w:p>
      <w:pPr>
        <w:spacing w:after="0" w:line="275" w:lineRule="exact"/>
        <w:rPr>
          <w:rFonts w:ascii="Arial" w:cs="Arial" w:eastAsia="Arial" w:hAnsi="Arial"/>
          <w:sz w:val="16"/>
          <w:szCs w:val="16"/>
          <w:color w:val="3E5588"/>
        </w:rPr>
      </w:pPr>
    </w:p>
    <w:p>
      <w:pPr>
        <w:jc w:val="both"/>
        <w:ind w:left="1320" w:hanging="538"/>
        <w:spacing w:after="0" w:line="259"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have identified conditions and events, namely our need to raise additional capital, that raise substantial doubt about our ability to continue as a going concern, and our independent registered public accounting firm's report on our consolidated financial statements appearing at the end of this prospectus includes a going concern uncertainty paragraph.</w:t>
      </w:r>
    </w:p>
    <w:p>
      <w:pPr>
        <w:spacing w:after="0" w:line="207" w:lineRule="exact"/>
        <w:rPr>
          <w:rFonts w:ascii="Arial" w:cs="Arial" w:eastAsia="Arial" w:hAnsi="Arial"/>
          <w:sz w:val="18"/>
          <w:szCs w:val="18"/>
          <w:color w:val="3E5588"/>
        </w:rPr>
      </w:pPr>
    </w:p>
    <w:p>
      <w:pPr>
        <w:jc w:val="both"/>
        <w:ind w:left="1320" w:hanging="538"/>
        <w:spacing w:after="0" w:line="259"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207" w:lineRule="exact"/>
        <w:rPr>
          <w:rFonts w:ascii="Arial" w:cs="Arial" w:eastAsia="Arial" w:hAnsi="Arial"/>
          <w:sz w:val="18"/>
          <w:szCs w:val="18"/>
          <w:color w:val="3E5588"/>
        </w:rPr>
      </w:pPr>
    </w:p>
    <w:p>
      <w:pPr>
        <w:ind w:left="1320" w:hanging="538"/>
        <w:spacing w:after="0"/>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may not be successful in our efforts to use our product engine to build a pipeline of product candidates.</w:t>
      </w:r>
    </w:p>
    <w:p>
      <w:pPr>
        <w:spacing w:after="0" w:line="252" w:lineRule="exact"/>
        <w:rPr>
          <w:rFonts w:ascii="Arial" w:cs="Arial" w:eastAsia="Arial" w:hAnsi="Arial"/>
          <w:sz w:val="18"/>
          <w:szCs w:val="18"/>
          <w:color w:val="3E5588"/>
        </w:rPr>
      </w:pPr>
    </w:p>
    <w:p>
      <w:pPr>
        <w:jc w:val="both"/>
        <w:ind w:left="1320" w:hanging="538"/>
        <w:spacing w:after="0" w:line="259"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207" w:lineRule="exact"/>
        <w:rPr>
          <w:rFonts w:ascii="Arial" w:cs="Arial" w:eastAsia="Arial" w:hAnsi="Arial"/>
          <w:sz w:val="18"/>
          <w:szCs w:val="18"/>
          <w:color w:val="3E5588"/>
        </w:rPr>
      </w:pPr>
    </w:p>
    <w:p>
      <w:pPr>
        <w:jc w:val="both"/>
        <w:ind w:left="1320" w:hanging="538"/>
        <w:spacing w:after="0" w:line="256"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Because we are developing some of our product candidates for the treatment of diseases in which there is little clinical experience and, in some cases, using new endpoints or methodologies, such as the measurement of DUX4-driven gene expression in muscle biopsies in our Phase 2b clinical trial of losmapimod for the treatment of FSHD, the FDA or other regulatory authorities may not consider the endpoints of our clinical trials to predict or provide clinically meaningful results.</w:t>
      </w:r>
    </w:p>
    <w:p>
      <w:pPr>
        <w:spacing w:after="0" w:line="210" w:lineRule="exact"/>
        <w:rPr>
          <w:rFonts w:ascii="Arial" w:cs="Arial" w:eastAsia="Arial" w:hAnsi="Arial"/>
          <w:sz w:val="18"/>
          <w:szCs w:val="18"/>
          <w:color w:val="3E5588"/>
        </w:rPr>
      </w:pPr>
    </w:p>
    <w:p>
      <w:pPr>
        <w:ind w:left="1320" w:hanging="538"/>
        <w:spacing w:after="0" w:line="268"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If serious adverse events or unacceptable side effects are identified during the development of our product candidates, we may need to abandon or limit our development of some of our product candidates.</w:t>
      </w:r>
    </w:p>
    <w:p>
      <w:pPr>
        <w:spacing w:after="0" w:line="212" w:lineRule="exact"/>
        <w:rPr>
          <w:rFonts w:ascii="Arial" w:cs="Arial" w:eastAsia="Arial" w:hAnsi="Arial"/>
          <w:sz w:val="18"/>
          <w:szCs w:val="18"/>
          <w:color w:val="3E5588"/>
        </w:rPr>
      </w:pPr>
    </w:p>
    <w:p>
      <w:pPr>
        <w:ind w:left="1320" w:hanging="538"/>
        <w:spacing w:after="0" w:line="268"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face substantial competition, which may result in others discovering, developing or commercializing products before or more successfully than we do.</w:t>
      </w:r>
    </w:p>
    <w:p>
      <w:pPr>
        <w:spacing w:after="0" w:line="199" w:lineRule="exact"/>
        <w:rPr>
          <w:rFonts w:ascii="Arial" w:cs="Arial" w:eastAsia="Arial" w:hAnsi="Arial"/>
          <w:sz w:val="18"/>
          <w:szCs w:val="18"/>
          <w:color w:val="3E5588"/>
        </w:rPr>
      </w:pPr>
    </w:p>
    <w:p>
      <w:pPr>
        <w:jc w:val="both"/>
        <w:ind w:left="1320" w:hanging="538"/>
        <w:spacing w:after="0" w:line="259"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207" w:lineRule="exact"/>
        <w:rPr>
          <w:rFonts w:ascii="Arial" w:cs="Arial" w:eastAsia="Arial" w:hAnsi="Arial"/>
          <w:sz w:val="18"/>
          <w:szCs w:val="18"/>
          <w:color w:val="3E5588"/>
        </w:rPr>
      </w:pPr>
    </w:p>
    <w:p>
      <w:pPr>
        <w:ind w:left="1320" w:hanging="538"/>
        <w:spacing w:after="0" w:line="268" w:lineRule="auto"/>
        <w:tabs>
          <w:tab w:leader="none" w:pos="1320" w:val="left"/>
        </w:tabs>
        <w:numPr>
          <w:ilvl w:val="0"/>
          <w:numId w:val="3"/>
        </w:numPr>
        <w:rPr>
          <w:rFonts w:ascii="Arial" w:cs="Arial" w:eastAsia="Arial" w:hAnsi="Arial"/>
          <w:sz w:val="18"/>
          <w:szCs w:val="18"/>
          <w:color w:val="3E5588"/>
        </w:rPr>
      </w:pPr>
      <w:r>
        <w:rPr>
          <w:rFonts w:ascii="Arial" w:cs="Arial" w:eastAsia="Arial" w:hAnsi="Arial"/>
          <w:sz w:val="18"/>
          <w:szCs w:val="18"/>
          <w:color w:val="3E5588"/>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575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457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1320" w:hanging="538"/>
        <w:spacing w:after="0" w:line="290" w:lineRule="auto"/>
        <w:tabs>
          <w:tab w:leader="none" w:pos="1320" w:val="left"/>
        </w:tabs>
        <w:numPr>
          <w:ilvl w:val="0"/>
          <w:numId w:val="4"/>
        </w:numPr>
        <w:rPr>
          <w:rFonts w:ascii="Arial" w:cs="Arial" w:eastAsia="Arial" w:hAnsi="Arial"/>
          <w:sz w:val="16"/>
          <w:szCs w:val="16"/>
          <w:color w:val="3E5588"/>
        </w:rPr>
      </w:pPr>
      <w:r>
        <w:rPr>
          <w:rFonts w:ascii="Arial" w:cs="Arial" w:eastAsia="Arial" w:hAnsi="Arial"/>
          <w:sz w:val="16"/>
          <w:szCs w:val="16"/>
          <w:color w:val="3E5588"/>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 The composition of matter patents for losmapimod licensed from GSK are expected to expire in 2023. Although we have filed patent applications directed to new methods of using losmapimod and other p38 inhibitors to treat FSHD that, if granted, would be expected to expire in 2038, we cannot be certain that any patents will be granted in respect of these patent applications. We do not own or in-license any patented intellectual property related to our product engine.</w:t>
      </w:r>
    </w:p>
    <w:p>
      <w:pPr>
        <w:spacing w:after="0" w:line="185" w:lineRule="exact"/>
        <w:rPr>
          <w:rFonts w:ascii="Arial" w:cs="Arial" w:eastAsia="Arial" w:hAnsi="Arial"/>
          <w:sz w:val="16"/>
          <w:szCs w:val="16"/>
          <w:color w:val="3E5588"/>
        </w:rPr>
      </w:pPr>
    </w:p>
    <w:p>
      <w:pPr>
        <w:jc w:val="both"/>
        <w:ind w:left="1320" w:hanging="538"/>
        <w:spacing w:after="0" w:line="259" w:lineRule="auto"/>
        <w:tabs>
          <w:tab w:leader="none" w:pos="1320" w:val="left"/>
        </w:tabs>
        <w:numPr>
          <w:ilvl w:val="0"/>
          <w:numId w:val="4"/>
        </w:numPr>
        <w:rPr>
          <w:rFonts w:ascii="Arial" w:cs="Arial" w:eastAsia="Arial" w:hAnsi="Arial"/>
          <w:sz w:val="18"/>
          <w:szCs w:val="18"/>
          <w:color w:val="3E5588"/>
        </w:rPr>
      </w:pPr>
      <w:r>
        <w:rPr>
          <w:rFonts w:ascii="Arial" w:cs="Arial" w:eastAsia="Arial" w:hAnsi="Arial"/>
          <w:sz w:val="18"/>
          <w:szCs w:val="18"/>
          <w:color w:val="3E5588"/>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E5588"/>
        </w:rPr>
        <w:t>Our Corporate Information</w:t>
      </w:r>
    </w:p>
    <w:p>
      <w:pPr>
        <w:spacing w:after="0" w:line="231" w:lineRule="exact"/>
        <w:rPr>
          <w:sz w:val="20"/>
          <w:szCs w:val="20"/>
          <w:color w:val="auto"/>
        </w:rPr>
      </w:pPr>
    </w:p>
    <w:p>
      <w:pPr>
        <w:jc w:val="both"/>
        <w:ind w:left="240" w:firstLine="362"/>
        <w:spacing w:after="0" w:line="256" w:lineRule="auto"/>
        <w:rPr>
          <w:sz w:val="20"/>
          <w:szCs w:val="20"/>
          <w:color w:val="auto"/>
        </w:rPr>
      </w:pPr>
      <w:r>
        <w:rPr>
          <w:rFonts w:ascii="Arial" w:cs="Arial" w:eastAsia="Arial" w:hAnsi="Arial"/>
          <w:sz w:val="18"/>
          <w:szCs w:val="18"/>
          <w:color w:val="3E5588"/>
        </w:rPr>
        <w:t>We were incorporated under the laws of the state of Delaware on August 18, 2015 under the name Fulcrum Therapeutics, Inc. Our principal executive offices are located at 26 Landsdowne Street, Cambridge, Massachusetts 02139, and our telephone number is (617) 651-8851. Our website address is http://www.fulcrumtx.com. The information contained on, or that can be accessed through, our website is not a part of this prospectus. We have included our website address in this prospectus solely as an inactive textual reference.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3E5588"/>
        </w:rPr>
        <w:t>Implications of Being an Emerging Growth Company</w:t>
      </w:r>
    </w:p>
    <w:p>
      <w:pPr>
        <w:spacing w:after="0" w:line="231" w:lineRule="exact"/>
        <w:rPr>
          <w:sz w:val="20"/>
          <w:szCs w:val="20"/>
          <w:color w:val="auto"/>
        </w:rPr>
      </w:pPr>
    </w:p>
    <w:p>
      <w:pPr>
        <w:jc w:val="both"/>
        <w:ind w:left="240" w:firstLine="469"/>
        <w:spacing w:after="0" w:line="289" w:lineRule="auto"/>
        <w:rPr>
          <w:sz w:val="20"/>
          <w:szCs w:val="20"/>
          <w:color w:val="auto"/>
        </w:rPr>
      </w:pPr>
      <w:r>
        <w:rPr>
          <w:rFonts w:ascii="Arial" w:cs="Arial" w:eastAsia="Arial" w:hAnsi="Arial"/>
          <w:sz w:val="16"/>
          <w:szCs w:val="16"/>
          <w:color w:val="3E5588"/>
        </w:rPr>
        <w:t>As a company with less than $1.07 billion in revenue during our last fiscal year, we qualify as an "emerging growth company" as defined in the Jumpstart Our Business Startups Act of 2012, or the JOBS Act, and we may remain an emerging growth company for up to five years or until such earlier time as we have more than $1.07 billion in annual revenue, the market value of our stock held by non-affiliates is more than $700 million or we issue more than $1 billion of non-convertible debt over a three-year period. For so long as we remain an emerging growth company, we are permitted and intend to rely on exemptions from certain disclosure and other requirements that are applicable to public companies that are not emerging growth companies.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8176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817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E5588"/>
        </w:rPr>
        <w:t>THE OFFERING</w:t>
      </w: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3E5588"/>
        </w:rPr>
        <w:t>Common stock</w:t>
      </w:r>
    </w:p>
    <w:p>
      <w:pPr>
        <w:spacing w:after="0" w:line="15" w:lineRule="exact"/>
        <w:rPr>
          <w:sz w:val="20"/>
          <w:szCs w:val="20"/>
          <w:color w:val="auto"/>
        </w:rPr>
      </w:pPr>
    </w:p>
    <w:p>
      <w:pPr>
        <w:ind w:left="1520"/>
        <w:spacing w:after="0"/>
        <w:tabs>
          <w:tab w:leader="none" w:pos="2840" w:val="left"/>
        </w:tabs>
        <w:rPr>
          <w:sz w:val="20"/>
          <w:szCs w:val="20"/>
          <w:color w:val="auto"/>
        </w:rPr>
      </w:pPr>
      <w:r>
        <w:rPr>
          <w:rFonts w:ascii="Arial" w:cs="Arial" w:eastAsia="Arial" w:hAnsi="Arial"/>
          <w:sz w:val="18"/>
          <w:szCs w:val="18"/>
          <w:color w:val="3E5588"/>
        </w:rPr>
        <w:t>offered</w:t>
      </w:r>
      <w:r>
        <w:rPr>
          <w:sz w:val="20"/>
          <w:szCs w:val="20"/>
          <w:color w:val="auto"/>
        </w:rPr>
        <w:tab/>
      </w:r>
      <w:r>
        <w:rPr>
          <w:rFonts w:ascii="Arial" w:cs="Arial" w:eastAsia="Arial" w:hAnsi="Arial"/>
          <w:sz w:val="18"/>
          <w:szCs w:val="18"/>
          <w:color w:val="3E5588"/>
        </w:rPr>
        <w:t>4,500,000 shares</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3E5588"/>
        </w:rPr>
        <w:t>Common stock to</w:t>
      </w:r>
    </w:p>
    <w:p>
      <w:pPr>
        <w:spacing w:after="0" w:line="15" w:lineRule="exact"/>
        <w:rPr>
          <w:sz w:val="20"/>
          <w:szCs w:val="20"/>
          <w:color w:val="auto"/>
        </w:rPr>
      </w:pPr>
    </w:p>
    <w:p>
      <w:pPr>
        <w:ind w:left="1520"/>
        <w:spacing w:after="0"/>
        <w:rPr>
          <w:sz w:val="20"/>
          <w:szCs w:val="20"/>
          <w:color w:val="auto"/>
        </w:rPr>
      </w:pPr>
      <w:r>
        <w:rPr>
          <w:rFonts w:ascii="Arial" w:cs="Arial" w:eastAsia="Arial" w:hAnsi="Arial"/>
          <w:sz w:val="18"/>
          <w:szCs w:val="18"/>
          <w:color w:val="3E5588"/>
        </w:rPr>
        <w:t>be outstanding</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3E5588"/>
        </w:rPr>
        <w:t>immediately</w:t>
      </w:r>
    </w:p>
    <w:p>
      <w:pPr>
        <w:spacing w:after="0" w:line="9" w:lineRule="exact"/>
        <w:rPr>
          <w:sz w:val="20"/>
          <w:szCs w:val="20"/>
          <w:color w:val="auto"/>
        </w:rPr>
      </w:pPr>
    </w:p>
    <w:p>
      <w:pPr>
        <w:ind w:left="1520"/>
        <w:spacing w:after="0"/>
        <w:rPr>
          <w:sz w:val="20"/>
          <w:szCs w:val="20"/>
          <w:color w:val="auto"/>
        </w:rPr>
      </w:pPr>
      <w:r>
        <w:rPr>
          <w:rFonts w:ascii="Arial" w:cs="Arial" w:eastAsia="Arial" w:hAnsi="Arial"/>
          <w:sz w:val="18"/>
          <w:szCs w:val="18"/>
          <w:color w:val="3E5588"/>
        </w:rPr>
        <w:t>following this</w:t>
      </w:r>
    </w:p>
    <w:p>
      <w:pPr>
        <w:spacing w:after="0" w:line="9" w:lineRule="exact"/>
        <w:rPr>
          <w:sz w:val="20"/>
          <w:szCs w:val="20"/>
          <w:color w:val="auto"/>
        </w:rPr>
      </w:pPr>
    </w:p>
    <w:p>
      <w:pPr>
        <w:ind w:left="1520"/>
        <w:spacing w:after="0"/>
        <w:tabs>
          <w:tab w:leader="none" w:pos="2840" w:val="left"/>
        </w:tabs>
        <w:rPr>
          <w:sz w:val="20"/>
          <w:szCs w:val="20"/>
          <w:color w:val="auto"/>
        </w:rPr>
      </w:pPr>
      <w:r>
        <w:rPr>
          <w:rFonts w:ascii="Arial" w:cs="Arial" w:eastAsia="Arial" w:hAnsi="Arial"/>
          <w:sz w:val="18"/>
          <w:szCs w:val="18"/>
          <w:color w:val="3E5588"/>
        </w:rPr>
        <w:t>offering</w:t>
      </w:r>
      <w:r>
        <w:rPr>
          <w:sz w:val="20"/>
          <w:szCs w:val="20"/>
          <w:color w:val="auto"/>
        </w:rPr>
        <w:tab/>
      </w:r>
      <w:r>
        <w:rPr>
          <w:rFonts w:ascii="Arial" w:cs="Arial" w:eastAsia="Arial" w:hAnsi="Arial"/>
          <w:sz w:val="18"/>
          <w:szCs w:val="18"/>
          <w:color w:val="3E5588"/>
        </w:rPr>
        <w:t>23,340,014 shares</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3E5588"/>
        </w:rPr>
        <w:t>Option to purchase</w:t>
      </w:r>
    </w:p>
    <w:p>
      <w:pPr>
        <w:spacing w:after="0" w:line="15" w:lineRule="exact"/>
        <w:rPr>
          <w:sz w:val="20"/>
          <w:szCs w:val="20"/>
          <w:color w:val="auto"/>
        </w:rPr>
      </w:pPr>
    </w:p>
    <w:p>
      <w:pPr>
        <w:ind w:left="1520"/>
        <w:spacing w:after="0"/>
        <w:tabs>
          <w:tab w:leader="none" w:pos="2840" w:val="left"/>
        </w:tabs>
        <w:rPr>
          <w:sz w:val="20"/>
          <w:szCs w:val="20"/>
          <w:color w:val="auto"/>
        </w:rPr>
      </w:pPr>
      <w:r>
        <w:rPr>
          <w:rFonts w:ascii="Arial" w:cs="Arial" w:eastAsia="Arial" w:hAnsi="Arial"/>
          <w:sz w:val="18"/>
          <w:szCs w:val="18"/>
          <w:color w:val="3E5588"/>
        </w:rPr>
        <w:t>additional</w:t>
      </w:r>
      <w:r>
        <w:rPr>
          <w:sz w:val="20"/>
          <w:szCs w:val="20"/>
          <w:color w:val="auto"/>
        </w:rPr>
        <w:tab/>
      </w:r>
      <w:r>
        <w:rPr>
          <w:rFonts w:ascii="Arial" w:cs="Arial" w:eastAsia="Arial" w:hAnsi="Arial"/>
          <w:sz w:val="18"/>
          <w:szCs w:val="18"/>
          <w:color w:val="3E5588"/>
        </w:rPr>
        <w:t>We have granted the underwriters an option for a period of 30 days to purchase up to 675,000</w:t>
      </w:r>
    </w:p>
    <w:p>
      <w:pPr>
        <w:spacing w:after="0" w:line="9" w:lineRule="exact"/>
        <w:rPr>
          <w:sz w:val="20"/>
          <w:szCs w:val="20"/>
          <w:color w:val="auto"/>
        </w:rPr>
      </w:pPr>
    </w:p>
    <w:p>
      <w:pPr>
        <w:ind w:left="1520"/>
        <w:spacing w:after="0"/>
        <w:tabs>
          <w:tab w:leader="none" w:pos="2840" w:val="left"/>
        </w:tabs>
        <w:rPr>
          <w:sz w:val="20"/>
          <w:szCs w:val="20"/>
          <w:color w:val="auto"/>
        </w:rPr>
      </w:pPr>
      <w:r>
        <w:rPr>
          <w:rFonts w:ascii="Arial" w:cs="Arial" w:eastAsia="Arial" w:hAnsi="Arial"/>
          <w:sz w:val="18"/>
          <w:szCs w:val="18"/>
          <w:color w:val="3E5588"/>
        </w:rPr>
        <w:t>shares</w:t>
      </w:r>
      <w:r>
        <w:rPr>
          <w:sz w:val="20"/>
          <w:szCs w:val="20"/>
          <w:color w:val="auto"/>
        </w:rPr>
        <w:tab/>
      </w:r>
      <w:r>
        <w:rPr>
          <w:rFonts w:ascii="Arial" w:cs="Arial" w:eastAsia="Arial" w:hAnsi="Arial"/>
          <w:sz w:val="18"/>
          <w:szCs w:val="18"/>
          <w:color w:val="3E5588"/>
        </w:rPr>
        <w:t>additional shares of our common stock.</w:t>
      </w:r>
    </w:p>
    <w:p>
      <w:pPr>
        <w:spacing w:after="0" w:line="219" w:lineRule="exact"/>
        <w:rPr>
          <w:sz w:val="20"/>
          <w:szCs w:val="20"/>
          <w:color w:val="auto"/>
        </w:rPr>
      </w:pPr>
    </w:p>
    <w:p>
      <w:pPr>
        <w:ind w:left="1340"/>
        <w:spacing w:after="0"/>
        <w:tabs>
          <w:tab w:leader="none" w:pos="2840" w:val="left"/>
        </w:tabs>
        <w:rPr>
          <w:sz w:val="20"/>
          <w:szCs w:val="20"/>
          <w:color w:val="auto"/>
        </w:rPr>
      </w:pPr>
      <w:r>
        <w:rPr>
          <w:rFonts w:ascii="Arial" w:cs="Arial" w:eastAsia="Arial" w:hAnsi="Arial"/>
          <w:sz w:val="18"/>
          <w:szCs w:val="18"/>
          <w:color w:val="3E5588"/>
        </w:rPr>
        <w:t>Use of proceeds</w:t>
      </w:r>
      <w:r>
        <w:rPr>
          <w:sz w:val="20"/>
          <w:szCs w:val="20"/>
          <w:color w:val="auto"/>
        </w:rPr>
        <w:tab/>
      </w:r>
      <w:r>
        <w:rPr>
          <w:rFonts w:ascii="Arial" w:cs="Arial" w:eastAsia="Arial" w:hAnsi="Arial"/>
          <w:sz w:val="18"/>
          <w:szCs w:val="18"/>
          <w:color w:val="3E5588"/>
        </w:rPr>
        <w:t>We estimate that the net proceeds from this offering will be approximately $63.9 million (or</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approximately $73.9 million if the underwriters exercise their option to purchase additional shares in</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full), based on the initial public offering price of $16.00 per share, after deducting underwriting</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discounts and commissions and estimated offering expenses payable by us.</w:t>
      </w:r>
    </w:p>
    <w:p>
      <w:pPr>
        <w:spacing w:after="0" w:line="219"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We intend to use the net proceeds from this offering, together with our existing cash and cash</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equivalents, to advance losmapimod for FSHD, to advance our hemoglobinopathies program, to fund</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our ongoing product engine and discovery efforts and for working capital and other general corporate</w:t>
      </w:r>
    </w:p>
    <w:p>
      <w:pPr>
        <w:spacing w:after="0" w:line="9"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purposes. See "Use of Proceeds."</w:t>
      </w:r>
    </w:p>
    <w:p>
      <w:pPr>
        <w:spacing w:after="0" w:line="219" w:lineRule="exact"/>
        <w:rPr>
          <w:sz w:val="20"/>
          <w:szCs w:val="20"/>
          <w:color w:val="auto"/>
        </w:rPr>
      </w:pPr>
    </w:p>
    <w:p>
      <w:pPr>
        <w:ind w:left="1340"/>
        <w:spacing w:after="0"/>
        <w:tabs>
          <w:tab w:leader="none" w:pos="2840" w:val="left"/>
        </w:tabs>
        <w:rPr>
          <w:sz w:val="20"/>
          <w:szCs w:val="20"/>
          <w:color w:val="auto"/>
        </w:rPr>
      </w:pPr>
      <w:r>
        <w:rPr>
          <w:rFonts w:ascii="Arial" w:cs="Arial" w:eastAsia="Arial" w:hAnsi="Arial"/>
          <w:sz w:val="18"/>
          <w:szCs w:val="18"/>
          <w:color w:val="3E5588"/>
        </w:rPr>
        <w:t>Risk factors</w:t>
      </w:r>
      <w:r>
        <w:rPr>
          <w:sz w:val="20"/>
          <w:szCs w:val="20"/>
          <w:color w:val="auto"/>
        </w:rPr>
        <w:tab/>
      </w:r>
      <w:r>
        <w:rPr>
          <w:rFonts w:ascii="Arial" w:cs="Arial" w:eastAsia="Arial" w:hAnsi="Arial"/>
          <w:sz w:val="16"/>
          <w:szCs w:val="16"/>
          <w:color w:val="3E5588"/>
        </w:rPr>
        <w:t>You should read the "Risk Factors" section of this prospectus for a discussion of factors to consider</w:t>
      </w:r>
    </w:p>
    <w:p>
      <w:pPr>
        <w:spacing w:after="0" w:line="15" w:lineRule="exact"/>
        <w:rPr>
          <w:sz w:val="20"/>
          <w:szCs w:val="20"/>
          <w:color w:val="auto"/>
        </w:rPr>
      </w:pPr>
    </w:p>
    <w:p>
      <w:pPr>
        <w:ind w:left="2860"/>
        <w:spacing w:after="0"/>
        <w:rPr>
          <w:sz w:val="20"/>
          <w:szCs w:val="20"/>
          <w:color w:val="auto"/>
        </w:rPr>
      </w:pPr>
      <w:r>
        <w:rPr>
          <w:rFonts w:ascii="Arial" w:cs="Arial" w:eastAsia="Arial" w:hAnsi="Arial"/>
          <w:sz w:val="18"/>
          <w:szCs w:val="18"/>
          <w:color w:val="3E5588"/>
        </w:rPr>
        <w:t>carefully before deciding to invest in shares of our common stock.</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3E5588"/>
        </w:rPr>
        <w:t>Nasdaq Global</w:t>
      </w:r>
    </w:p>
    <w:p>
      <w:pPr>
        <w:spacing w:after="0" w:line="15" w:lineRule="exact"/>
        <w:rPr>
          <w:sz w:val="20"/>
          <w:szCs w:val="20"/>
          <w:color w:val="auto"/>
        </w:rPr>
      </w:pPr>
    </w:p>
    <w:p>
      <w:pPr>
        <w:ind w:left="1520"/>
        <w:spacing w:after="0"/>
        <w:tabs>
          <w:tab w:leader="none" w:pos="2840" w:val="left"/>
        </w:tabs>
        <w:rPr>
          <w:sz w:val="20"/>
          <w:szCs w:val="20"/>
          <w:color w:val="auto"/>
        </w:rPr>
      </w:pPr>
      <w:r>
        <w:rPr>
          <w:rFonts w:ascii="Arial" w:cs="Arial" w:eastAsia="Arial" w:hAnsi="Arial"/>
          <w:sz w:val="18"/>
          <w:szCs w:val="18"/>
          <w:color w:val="3E5588"/>
        </w:rPr>
        <w:t>Market symbol</w:t>
      </w:r>
      <w:r>
        <w:rPr>
          <w:sz w:val="20"/>
          <w:szCs w:val="20"/>
          <w:color w:val="auto"/>
        </w:rPr>
        <w:tab/>
      </w:r>
      <w:r>
        <w:rPr>
          <w:rFonts w:ascii="Arial" w:cs="Arial" w:eastAsia="Arial" w:hAnsi="Arial"/>
          <w:sz w:val="18"/>
          <w:szCs w:val="18"/>
          <w:color w:val="3E5588"/>
        </w:rPr>
        <w:t>"FULC"</w:t>
      </w:r>
    </w:p>
    <w:p>
      <w:pPr>
        <w:spacing w:after="0" w:line="219" w:lineRule="exact"/>
        <w:rPr>
          <w:sz w:val="20"/>
          <w:szCs w:val="20"/>
          <w:color w:val="auto"/>
        </w:rPr>
      </w:pPr>
    </w:p>
    <w:p>
      <w:pPr>
        <w:jc w:val="both"/>
        <w:ind w:left="240" w:firstLine="387"/>
        <w:spacing w:after="0" w:line="306" w:lineRule="auto"/>
        <w:rPr>
          <w:sz w:val="20"/>
          <w:szCs w:val="20"/>
          <w:color w:val="auto"/>
        </w:rPr>
      </w:pPr>
      <w:r>
        <w:rPr>
          <w:rFonts w:ascii="Arial" w:cs="Arial" w:eastAsia="Arial" w:hAnsi="Arial"/>
          <w:sz w:val="16"/>
          <w:szCs w:val="16"/>
          <w:color w:val="3E5588"/>
        </w:rPr>
        <w:t>The number of shares of our common stock to be outstanding after this offering is based on 2,768,596 shares of our common stock outstanding as of June 30, 2019, including 898,310 shares of unvested restricted stock subject to repurchase by us, and 16,071,418 shares of our common stock issuable upon the automatic conversion of all outstanding shares of our preferred stock upon the closing of this offering.</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8"/>
          <w:szCs w:val="18"/>
          <w:color w:val="3E5588"/>
        </w:rPr>
        <w:t>The number of shares of our common stock to be outstanding after this offering excludes:</w:t>
      </w:r>
    </w:p>
    <w:p>
      <w:pPr>
        <w:spacing w:after="0" w:line="252" w:lineRule="exact"/>
        <w:rPr>
          <w:sz w:val="20"/>
          <w:szCs w:val="20"/>
          <w:color w:val="auto"/>
        </w:rPr>
      </w:pPr>
    </w:p>
    <w:p>
      <w:pPr>
        <w:ind w:left="1320" w:hanging="538"/>
        <w:spacing w:after="0" w:line="268" w:lineRule="auto"/>
        <w:tabs>
          <w:tab w:leader="none" w:pos="1320" w:val="left"/>
        </w:tabs>
        <w:numPr>
          <w:ilvl w:val="0"/>
          <w:numId w:val="5"/>
        </w:numPr>
        <w:rPr>
          <w:rFonts w:ascii="Arial" w:cs="Arial" w:eastAsia="Arial" w:hAnsi="Arial"/>
          <w:sz w:val="18"/>
          <w:szCs w:val="18"/>
          <w:color w:val="3E5588"/>
        </w:rPr>
      </w:pPr>
      <w:r>
        <w:rPr>
          <w:rFonts w:ascii="Arial" w:cs="Arial" w:eastAsia="Arial" w:hAnsi="Arial"/>
          <w:sz w:val="18"/>
          <w:szCs w:val="18"/>
          <w:color w:val="3E5588"/>
        </w:rPr>
        <w:t>1,592,753 shares of common stock issuable upon exercise of stock options outstanding as of June 30, 2019 at a weighted average exercise price of $7.81 per share;</w:t>
      </w:r>
    </w:p>
    <w:p>
      <w:pPr>
        <w:spacing w:after="0" w:line="199" w:lineRule="exact"/>
        <w:rPr>
          <w:rFonts w:ascii="Arial" w:cs="Arial" w:eastAsia="Arial" w:hAnsi="Arial"/>
          <w:sz w:val="18"/>
          <w:szCs w:val="18"/>
          <w:color w:val="3E5588"/>
        </w:rPr>
      </w:pPr>
    </w:p>
    <w:p>
      <w:pPr>
        <w:ind w:left="1320" w:hanging="538"/>
        <w:spacing w:after="0" w:line="268" w:lineRule="auto"/>
        <w:tabs>
          <w:tab w:leader="none" w:pos="1320" w:val="left"/>
        </w:tabs>
        <w:numPr>
          <w:ilvl w:val="0"/>
          <w:numId w:val="5"/>
        </w:numPr>
        <w:rPr>
          <w:rFonts w:ascii="Arial" w:cs="Arial" w:eastAsia="Arial" w:hAnsi="Arial"/>
          <w:sz w:val="18"/>
          <w:szCs w:val="18"/>
          <w:color w:val="3E5588"/>
        </w:rPr>
      </w:pPr>
      <w:r>
        <w:rPr>
          <w:rFonts w:ascii="Arial" w:cs="Arial" w:eastAsia="Arial" w:hAnsi="Arial"/>
          <w:sz w:val="18"/>
          <w:szCs w:val="18"/>
          <w:color w:val="3E5588"/>
        </w:rPr>
        <w:t>281,503 shares of common stock reserved for future issuance under our 2016 Stock Incentive Plan, as amended, or the 2016 Plan, as of June 30, 2019; and</w:t>
      </w:r>
    </w:p>
    <w:p>
      <w:pPr>
        <w:spacing w:after="0" w:line="199" w:lineRule="exact"/>
        <w:rPr>
          <w:rFonts w:ascii="Arial" w:cs="Arial" w:eastAsia="Arial" w:hAnsi="Arial"/>
          <w:sz w:val="18"/>
          <w:szCs w:val="18"/>
          <w:color w:val="3E5588"/>
        </w:rPr>
      </w:pPr>
    </w:p>
    <w:p>
      <w:pPr>
        <w:jc w:val="both"/>
        <w:ind w:left="1320" w:hanging="538"/>
        <w:spacing w:after="0" w:line="255" w:lineRule="auto"/>
        <w:tabs>
          <w:tab w:leader="none" w:pos="1320" w:val="left"/>
        </w:tabs>
        <w:numPr>
          <w:ilvl w:val="0"/>
          <w:numId w:val="5"/>
        </w:numPr>
        <w:rPr>
          <w:rFonts w:ascii="Arial" w:cs="Arial" w:eastAsia="Arial" w:hAnsi="Arial"/>
          <w:sz w:val="18"/>
          <w:szCs w:val="18"/>
          <w:color w:val="3E5588"/>
        </w:rPr>
      </w:pPr>
      <w:r>
        <w:rPr>
          <w:rFonts w:ascii="Arial" w:cs="Arial" w:eastAsia="Arial" w:hAnsi="Arial"/>
          <w:sz w:val="18"/>
          <w:szCs w:val="18"/>
          <w:color w:val="3E5588"/>
        </w:rPr>
        <w:t>2,017,142 and 252,142 additional shares of our common stock available for future issuance under our 2019 Stock Incentive Plan, of which our board of directors has granted options to purchase an aggregate of 308,486 shares of common stock to certain of our employees and non-employee directors effective upon the commencement of trading of our common stock on the Nasdaq Global Market, and our 2019 Employee Stock Purchase Plan, respectively, as well as any automatic increases in the number of shares of common stock reserved for future issuance under these plans.</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8"/>
          <w:szCs w:val="18"/>
          <w:color w:val="3E5588"/>
        </w:rPr>
        <w:t>Unless otherwise indicated, all information in this prospectus assumes:</w:t>
      </w:r>
    </w:p>
    <w:p>
      <w:pPr>
        <w:spacing w:after="0" w:line="252"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3E5588"/>
        </w:rPr>
      </w:pPr>
      <w:r>
        <w:rPr>
          <w:rFonts w:ascii="Arial" w:cs="Arial" w:eastAsia="Arial" w:hAnsi="Arial"/>
          <w:sz w:val="18"/>
          <w:szCs w:val="18"/>
          <w:color w:val="3E5588"/>
        </w:rPr>
        <w:t>no exercise of the outstanding options described above;</w:t>
      </w:r>
    </w:p>
    <w:p>
      <w:pPr>
        <w:spacing w:after="0" w:line="238" w:lineRule="exact"/>
        <w:rPr>
          <w:rFonts w:ascii="Arial" w:cs="Arial" w:eastAsia="Arial" w:hAnsi="Arial"/>
          <w:sz w:val="18"/>
          <w:szCs w:val="18"/>
          <w:color w:val="3E5588"/>
        </w:rPr>
      </w:pPr>
    </w:p>
    <w:p>
      <w:pPr>
        <w:ind w:left="1320" w:hanging="538"/>
        <w:spacing w:after="0"/>
        <w:tabs>
          <w:tab w:leader="none" w:pos="1320" w:val="left"/>
        </w:tabs>
        <w:numPr>
          <w:ilvl w:val="0"/>
          <w:numId w:val="6"/>
        </w:numPr>
        <w:rPr>
          <w:rFonts w:ascii="Arial" w:cs="Arial" w:eastAsia="Arial" w:hAnsi="Arial"/>
          <w:sz w:val="18"/>
          <w:szCs w:val="18"/>
          <w:color w:val="3E5588"/>
        </w:rPr>
      </w:pPr>
      <w:r>
        <w:rPr>
          <w:rFonts w:ascii="Arial" w:cs="Arial" w:eastAsia="Arial" w:hAnsi="Arial"/>
          <w:sz w:val="18"/>
          <w:szCs w:val="18"/>
          <w:color w:val="3E5588"/>
        </w:rPr>
        <w:t>no exercise by the underwriters of their option to purchase additional shares of our common stock;</w:t>
      </w:r>
    </w:p>
    <w:p>
      <w:pPr>
        <w:sectPr>
          <w:pgSz w:w="11900" w:h="16838" w:orient="portrait"/>
          <w:cols w:equalWidth="0" w:num="1">
            <w:col w:w="11180"/>
          </w:cols>
          <w:pgMar w:left="240" w:top="13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3E5588"/>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693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1693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hanging="538"/>
        <w:spacing w:after="0" w:line="268" w:lineRule="auto"/>
        <w:tabs>
          <w:tab w:leader="none" w:pos="1320" w:val="left"/>
        </w:tabs>
        <w:numPr>
          <w:ilvl w:val="0"/>
          <w:numId w:val="7"/>
        </w:numPr>
        <w:rPr>
          <w:rFonts w:ascii="Arial" w:cs="Arial" w:eastAsia="Arial" w:hAnsi="Arial"/>
          <w:sz w:val="18"/>
          <w:szCs w:val="18"/>
          <w:color w:val="3E5588"/>
        </w:rPr>
      </w:pPr>
      <w:r>
        <w:rPr>
          <w:rFonts w:ascii="Arial" w:cs="Arial" w:eastAsia="Arial" w:hAnsi="Arial"/>
          <w:sz w:val="18"/>
          <w:szCs w:val="18"/>
          <w:color w:val="3E5588"/>
        </w:rPr>
        <w:t>the automatic conversion of all outstanding shares of our preferred stock into an aggregate of 16,071,418 shares of our common stock upon the closing of this offering; and</w:t>
      </w:r>
    </w:p>
    <w:p>
      <w:pPr>
        <w:spacing w:after="0" w:line="199" w:lineRule="exact"/>
        <w:rPr>
          <w:rFonts w:ascii="Arial" w:cs="Arial" w:eastAsia="Arial" w:hAnsi="Arial"/>
          <w:sz w:val="18"/>
          <w:szCs w:val="18"/>
          <w:color w:val="3E5588"/>
        </w:rPr>
      </w:pPr>
    </w:p>
    <w:p>
      <w:pPr>
        <w:ind w:left="1320" w:hanging="538"/>
        <w:spacing w:after="0" w:line="268" w:lineRule="auto"/>
        <w:tabs>
          <w:tab w:leader="none" w:pos="1320" w:val="left"/>
        </w:tabs>
        <w:numPr>
          <w:ilvl w:val="0"/>
          <w:numId w:val="7"/>
        </w:numPr>
        <w:rPr>
          <w:rFonts w:ascii="Arial" w:cs="Arial" w:eastAsia="Arial" w:hAnsi="Arial"/>
          <w:sz w:val="18"/>
          <w:szCs w:val="18"/>
          <w:color w:val="3E5588"/>
        </w:rPr>
      </w:pPr>
      <w:r>
        <w:rPr>
          <w:rFonts w:ascii="Arial" w:cs="Arial" w:eastAsia="Arial" w:hAnsi="Arial"/>
          <w:sz w:val="18"/>
          <w:szCs w:val="18"/>
          <w:color w:val="3E5588"/>
        </w:rPr>
        <w:t>the filing and effectiveness of our restated certificate of incorporation and the adoption of our amended and restated bylaws upon the closing of this offering.</w:t>
      </w:r>
    </w:p>
    <w:p>
      <w:pPr>
        <w:spacing w:after="0" w:line="186" w:lineRule="exact"/>
        <w:rPr>
          <w:sz w:val="20"/>
          <w:szCs w:val="20"/>
          <w:color w:val="auto"/>
        </w:rPr>
      </w:pPr>
    </w:p>
    <w:p>
      <w:pPr>
        <w:ind w:left="240" w:firstLine="387"/>
        <w:spacing w:after="0" w:line="268" w:lineRule="auto"/>
        <w:rPr>
          <w:sz w:val="20"/>
          <w:szCs w:val="20"/>
          <w:color w:val="auto"/>
        </w:rPr>
      </w:pPr>
      <w:r>
        <w:rPr>
          <w:rFonts w:ascii="Arial" w:cs="Arial" w:eastAsia="Arial" w:hAnsi="Arial"/>
          <w:sz w:val="18"/>
          <w:szCs w:val="18"/>
          <w:color w:val="3E5588"/>
        </w:rPr>
        <w:t>In addition, unless otherwise indicated, all information in this prospectus gives effect to a one-for-seven reverse stock split of our common stock that became effective on July 5, 2019.</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57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657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3E5588"/>
        </w:rPr>
        <w:t>SUMMARY CONSOLIDATED FINANCIAL DATA</w:t>
      </w:r>
    </w:p>
    <w:p>
      <w:pPr>
        <w:spacing w:after="0" w:line="231" w:lineRule="exact"/>
        <w:rPr>
          <w:sz w:val="20"/>
          <w:szCs w:val="20"/>
          <w:color w:val="auto"/>
        </w:rPr>
      </w:pPr>
    </w:p>
    <w:p>
      <w:pPr>
        <w:jc w:val="both"/>
        <w:ind w:left="240" w:firstLine="569"/>
        <w:spacing w:after="0" w:line="288" w:lineRule="auto"/>
        <w:rPr>
          <w:sz w:val="20"/>
          <w:szCs w:val="20"/>
          <w:color w:val="auto"/>
        </w:rPr>
      </w:pPr>
      <w:r>
        <w:rPr>
          <w:rFonts w:ascii="Arial" w:cs="Arial" w:eastAsia="Arial" w:hAnsi="Arial"/>
          <w:sz w:val="16"/>
          <w:szCs w:val="16"/>
          <w:color w:val="3E5588"/>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years ended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3E5588"/>
              </w:rPr>
              <w:t>Year Ended</w:t>
            </w:r>
          </w:p>
        </w:tc>
        <w:tc>
          <w:tcPr>
            <w:tcW w:w="160" w:type="dxa"/>
            <w:vAlign w:val="bottom"/>
          </w:tcPr>
          <w:p>
            <w:pPr>
              <w:spacing w:after="0"/>
              <w:rPr>
                <w:sz w:val="14"/>
                <w:szCs w:val="14"/>
                <w:color w:val="auto"/>
              </w:rPr>
            </w:pPr>
          </w:p>
        </w:tc>
        <w:tc>
          <w:tcPr>
            <w:tcW w:w="1660" w:type="dxa"/>
            <w:vAlign w:val="bottom"/>
            <w:gridSpan w:val="5"/>
          </w:tcPr>
          <w:p>
            <w:pPr>
              <w:jc w:val="right"/>
              <w:ind w:right="498"/>
              <w:spacing w:after="0"/>
              <w:rPr>
                <w:sz w:val="20"/>
                <w:szCs w:val="20"/>
                <w:color w:val="auto"/>
              </w:rPr>
            </w:pPr>
            <w:r>
              <w:rPr>
                <w:rFonts w:ascii="Arial" w:cs="Arial" w:eastAsia="Arial" w:hAnsi="Arial"/>
                <w:sz w:val="14"/>
                <w:szCs w:val="14"/>
                <w:b w:val="1"/>
                <w:bCs w:val="1"/>
                <w:color w:val="3E5588"/>
              </w:rPr>
              <w:t>Three Months</w:t>
            </w:r>
          </w:p>
        </w:tc>
        <w:tc>
          <w:tcPr>
            <w:tcW w:w="0" w:type="dxa"/>
            <w:vAlign w:val="bottom"/>
          </w:tcPr>
          <w:p>
            <w:pPr>
              <w:spacing w:after="0"/>
              <w:rPr>
                <w:sz w:val="1"/>
                <w:szCs w:val="1"/>
                <w:color w:val="auto"/>
              </w:rPr>
            </w:pPr>
          </w:p>
        </w:tc>
      </w:tr>
      <w:tr>
        <w:trPr>
          <w:trHeight w:val="161"/>
        </w:trPr>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3E5588"/>
              </w:rPr>
              <w:t>December 31,</w:t>
            </w:r>
          </w:p>
        </w:tc>
        <w:tc>
          <w:tcPr>
            <w:tcW w:w="160" w:type="dxa"/>
            <w:vAlign w:val="bottom"/>
          </w:tcPr>
          <w:p>
            <w:pPr>
              <w:spacing w:after="0"/>
              <w:rPr>
                <w:sz w:val="14"/>
                <w:szCs w:val="14"/>
                <w:color w:val="auto"/>
              </w:rPr>
            </w:pPr>
          </w:p>
        </w:tc>
        <w:tc>
          <w:tcPr>
            <w:tcW w:w="1660" w:type="dxa"/>
            <w:vAlign w:val="bottom"/>
            <w:gridSpan w:val="5"/>
          </w:tcPr>
          <w:p>
            <w:pPr>
              <w:jc w:val="right"/>
              <w:ind w:right="398"/>
              <w:spacing w:after="0"/>
              <w:rPr>
                <w:sz w:val="20"/>
                <w:szCs w:val="20"/>
                <w:color w:val="auto"/>
              </w:rPr>
            </w:pPr>
            <w:r>
              <w:rPr>
                <w:rFonts w:ascii="Arial" w:cs="Arial" w:eastAsia="Arial" w:hAnsi="Arial"/>
                <w:sz w:val="14"/>
                <w:szCs w:val="14"/>
                <w:b w:val="1"/>
                <w:bCs w:val="1"/>
                <w:color w:val="3E5588"/>
              </w:rPr>
              <w:t>Ended March 31,</w:t>
            </w: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Borders>
              <w:top w:val="single" w:sz="8" w:color="3E5588"/>
              <w:bottom w:val="single" w:sz="8" w:color="3E5588"/>
            </w:tcBorders>
          </w:tcPr>
          <w:p>
            <w:pPr>
              <w:spacing w:after="0"/>
              <w:rPr>
                <w:sz w:val="12"/>
                <w:szCs w:val="12"/>
                <w:color w:val="auto"/>
              </w:rPr>
            </w:pPr>
          </w:p>
        </w:tc>
        <w:tc>
          <w:tcPr>
            <w:tcW w:w="600" w:type="dxa"/>
            <w:vAlign w:val="bottom"/>
            <w:tcBorders>
              <w:top w:val="single" w:sz="8" w:color="3E5588"/>
              <w:bottom w:val="single" w:sz="8" w:color="3E5588"/>
            </w:tcBorders>
          </w:tcPr>
          <w:p>
            <w:pPr>
              <w:jc w:val="right"/>
              <w:ind w:right="158"/>
              <w:spacing w:after="0" w:line="142" w:lineRule="exact"/>
              <w:rPr>
                <w:sz w:val="20"/>
                <w:szCs w:val="20"/>
                <w:color w:val="auto"/>
              </w:rPr>
            </w:pPr>
            <w:r>
              <w:rPr>
                <w:rFonts w:ascii="Arial" w:cs="Arial" w:eastAsia="Arial" w:hAnsi="Arial"/>
                <w:sz w:val="14"/>
                <w:szCs w:val="14"/>
                <w:b w:val="1"/>
                <w:bCs w:val="1"/>
                <w:color w:val="3E5588"/>
              </w:rPr>
              <w:t>2017</w:t>
            </w:r>
          </w:p>
        </w:tc>
        <w:tc>
          <w:tcPr>
            <w:tcW w:w="160" w:type="dxa"/>
            <w:vAlign w:val="bottom"/>
            <w:tcBorders>
              <w:top w:val="single" w:sz="8" w:color="3E5588"/>
            </w:tcBorders>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4"/>
              <w:spacing w:after="0" w:line="142" w:lineRule="exact"/>
              <w:rPr>
                <w:sz w:val="20"/>
                <w:szCs w:val="20"/>
                <w:color w:val="auto"/>
              </w:rPr>
            </w:pPr>
            <w:r>
              <w:rPr>
                <w:rFonts w:ascii="Arial" w:cs="Arial" w:eastAsia="Arial" w:hAnsi="Arial"/>
                <w:sz w:val="14"/>
                <w:szCs w:val="14"/>
                <w:b w:val="1"/>
                <w:bCs w:val="1"/>
                <w:color w:val="3E5588"/>
              </w:rPr>
              <w:t>2018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520" w:type="dxa"/>
            <w:vAlign w:val="bottom"/>
            <w:tcBorders>
              <w:top w:val="single" w:sz="8" w:color="3E5588"/>
              <w:bottom w:val="single" w:sz="8" w:color="3E5588"/>
            </w:tcBorders>
          </w:tcPr>
          <w:p>
            <w:pPr>
              <w:jc w:val="right"/>
              <w:ind w:right="117"/>
              <w:spacing w:after="0" w:line="142" w:lineRule="exact"/>
              <w:rPr>
                <w:sz w:val="20"/>
                <w:szCs w:val="20"/>
                <w:color w:val="auto"/>
              </w:rPr>
            </w:pPr>
            <w:r>
              <w:rPr>
                <w:rFonts w:ascii="Arial" w:cs="Arial" w:eastAsia="Arial" w:hAnsi="Arial"/>
                <w:sz w:val="14"/>
                <w:szCs w:val="14"/>
                <w:b w:val="1"/>
                <w:bCs w:val="1"/>
                <w:color w:val="3E5588"/>
                <w:w w:val="96"/>
              </w:rPr>
              <w:t>2018</w:t>
            </w:r>
          </w:p>
        </w:tc>
        <w:tc>
          <w:tcPr>
            <w:tcW w:w="200" w:type="dxa"/>
            <w:vAlign w:val="bottom"/>
            <w:tcBorders>
              <w:top w:val="single" w:sz="8" w:color="3E5588"/>
            </w:tcBorders>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54"/>
              <w:spacing w:after="0" w:line="142" w:lineRule="exact"/>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10"/>
          </w:tcPr>
          <w:p>
            <w:pPr>
              <w:jc w:val="right"/>
              <w:spacing w:after="0" w:line="142" w:lineRule="exact"/>
              <w:rPr>
                <w:sz w:val="20"/>
                <w:szCs w:val="20"/>
                <w:color w:val="auto"/>
              </w:rPr>
            </w:pPr>
            <w:r>
              <w:rPr>
                <w:rFonts w:ascii="Arial" w:cs="Arial" w:eastAsia="Arial" w:hAnsi="Arial"/>
                <w:sz w:val="14"/>
                <w:szCs w:val="14"/>
                <w:b w:val="1"/>
                <w:bCs w:val="1"/>
                <w:color w:val="3E5588"/>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E5588"/>
              </w:rPr>
              <w:t>Consolidated Statement of Operations Data:</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3E5588"/>
              </w:rPr>
              <w:t>Operating expenses: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E5588"/>
              </w:rPr>
              <w:t>Research and development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3E5588"/>
              </w:rPr>
              <w:t>18,494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25,184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3E5588"/>
              </w:rPr>
              <w:t>5,573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3E5588"/>
              </w:rPr>
              <w:t>34,629</w:t>
            </w: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3E5588"/>
              </w:rPr>
              <w:t>General and administrative</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3E5588"/>
              </w:rPr>
              <w:t>4,499</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E5588"/>
              </w:rPr>
              <w:t>8,314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3E5588"/>
              </w:rPr>
              <w:t>1,737</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3E5588"/>
              </w:rPr>
              <w:t>2,598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shd w:val="clear" w:color="auto" w:fill="3E5588"/>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520" w:type="dxa"/>
            <w:vAlign w:val="bottom"/>
            <w:shd w:val="clear" w:color="auto" w:fill="3E558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3E5588"/>
              </w:rPr>
              <w:t>Total operating expenses</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3E5588"/>
              </w:rPr>
              <w:t>22,993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33,498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3E5588"/>
              </w:rPr>
              <w:t>7,310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3E5588"/>
              </w:rPr>
              <w:t>37,227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3E5588"/>
              </w:rPr>
              <w:t>Loss from operations</w:t>
            </w:r>
          </w:p>
        </w:tc>
        <w:tc>
          <w:tcPr>
            <w:tcW w:w="180" w:type="dxa"/>
            <w:vAlign w:val="bottom"/>
            <w:tcBorders>
              <w:top w:val="single" w:sz="8" w:color="3E5588"/>
              <w:bottom w:val="single" w:sz="8" w:color="3E5588"/>
            </w:tcBorders>
          </w:tcPr>
          <w:p>
            <w:pPr>
              <w:spacing w:after="0"/>
              <w:rPr>
                <w:sz w:val="18"/>
                <w:szCs w:val="18"/>
                <w:color w:val="auto"/>
              </w:rPr>
            </w:pPr>
          </w:p>
        </w:tc>
        <w:tc>
          <w:tcPr>
            <w:tcW w:w="6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86"/>
              </w:rPr>
              <w:t>(22,993)</w:t>
            </w:r>
          </w:p>
        </w:tc>
        <w:tc>
          <w:tcPr>
            <w:tcW w:w="160" w:type="dxa"/>
            <w:vAlign w:val="bottom"/>
          </w:tcPr>
          <w:p>
            <w:pPr>
              <w:spacing w:after="0"/>
              <w:rPr>
                <w:sz w:val="18"/>
                <w:szCs w:val="18"/>
                <w:color w:val="auto"/>
              </w:rPr>
            </w:pPr>
          </w:p>
        </w:tc>
        <w:tc>
          <w:tcPr>
            <w:tcW w:w="160" w:type="dxa"/>
            <w:vAlign w:val="bottom"/>
            <w:tcBorders>
              <w:top w:val="single" w:sz="8" w:color="3E5588"/>
              <w:bottom w:val="single" w:sz="8" w:color="3E5588"/>
            </w:tcBorders>
          </w:tcPr>
          <w:p>
            <w:pPr>
              <w:spacing w:after="0"/>
              <w:rPr>
                <w:sz w:val="18"/>
                <w:szCs w:val="18"/>
                <w:color w:val="auto"/>
              </w:rPr>
            </w:pP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89"/>
              </w:rPr>
              <w:t>(33,498)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3E5588"/>
              <w:bottom w:val="single" w:sz="8" w:color="3E5588"/>
            </w:tcBorders>
          </w:tcPr>
          <w:p>
            <w:pPr>
              <w:spacing w:after="0"/>
              <w:rPr>
                <w:sz w:val="18"/>
                <w:szCs w:val="18"/>
                <w:color w:val="auto"/>
              </w:rPr>
            </w:pPr>
          </w:p>
        </w:tc>
        <w:tc>
          <w:tcPr>
            <w:tcW w:w="5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87"/>
              </w:rPr>
              <w:t>(7,310)</w:t>
            </w:r>
          </w:p>
        </w:tc>
        <w:tc>
          <w:tcPr>
            <w:tcW w:w="200" w:type="dxa"/>
            <w:vAlign w:val="bottom"/>
          </w:tcPr>
          <w:p>
            <w:pPr>
              <w:spacing w:after="0"/>
              <w:rPr>
                <w:sz w:val="18"/>
                <w:szCs w:val="18"/>
                <w:color w:val="auto"/>
              </w:rPr>
            </w:pPr>
          </w:p>
        </w:tc>
        <w:tc>
          <w:tcPr>
            <w:tcW w:w="160" w:type="dxa"/>
            <w:vAlign w:val="bottom"/>
            <w:tcBorders>
              <w:top w:val="single" w:sz="8" w:color="3E5588"/>
              <w:bottom w:val="single" w:sz="8" w:color="3E5588"/>
            </w:tcBorders>
          </w:tcPr>
          <w:p>
            <w:pPr>
              <w:spacing w:after="0"/>
              <w:rPr>
                <w:sz w:val="18"/>
                <w:szCs w:val="18"/>
                <w:color w:val="auto"/>
              </w:rPr>
            </w:pP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89"/>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Other income, net: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180"/>
              <w:spacing w:after="0"/>
              <w:rPr>
                <w:sz w:val="20"/>
                <w:szCs w:val="20"/>
                <w:color w:val="auto"/>
              </w:rPr>
            </w:pPr>
            <w:r>
              <w:rPr>
                <w:rFonts w:ascii="Arial" w:cs="Arial" w:eastAsia="Arial" w:hAnsi="Arial"/>
                <w:sz w:val="18"/>
                <w:szCs w:val="18"/>
                <w:color w:val="3E5588"/>
              </w:rPr>
              <w:t>Interest income, net</w:t>
            </w:r>
          </w:p>
        </w:tc>
        <w:tc>
          <w:tcPr>
            <w:tcW w:w="180" w:type="dxa"/>
            <w:vAlign w:val="bottom"/>
          </w:tcPr>
          <w:p>
            <w:pPr>
              <w:spacing w:after="0"/>
              <w:rPr>
                <w:sz w:val="18"/>
                <w:szCs w:val="18"/>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3E5588"/>
              </w:rPr>
              <w:t>1</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E5588"/>
              </w:rPr>
              <w:t>518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3E5588"/>
              </w:rPr>
              <w:t>377</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3E5588"/>
              </w:rPr>
              <w:t>Other income</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3E5588"/>
              </w:rPr>
              <w:t>28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3E5588"/>
              </w:rPr>
              <w:t>370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3E5588"/>
              </w:rPr>
              <w:t>7</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3E5588"/>
              </w:rPr>
              <w:t>Net loss and comprehensive loss</w:t>
            </w:r>
          </w:p>
        </w:tc>
        <w:tc>
          <w:tcPr>
            <w:tcW w:w="1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6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4"/>
              </w:rPr>
              <w:t>(22,964</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1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8"/>
              </w:rPr>
              <w:t>(32,588</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3E5588"/>
                <w:w w:val="74"/>
              </w:rPr>
              <w:t>)</w:t>
            </w:r>
          </w:p>
        </w:tc>
        <w:tc>
          <w:tcPr>
            <w:tcW w:w="1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5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7"/>
              </w:rPr>
              <w:t>(6,940</w:t>
            </w:r>
          </w:p>
        </w:tc>
        <w:tc>
          <w:tcPr>
            <w:tcW w:w="200" w:type="dxa"/>
            <w:vAlign w:val="bottom"/>
          </w:tcPr>
          <w:p>
            <w:pPr>
              <w:jc w:val="right"/>
              <w:ind w:right="32"/>
              <w:spacing w:after="0"/>
              <w:rPr>
                <w:sz w:val="20"/>
                <w:szCs w:val="20"/>
                <w:color w:val="auto"/>
              </w:rPr>
            </w:pPr>
            <w:r>
              <w:rPr>
                <w:rFonts w:ascii="Arial" w:cs="Arial" w:eastAsia="Arial" w:hAnsi="Arial"/>
                <w:sz w:val="18"/>
                <w:szCs w:val="18"/>
                <w:color w:val="3E5588"/>
                <w:w w:val="99"/>
              </w:rPr>
              <w:t>)</w:t>
            </w:r>
          </w:p>
        </w:tc>
        <w:tc>
          <w:tcPr>
            <w:tcW w:w="1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8"/>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3E5588"/>
            </w:tcBorders>
          </w:tcPr>
          <w:p>
            <w:pPr>
              <w:spacing w:after="0" w:line="20" w:lineRule="exact"/>
              <w:rPr>
                <w:sz w:val="1"/>
                <w:szCs w:val="1"/>
                <w:color w:val="auto"/>
              </w:rPr>
            </w:pPr>
          </w:p>
        </w:tc>
        <w:tc>
          <w:tcPr>
            <w:tcW w:w="60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520" w:type="dxa"/>
            <w:vAlign w:val="bottom"/>
            <w:tcBorders>
              <w:bottom w:val="single" w:sz="8" w:color="3E5588"/>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3E5588"/>
              </w:rPr>
              <w:t>Cumulative convertible preferred stock dividends</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3E5588"/>
                <w:w w:val="79"/>
              </w:rPr>
              <w:t>$</w:t>
            </w:r>
          </w:p>
        </w:tc>
        <w:tc>
          <w:tcPr>
            <w:tcW w:w="76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3E5588"/>
              </w:rPr>
              <w:t>(2,407)</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3E5588"/>
                <w:w w:val="79"/>
              </w:rPr>
              <w:t>$</w:t>
            </w:r>
          </w:p>
        </w:tc>
        <w:tc>
          <w:tcPr>
            <w:tcW w:w="800" w:type="dxa"/>
            <w:vAlign w:val="bottom"/>
            <w:gridSpan w:val="3"/>
            <w:shd w:val="clear" w:color="auto" w:fill="CCEEFF"/>
          </w:tcPr>
          <w:p>
            <w:pPr>
              <w:jc w:val="right"/>
              <w:ind w:right="120"/>
              <w:spacing w:after="0" w:line="196" w:lineRule="exact"/>
              <w:rPr>
                <w:sz w:val="20"/>
                <w:szCs w:val="20"/>
                <w:color w:val="auto"/>
              </w:rPr>
            </w:pPr>
            <w:r>
              <w:rPr>
                <w:rFonts w:ascii="Arial" w:cs="Arial" w:eastAsia="Arial" w:hAnsi="Arial"/>
                <w:sz w:val="18"/>
                <w:szCs w:val="18"/>
                <w:color w:val="3E5588"/>
              </w:rPr>
              <w:t>(6,559)</w:t>
            </w: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3E5588"/>
              </w:rPr>
              <w:t>(828)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3E5588"/>
              </w:rPr>
              <w:t>(3,041)</w:t>
            </w:r>
          </w:p>
        </w:tc>
        <w:tc>
          <w:tcPr>
            <w:tcW w:w="0" w:type="dxa"/>
            <w:vAlign w:val="bottom"/>
          </w:tcPr>
          <w:p>
            <w:pPr>
              <w:spacing w:after="0"/>
              <w:rPr>
                <w:sz w:val="1"/>
                <w:szCs w:val="1"/>
                <w:color w:val="auto"/>
              </w:rPr>
            </w:pPr>
          </w:p>
        </w:tc>
      </w:tr>
      <w:tr>
        <w:trPr>
          <w:trHeight w:val="210"/>
        </w:trPr>
        <w:tc>
          <w:tcPr>
            <w:tcW w:w="5020" w:type="dxa"/>
            <w:vAlign w:val="bottom"/>
            <w:gridSpan w:val="2"/>
          </w:tcPr>
          <w:p>
            <w:pPr>
              <w:spacing w:after="0"/>
              <w:rPr>
                <w:sz w:val="20"/>
                <w:szCs w:val="20"/>
                <w:color w:val="auto"/>
              </w:rPr>
            </w:pPr>
            <w:r>
              <w:rPr>
                <w:rFonts w:ascii="Arial" w:cs="Arial" w:eastAsia="Arial" w:hAnsi="Arial"/>
                <w:sz w:val="18"/>
                <w:szCs w:val="18"/>
                <w:color w:val="3E5588"/>
              </w:rPr>
              <w:t>Net loss attributable to common stockholders</w:t>
            </w:r>
          </w:p>
        </w:tc>
        <w:tc>
          <w:tcPr>
            <w:tcW w:w="1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6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4"/>
              </w:rPr>
              <w:t>(25,371</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1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8"/>
              </w:rPr>
              <w:t>(39,147</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3E5588"/>
                <w:w w:val="74"/>
              </w:rPr>
              <w:t>)</w:t>
            </w:r>
          </w:p>
        </w:tc>
        <w:tc>
          <w:tcPr>
            <w:tcW w:w="1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5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7"/>
              </w:rPr>
              <w:t>(7,768</w:t>
            </w:r>
          </w:p>
        </w:tc>
        <w:tc>
          <w:tcPr>
            <w:tcW w:w="200" w:type="dxa"/>
            <w:vAlign w:val="bottom"/>
          </w:tcPr>
          <w:p>
            <w:pPr>
              <w:jc w:val="right"/>
              <w:ind w:right="32"/>
              <w:spacing w:after="0"/>
              <w:rPr>
                <w:sz w:val="20"/>
                <w:szCs w:val="20"/>
                <w:color w:val="auto"/>
              </w:rPr>
            </w:pPr>
            <w:r>
              <w:rPr>
                <w:rFonts w:ascii="Arial" w:cs="Arial" w:eastAsia="Arial" w:hAnsi="Arial"/>
                <w:sz w:val="18"/>
                <w:szCs w:val="18"/>
                <w:color w:val="3E5588"/>
                <w:w w:val="99"/>
              </w:rPr>
              <w:t>)</w:t>
            </w:r>
          </w:p>
        </w:tc>
        <w:tc>
          <w:tcPr>
            <w:tcW w:w="1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8"/>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bottom w:val="single" w:sz="8" w:color="3E5588"/>
            </w:tcBorders>
          </w:tcPr>
          <w:p>
            <w:pPr>
              <w:spacing w:after="0" w:line="20" w:lineRule="exact"/>
              <w:rPr>
                <w:sz w:val="1"/>
                <w:szCs w:val="1"/>
                <w:color w:val="auto"/>
              </w:rPr>
            </w:pPr>
          </w:p>
        </w:tc>
        <w:tc>
          <w:tcPr>
            <w:tcW w:w="60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520" w:type="dxa"/>
            <w:vAlign w:val="bottom"/>
            <w:tcBorders>
              <w:bottom w:val="single" w:sz="8" w:color="3E5588"/>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E5588"/>
                <w:w w:val="94"/>
              </w:rPr>
              <w:t>Net loss per share attributable to common stockholders, basic and</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3E5588"/>
              </w:rPr>
              <w:t>diluted</w:t>
            </w:r>
            <w:r>
              <w:rPr>
                <w:rFonts w:ascii="Arial" w:cs="Arial" w:eastAsia="Arial" w:hAnsi="Arial"/>
                <w:sz w:val="29"/>
                <w:szCs w:val="29"/>
                <w:color w:val="3E5588"/>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6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rPr>
              <w:t>(35.68)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E5588"/>
              </w:rPr>
              <w:t>(31.14)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3E5588"/>
              </w:rPr>
              <w:t>(7.62)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rPr>
              <w:t>(24.29)</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3E5588"/>
                <w:w w:val="95"/>
              </w:rPr>
              <w:t>Weighted average number of common shares used in net loss per</w:t>
            </w:r>
          </w:p>
        </w:tc>
        <w:tc>
          <w:tcPr>
            <w:tcW w:w="1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3E5588"/>
                <w:w w:val="94"/>
              </w:rPr>
              <w:t>share attributable to common stockholders, basic and diluted</w:t>
            </w:r>
            <w:r>
              <w:rPr>
                <w:rFonts w:ascii="Arial" w:cs="Arial" w:eastAsia="Arial" w:hAnsi="Arial"/>
                <w:sz w:val="29"/>
                <w:szCs w:val="29"/>
                <w:color w:val="3E5588"/>
                <w:w w:val="94"/>
                <w:vertAlign w:val="superscript"/>
              </w:rPr>
              <w:t>(1)</w:t>
            </w:r>
          </w:p>
        </w:tc>
        <w:tc>
          <w:tcPr>
            <w:tcW w:w="180" w:type="dxa"/>
            <w:vAlign w:val="bottom"/>
          </w:tcPr>
          <w:p>
            <w:pPr>
              <w:spacing w:after="0"/>
              <w:rPr>
                <w:sz w:val="22"/>
                <w:szCs w:val="22"/>
                <w:color w:val="auto"/>
              </w:rPr>
            </w:pPr>
          </w:p>
        </w:tc>
        <w:tc>
          <w:tcPr>
            <w:tcW w:w="760" w:type="dxa"/>
            <w:vAlign w:val="bottom"/>
            <w:gridSpan w:val="2"/>
          </w:tcPr>
          <w:p>
            <w:pPr>
              <w:jc w:val="right"/>
              <w:ind w:right="78"/>
              <w:spacing w:after="0"/>
              <w:rPr>
                <w:sz w:val="20"/>
                <w:szCs w:val="20"/>
                <w:color w:val="auto"/>
              </w:rPr>
            </w:pPr>
            <w:r>
              <w:rPr>
                <w:rFonts w:ascii="Arial" w:cs="Arial" w:eastAsia="Arial" w:hAnsi="Arial"/>
                <w:sz w:val="18"/>
                <w:szCs w:val="18"/>
                <w:color w:val="3E5588"/>
              </w:rPr>
              <w:t>711</w:t>
            </w: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E5588"/>
              </w:rPr>
              <w:t>1,257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gridSpan w:val="2"/>
          </w:tcPr>
          <w:p>
            <w:pPr>
              <w:jc w:val="right"/>
              <w:ind w:right="92"/>
              <w:spacing w:after="0"/>
              <w:rPr>
                <w:sz w:val="20"/>
                <w:szCs w:val="20"/>
                <w:color w:val="auto"/>
              </w:rPr>
            </w:pPr>
            <w:r>
              <w:rPr>
                <w:rFonts w:ascii="Arial" w:cs="Arial" w:eastAsia="Arial" w:hAnsi="Arial"/>
                <w:sz w:val="18"/>
                <w:szCs w:val="18"/>
                <w:color w:val="3E5588"/>
              </w:rPr>
              <w:t>1,019</w:t>
            </w: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3E5588"/>
              </w:rPr>
              <w:t>1,642</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E5588"/>
                <w:w w:val="95"/>
              </w:rPr>
              <w:t>Pro forma net loss per share attributable to common stockholders,</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2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3E5588"/>
              </w:rPr>
              <w:t>basic and diluted</w:t>
            </w:r>
            <w:r>
              <w:rPr>
                <w:rFonts w:ascii="Arial" w:cs="Arial" w:eastAsia="Arial" w:hAnsi="Arial"/>
                <w:sz w:val="29"/>
                <w:szCs w:val="29"/>
                <w:color w:val="3E5588"/>
                <w:vertAlign w:val="superscript"/>
              </w:rPr>
              <w:t>(1)</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3E5588"/>
              </w:rPr>
              <w:t>(2.98)</w:t>
            </w:r>
          </w:p>
        </w:tc>
        <w:tc>
          <w:tcPr>
            <w:tcW w:w="1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rPr>
              <w:t>(2.17)</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color w:val="3E5588"/>
                <w:w w:val="92"/>
              </w:rPr>
              <w:t>Pro forma weighted average number of common shares used in net</w:t>
            </w: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20" w:type="dxa"/>
            <w:vAlign w:val="bottom"/>
            <w:gridSpan w:val="2"/>
          </w:tcPr>
          <w:p>
            <w:pPr>
              <w:ind w:left="180"/>
              <w:spacing w:after="0"/>
              <w:rPr>
                <w:sz w:val="20"/>
                <w:szCs w:val="20"/>
                <w:color w:val="auto"/>
              </w:rPr>
            </w:pPr>
            <w:r>
              <w:rPr>
                <w:rFonts w:ascii="Arial" w:cs="Arial" w:eastAsia="Arial" w:hAnsi="Arial"/>
                <w:sz w:val="18"/>
                <w:szCs w:val="18"/>
                <w:color w:val="3E5588"/>
                <w:w w:val="97"/>
              </w:rPr>
              <w:t>loss per share attributable to common stockholders, basic and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020" w:type="dxa"/>
            <w:vAlign w:val="bottom"/>
            <w:gridSpan w:val="2"/>
          </w:tcPr>
          <w:p>
            <w:pPr>
              <w:ind w:left="180"/>
              <w:spacing w:after="0" w:line="263" w:lineRule="exact"/>
              <w:rPr>
                <w:sz w:val="20"/>
                <w:szCs w:val="20"/>
                <w:color w:val="auto"/>
              </w:rPr>
            </w:pPr>
            <w:r>
              <w:rPr>
                <w:rFonts w:ascii="Arial" w:cs="Arial" w:eastAsia="Arial" w:hAnsi="Arial"/>
                <w:sz w:val="18"/>
                <w:szCs w:val="18"/>
                <w:color w:val="3E5588"/>
              </w:rPr>
              <w:t>diluted</w:t>
            </w:r>
            <w:r>
              <w:rPr>
                <w:rFonts w:ascii="Arial" w:cs="Arial" w:eastAsia="Arial" w:hAnsi="Arial"/>
                <w:sz w:val="29"/>
                <w:szCs w:val="29"/>
                <w:color w:val="3E5588"/>
                <w:vertAlign w:val="superscript"/>
              </w:rPr>
              <w:t>(1)</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3E5588"/>
              </w:rPr>
              <w:t>10,951</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78"/>
              <w:spacing w:after="0"/>
              <w:rPr>
                <w:sz w:val="20"/>
                <w:szCs w:val="20"/>
                <w:color w:val="auto"/>
              </w:rPr>
            </w:pPr>
            <w:r>
              <w:rPr>
                <w:rFonts w:ascii="Arial" w:cs="Arial" w:eastAsia="Arial" w:hAnsi="Arial"/>
                <w:sz w:val="18"/>
                <w:szCs w:val="18"/>
                <w:color w:val="3E5588"/>
              </w:rPr>
              <w:t>16,940</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20" w:type="dxa"/>
            <w:vAlign w:val="bottom"/>
            <w:tcBorders>
              <w:top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900" w:type="dxa"/>
            <w:vAlign w:val="bottom"/>
            <w:tcBorders>
              <w:bottom w:val="single" w:sz="8" w:color="3E5588"/>
            </w:tcBorders>
          </w:tcPr>
          <w:p>
            <w:pPr>
              <w:spacing w:after="0"/>
              <w:rPr>
                <w:sz w:val="7"/>
                <w:szCs w:val="7"/>
                <w:color w:val="auto"/>
              </w:rPr>
            </w:pPr>
          </w:p>
        </w:tc>
        <w:tc>
          <w:tcPr>
            <w:tcW w:w="4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both"/>
        <w:ind w:left="1880" w:hanging="544"/>
        <w:spacing w:after="0" w:line="259" w:lineRule="auto"/>
        <w:tabs>
          <w:tab w:leader="none" w:pos="1880" w:val="left"/>
        </w:tabs>
        <w:numPr>
          <w:ilvl w:val="0"/>
          <w:numId w:val="8"/>
        </w:numPr>
        <w:rPr>
          <w:rFonts w:ascii="Arial" w:cs="Arial" w:eastAsia="Arial" w:hAnsi="Arial"/>
          <w:sz w:val="18"/>
          <w:szCs w:val="18"/>
          <w:color w:val="3E5588"/>
        </w:rPr>
      </w:pPr>
      <w:r>
        <w:rPr>
          <w:rFonts w:ascii="Arial" w:cs="Arial" w:eastAsia="Arial" w:hAnsi="Arial"/>
          <w:sz w:val="18"/>
          <w:szCs w:val="18"/>
          <w:color w:val="3E5588"/>
        </w:rPr>
        <w:t>See Note 12 to our annual and interim consolidated financial statements appearing at the end of this prospectus for details on the calculation of basic and diluted net loss per share attributable to common stockholders and basic and diluted pro forma net loss per share attributable to common stockholders.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082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08292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Borders>
              <w:bottom w:val="single" w:sz="8" w:color="3E5588"/>
            </w:tcBorders>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1240" w:type="dxa"/>
            <w:vAlign w:val="bottom"/>
            <w:tcBorders>
              <w:bottom w:val="single" w:sz="8" w:color="3E5588"/>
            </w:tcBorders>
            <w:gridSpan w:val="4"/>
          </w:tcPr>
          <w:p>
            <w:pPr>
              <w:ind w:left="20"/>
              <w:spacing w:after="0"/>
              <w:rPr>
                <w:sz w:val="20"/>
                <w:szCs w:val="20"/>
                <w:color w:val="auto"/>
              </w:rPr>
            </w:pPr>
            <w:r>
              <w:rPr>
                <w:rFonts w:ascii="Arial" w:cs="Arial" w:eastAsia="Arial" w:hAnsi="Arial"/>
                <w:sz w:val="14"/>
                <w:szCs w:val="14"/>
                <w:b w:val="1"/>
                <w:bCs w:val="1"/>
                <w:color w:val="3E5588"/>
                <w:w w:val="86"/>
              </w:rPr>
              <w:t>As of March 31, 2019</w:t>
            </w:r>
          </w:p>
        </w:tc>
        <w:tc>
          <w:tcPr>
            <w:tcW w:w="940" w:type="dxa"/>
            <w:vAlign w:val="bottom"/>
            <w:tcBorders>
              <w:bottom w:val="single" w:sz="8" w:color="3E5588"/>
            </w:tcBorders>
          </w:tcPr>
          <w:p>
            <w:pPr>
              <w:spacing w:after="0"/>
              <w:rPr>
                <w:sz w:val="14"/>
                <w:szCs w:val="14"/>
                <w:color w:val="auto"/>
              </w:rPr>
            </w:pPr>
          </w:p>
        </w:tc>
        <w:tc>
          <w:tcPr>
            <w:tcW w:w="160" w:type="dxa"/>
            <w:vAlign w:val="bottom"/>
          </w:tcPr>
          <w:p>
            <w:pPr>
              <w:spacing w:after="0"/>
              <w:rPr>
                <w:sz w:val="14"/>
                <w:szCs w:val="14"/>
                <w:color w:val="auto"/>
              </w:rPr>
            </w:pPr>
          </w:p>
        </w:tc>
      </w:tr>
      <w:tr>
        <w:trPr>
          <w:trHeight w:val="124"/>
        </w:trPr>
        <w:tc>
          <w:tcPr>
            <w:tcW w:w="90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ind w:right="118"/>
              <w:spacing w:after="0" w:line="125" w:lineRule="exact"/>
              <w:rPr>
                <w:sz w:val="20"/>
                <w:szCs w:val="20"/>
                <w:color w:val="auto"/>
              </w:rPr>
            </w:pPr>
            <w:r>
              <w:rPr>
                <w:rFonts w:ascii="Arial" w:cs="Arial" w:eastAsia="Arial" w:hAnsi="Arial"/>
                <w:sz w:val="14"/>
                <w:szCs w:val="14"/>
                <w:b w:val="1"/>
                <w:bCs w:val="1"/>
                <w:color w:val="3E5588"/>
              </w:rPr>
              <w:t>Pro Forma</w:t>
            </w:r>
          </w:p>
        </w:tc>
        <w:tc>
          <w:tcPr>
            <w:tcW w:w="160" w:type="dxa"/>
            <w:vAlign w:val="bottom"/>
          </w:tcPr>
          <w:p>
            <w:pPr>
              <w:spacing w:after="0"/>
              <w:rPr>
                <w:sz w:val="10"/>
                <w:szCs w:val="10"/>
                <w:color w:val="auto"/>
              </w:rPr>
            </w:pPr>
          </w:p>
        </w:tc>
      </w:tr>
      <w:tr>
        <w:trPr>
          <w:trHeight w:val="193"/>
        </w:trPr>
        <w:tc>
          <w:tcPr>
            <w:tcW w:w="90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3E5588"/>
              </w:rPr>
              <w:t>Actual</w:t>
            </w:r>
          </w:p>
        </w:tc>
        <w:tc>
          <w:tcPr>
            <w:tcW w:w="100" w:type="dxa"/>
            <w:vAlign w:val="bottom"/>
          </w:tcPr>
          <w:p>
            <w:pPr>
              <w:spacing w:after="0"/>
              <w:rPr>
                <w:sz w:val="16"/>
                <w:szCs w:val="16"/>
                <w:color w:val="auto"/>
              </w:rPr>
            </w:pPr>
          </w:p>
        </w:tc>
        <w:tc>
          <w:tcPr>
            <w:tcW w:w="104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3E5588"/>
                <w:w w:val="86"/>
              </w:rPr>
              <w:t>Pro Forma</w:t>
            </w:r>
            <w:r>
              <w:rPr>
                <w:rFonts w:ascii="Arial" w:cs="Arial" w:eastAsia="Arial" w:hAnsi="Arial"/>
                <w:sz w:val="22"/>
                <w:szCs w:val="22"/>
                <w:b w:val="1"/>
                <w:bCs w:val="1"/>
                <w:color w:val="3E5588"/>
                <w:w w:val="86"/>
                <w:vertAlign w:val="superscript"/>
              </w:rPr>
              <w:t>(2)</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3E5588"/>
                <w:w w:val="82"/>
              </w:rPr>
              <w:t>As Adjusted</w:t>
            </w:r>
            <w:r>
              <w:rPr>
                <w:rFonts w:ascii="Arial" w:cs="Arial" w:eastAsia="Arial" w:hAnsi="Arial"/>
                <w:sz w:val="22"/>
                <w:szCs w:val="22"/>
                <w:b w:val="1"/>
                <w:bCs w:val="1"/>
                <w:color w:val="3E5588"/>
                <w:w w:val="82"/>
                <w:vertAlign w:val="superscript"/>
              </w:rPr>
              <w:t>(3)</w:t>
            </w:r>
          </w:p>
        </w:tc>
      </w:tr>
      <w:tr>
        <w:trPr>
          <w:trHeight w:val="142"/>
        </w:trPr>
        <w:tc>
          <w:tcPr>
            <w:tcW w:w="9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Borders>
              <w:top w:val="single" w:sz="8" w:color="3E5588"/>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3E5588"/>
            </w:tcBorders>
          </w:tcPr>
          <w:p>
            <w:pPr>
              <w:spacing w:after="0"/>
              <w:rPr>
                <w:sz w:val="12"/>
                <w:szCs w:val="12"/>
                <w:color w:val="auto"/>
              </w:rPr>
            </w:pPr>
          </w:p>
        </w:tc>
        <w:tc>
          <w:tcPr>
            <w:tcW w:w="880" w:type="dxa"/>
            <w:vAlign w:val="bottom"/>
            <w:tcBorders>
              <w:top w:val="single" w:sz="8" w:color="3E5588"/>
            </w:tcBorders>
          </w:tcPr>
          <w:p>
            <w:pPr>
              <w:jc w:val="right"/>
              <w:spacing w:after="0" w:line="142" w:lineRule="exact"/>
              <w:rPr>
                <w:sz w:val="20"/>
                <w:szCs w:val="20"/>
                <w:color w:val="auto"/>
              </w:rPr>
            </w:pPr>
            <w:r>
              <w:rPr>
                <w:rFonts w:ascii="Arial" w:cs="Arial" w:eastAsia="Arial" w:hAnsi="Arial"/>
                <w:sz w:val="14"/>
                <w:szCs w:val="14"/>
                <w:b w:val="1"/>
                <w:bCs w:val="1"/>
                <w:color w:val="3E5588"/>
                <w:w w:val="89"/>
              </w:rPr>
              <w:t>(in thousands)</w:t>
            </w:r>
          </w:p>
        </w:tc>
        <w:tc>
          <w:tcPr>
            <w:tcW w:w="160" w:type="dxa"/>
            <w:vAlign w:val="bottom"/>
          </w:tcPr>
          <w:p>
            <w:pPr>
              <w:spacing w:after="0"/>
              <w:rPr>
                <w:sz w:val="12"/>
                <w:szCs w:val="12"/>
                <w:color w:val="auto"/>
              </w:rPr>
            </w:pPr>
          </w:p>
        </w:tc>
        <w:tc>
          <w:tcPr>
            <w:tcW w:w="100" w:type="dxa"/>
            <w:vAlign w:val="bottom"/>
            <w:tcBorders>
              <w:top w:val="single" w:sz="8" w:color="3E5588"/>
            </w:tcBorders>
          </w:tcPr>
          <w:p>
            <w:pPr>
              <w:spacing w:after="0"/>
              <w:rPr>
                <w:sz w:val="12"/>
                <w:szCs w:val="12"/>
                <w:color w:val="auto"/>
              </w:rPr>
            </w:pPr>
          </w:p>
        </w:tc>
        <w:tc>
          <w:tcPr>
            <w:tcW w:w="940" w:type="dxa"/>
            <w:vAlign w:val="bottom"/>
            <w:tcBorders>
              <w:top w:val="single" w:sz="8" w:color="3E5588"/>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E5588"/>
              </w:rPr>
              <w:t>Consolidated Balance Sheet Data:</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3E5588"/>
              </w:rPr>
              <w:t>Cash and cash equivalents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E5588"/>
                <w:w w:val="97"/>
              </w:rPr>
              <w:t>$   62,452</w:t>
            </w:r>
          </w:p>
        </w:tc>
        <w:tc>
          <w:tcPr>
            <w:tcW w:w="100" w:type="dxa"/>
            <w:vAlign w:val="bottom"/>
          </w:tcPr>
          <w:p>
            <w:pPr>
              <w:ind w:left="20"/>
              <w:spacing w:after="0"/>
              <w:rPr>
                <w:sz w:val="20"/>
                <w:szCs w:val="20"/>
                <w:color w:val="auto"/>
              </w:rPr>
            </w:pPr>
            <w:r>
              <w:rPr>
                <w:rFonts w:ascii="Arial" w:cs="Arial" w:eastAsia="Arial" w:hAnsi="Arial"/>
                <w:sz w:val="15"/>
                <w:szCs w:val="15"/>
                <w:color w:val="3E5588"/>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3E5588"/>
              </w:rPr>
              <w:t>62,452</w:t>
            </w:r>
          </w:p>
        </w:tc>
        <w:tc>
          <w:tcPr>
            <w:tcW w:w="100" w:type="dxa"/>
            <w:vAlign w:val="bottom"/>
          </w:tcPr>
          <w:p>
            <w:pPr>
              <w:jc w:val="right"/>
              <w:spacing w:after="0"/>
              <w:rPr>
                <w:sz w:val="20"/>
                <w:szCs w:val="20"/>
                <w:color w:val="auto"/>
              </w:rPr>
            </w:pPr>
            <w:r>
              <w:rPr>
                <w:rFonts w:ascii="Arial" w:cs="Arial" w:eastAsia="Arial" w:hAnsi="Arial"/>
                <w:sz w:val="18"/>
                <w:szCs w:val="18"/>
                <w:color w:val="3E5588"/>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3E5588"/>
              </w:rPr>
              <w:t>126,312</w:t>
            </w: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3E5588"/>
              </w:rPr>
              <w:t>Working capital</w:t>
            </w:r>
            <w:r>
              <w:rPr>
                <w:rFonts w:ascii="Arial" w:cs="Arial" w:eastAsia="Arial" w:hAnsi="Arial"/>
                <w:sz w:val="29"/>
                <w:szCs w:val="29"/>
                <w:color w:val="3E5588"/>
                <w:vertAlign w:val="superscript"/>
              </w:rPr>
              <w:t>(1)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E5588"/>
              </w:rPr>
              <w:t>59,306</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59,306</w:t>
            </w: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123,166</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3E5588"/>
              </w:rPr>
              <w:t>Total assets</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3E5588"/>
              </w:rPr>
              <w:t>75,588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3E5588"/>
              </w:rPr>
              <w:t>75,588</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3E5588"/>
              </w:rPr>
              <w:t>139,448</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Convertible preferred stock</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E5588"/>
              </w:rPr>
              <w:t>165,136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3E5588"/>
              </w:rPr>
              <w:t>Total stockholders' (deficit) equity</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E5588"/>
              </w:rPr>
              <w:t>(99,687)</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3E5588"/>
              </w:rPr>
              <w:t>65,449</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3E5588"/>
              </w:rPr>
              <w:t>129,309</w:t>
            </w:r>
          </w:p>
        </w:tc>
      </w:tr>
      <w:tr>
        <w:trPr>
          <w:trHeight w:val="102"/>
        </w:trPr>
        <w:tc>
          <w:tcPr>
            <w:tcW w:w="900" w:type="dxa"/>
            <w:vAlign w:val="bottom"/>
            <w:tcBorders>
              <w:bottom w:val="single" w:sz="8" w:color="3E5588"/>
            </w:tcBorders>
          </w:tcPr>
          <w:p>
            <w:pPr>
              <w:spacing w:after="0"/>
              <w:rPr>
                <w:sz w:val="8"/>
                <w:szCs w:val="8"/>
                <w:color w:val="auto"/>
              </w:rPr>
            </w:pPr>
          </w:p>
        </w:tc>
        <w:tc>
          <w:tcPr>
            <w:tcW w:w="4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35"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8"/>
          <w:szCs w:val="18"/>
          <w:color w:val="3E5588"/>
        </w:rPr>
      </w:pPr>
      <w:r>
        <w:rPr>
          <w:rFonts w:ascii="Arial" w:cs="Arial" w:eastAsia="Arial" w:hAnsi="Arial"/>
          <w:sz w:val="18"/>
          <w:szCs w:val="18"/>
          <w:color w:val="3E5588"/>
        </w:rPr>
        <w:t>We define working capital as current assets less current liabilities.</w:t>
      </w:r>
    </w:p>
    <w:p>
      <w:pPr>
        <w:spacing w:after="0" w:line="238" w:lineRule="exact"/>
        <w:rPr>
          <w:rFonts w:ascii="Arial" w:cs="Arial" w:eastAsia="Arial" w:hAnsi="Arial"/>
          <w:sz w:val="18"/>
          <w:szCs w:val="18"/>
          <w:color w:val="3E5588"/>
        </w:rPr>
      </w:pPr>
    </w:p>
    <w:p>
      <w:pPr>
        <w:ind w:left="1880" w:hanging="544"/>
        <w:spacing w:after="0" w:line="268" w:lineRule="auto"/>
        <w:tabs>
          <w:tab w:leader="none" w:pos="1880" w:val="left"/>
        </w:tabs>
        <w:numPr>
          <w:ilvl w:val="0"/>
          <w:numId w:val="9"/>
        </w:numPr>
        <w:rPr>
          <w:rFonts w:ascii="Arial" w:cs="Arial" w:eastAsia="Arial" w:hAnsi="Arial"/>
          <w:sz w:val="18"/>
          <w:szCs w:val="18"/>
          <w:color w:val="3E5588"/>
        </w:rPr>
      </w:pPr>
      <w:r>
        <w:rPr>
          <w:rFonts w:ascii="Arial" w:cs="Arial" w:eastAsia="Arial" w:hAnsi="Arial"/>
          <w:sz w:val="18"/>
          <w:szCs w:val="18"/>
          <w:color w:val="3E5588"/>
        </w:rPr>
        <w:t>The pro forma balance sheet data give effect to the automatic conversion of all outstanding shares of our preferred stock into an aggregate of 16,071,418 shares of common stock upon the closing of this offering.</w:t>
      </w:r>
    </w:p>
    <w:p>
      <w:pPr>
        <w:spacing w:after="0" w:line="199" w:lineRule="exact"/>
        <w:rPr>
          <w:rFonts w:ascii="Arial" w:cs="Arial" w:eastAsia="Arial" w:hAnsi="Arial"/>
          <w:sz w:val="18"/>
          <w:szCs w:val="18"/>
          <w:color w:val="3E5588"/>
        </w:rPr>
      </w:pPr>
    </w:p>
    <w:p>
      <w:pPr>
        <w:jc w:val="both"/>
        <w:ind w:left="1880" w:hanging="544"/>
        <w:spacing w:after="0" w:line="259" w:lineRule="auto"/>
        <w:tabs>
          <w:tab w:leader="none" w:pos="1880" w:val="left"/>
        </w:tabs>
        <w:numPr>
          <w:ilvl w:val="0"/>
          <w:numId w:val="9"/>
        </w:numPr>
        <w:rPr>
          <w:rFonts w:ascii="Arial" w:cs="Arial" w:eastAsia="Arial" w:hAnsi="Arial"/>
          <w:sz w:val="18"/>
          <w:szCs w:val="18"/>
          <w:color w:val="3E5588"/>
        </w:rPr>
      </w:pPr>
      <w:r>
        <w:rPr>
          <w:rFonts w:ascii="Arial" w:cs="Arial" w:eastAsia="Arial" w:hAnsi="Arial"/>
          <w:sz w:val="18"/>
          <w:szCs w:val="18"/>
          <w:color w:val="3E5588"/>
        </w:rPr>
        <w:t>The pro forma as adjusted balance sheet data give further effect to our issuance and sale of 4,500,000 shares of our common stock in this offering at the initial public offering price of $16.00 per share,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3E5588"/>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RISK FACTORS</w:t>
      </w:r>
    </w:p>
    <w:p>
      <w:pPr>
        <w:spacing w:after="0" w:line="23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i w:val="1"/>
          <w:iCs w:val="1"/>
          <w:color w:val="3E5588"/>
        </w:rPr>
        <w:t>Investing in our common stock involves a high degree of risk. You should carefully consider the risks and uncertainties described below together with all of the other information contained in this prospectus, including our consolidated financial statements and the related notes appearing at the end of this prospectus, before deciding to invest in our common stock.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our Financial Position and Need for Additional Capital</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E5588"/>
        </w:rPr>
        <w:t>We have incurred significant losses since our inception. We expect to incur losses over the next several years and may never achieve or maintain profitability.</w:t>
      </w:r>
    </w:p>
    <w:p>
      <w:pPr>
        <w:spacing w:after="0" w:line="260"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6"/>
          <w:szCs w:val="16"/>
          <w:color w:val="3E5588"/>
        </w:rPr>
        <w:t>Since inception, we have incurred significant operating losses. Our net loss was $23.0 million for the year ended December 31, 2017, $32.6 million for the year ended December 31, 2018 and $36.8 million for the three months ended March 31, 2019. As of March 31, 2019, we had an accumulated deficit of $105.0 million. To date, we have financed our operations primarily through the issuance of convertible notes and convertible preferred stock. We have devoted substantially all of our financial resources and efforts to research and development, including clinical trials and preclinical studies. We are still in the early stages of development of our product candidates, and we have not completed development of any product candidates.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186" w:lineRule="exact"/>
        <w:rPr>
          <w:sz w:val="20"/>
          <w:szCs w:val="20"/>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10"/>
        </w:numPr>
        <w:rPr>
          <w:rFonts w:ascii="Arial" w:cs="Arial" w:eastAsia="Arial" w:hAnsi="Arial"/>
          <w:sz w:val="16"/>
          <w:szCs w:val="16"/>
          <w:color w:val="3E5588"/>
        </w:rPr>
      </w:pPr>
      <w:r>
        <w:rPr>
          <w:rFonts w:ascii="Arial" w:cs="Arial" w:eastAsia="Arial" w:hAnsi="Arial"/>
          <w:sz w:val="16"/>
          <w:szCs w:val="16"/>
          <w:color w:val="3E5588"/>
        </w:rPr>
        <w:t>continue investigational new drug application, or IND, enabling studies and prepare for a planned Phase 1 clinical trial of FTX-HbF;</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advance clinical-stage product candidates into later stage trials;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pursue the discovery of drug targets for other rare diseases and the subsequent development of any resulting product candidates;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seek regulatory approvals for any product candidates that successfully complete clinical trials;</w:t>
      </w:r>
    </w:p>
    <w:p>
      <w:pPr>
        <w:spacing w:after="0" w:line="238" w:lineRule="exact"/>
        <w:rPr>
          <w:rFonts w:ascii="Arial" w:cs="Arial" w:eastAsia="Arial" w:hAnsi="Arial"/>
          <w:sz w:val="18"/>
          <w:szCs w:val="18"/>
          <w:color w:val="3E5588"/>
        </w:rPr>
      </w:pPr>
    </w:p>
    <w:p>
      <w:pPr>
        <w:ind w:left="1080" w:hanging="532"/>
        <w:spacing w:after="0" w:line="332" w:lineRule="auto"/>
        <w:tabs>
          <w:tab w:leader="none" w:pos="1080" w:val="left"/>
        </w:tabs>
        <w:numPr>
          <w:ilvl w:val="0"/>
          <w:numId w:val="10"/>
        </w:numPr>
        <w:rPr>
          <w:rFonts w:ascii="Arial" w:cs="Arial" w:eastAsia="Arial" w:hAnsi="Arial"/>
          <w:sz w:val="16"/>
          <w:szCs w:val="16"/>
          <w:color w:val="3E5588"/>
        </w:rPr>
      </w:pPr>
      <w:r>
        <w:rPr>
          <w:rFonts w:ascii="Arial" w:cs="Arial" w:eastAsia="Arial" w:hAnsi="Arial"/>
          <w:sz w:val="16"/>
          <w:szCs w:val="16"/>
          <w:color w:val="3E5588"/>
        </w:rPr>
        <w:t>scale up our manufacturing processes and capabilities, or arrange for a third party to do so on our behalf, to support our clinical trials of our product candidates and commercialization of any of our product candidates for which we may obtain marketing approval;</w:t>
      </w:r>
    </w:p>
    <w:p>
      <w:pPr>
        <w:spacing w:after="0" w:line="152" w:lineRule="exact"/>
        <w:rPr>
          <w:rFonts w:ascii="Arial" w:cs="Arial" w:eastAsia="Arial" w:hAnsi="Arial"/>
          <w:sz w:val="16"/>
          <w:szCs w:val="16"/>
          <w:color w:val="3E5588"/>
        </w:rPr>
      </w:pPr>
    </w:p>
    <w:p>
      <w:pPr>
        <w:ind w:left="1080" w:hanging="532"/>
        <w:spacing w:after="0"/>
        <w:tabs>
          <w:tab w:leader="none" w:pos="1080" w:val="left"/>
        </w:tabs>
        <w:numPr>
          <w:ilvl w:val="0"/>
          <w:numId w:val="10"/>
        </w:numPr>
        <w:rPr>
          <w:rFonts w:ascii="Arial" w:cs="Arial" w:eastAsia="Arial" w:hAnsi="Arial"/>
          <w:sz w:val="16"/>
          <w:szCs w:val="16"/>
          <w:color w:val="3E5588"/>
        </w:rPr>
      </w:pPr>
      <w:r>
        <w:rPr>
          <w:rFonts w:ascii="Arial" w:cs="Arial" w:eastAsia="Arial" w:hAnsi="Arial"/>
          <w:sz w:val="16"/>
          <w:szCs w:val="16"/>
          <w:color w:val="3E5588"/>
        </w:rPr>
        <w:t>establish a sales, marketing and distribution infrastructure to commercialize any products for which we may obtain regulatory approval;</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acquire or in-license products, product candidates, technologies and/or data referencing rights;</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maintain, expand, enforce, defend and protect our intellectual property;</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hire additional clinical, quality control and scientific personnel; and</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0"/>
        </w:numPr>
        <w:rPr>
          <w:rFonts w:ascii="Arial" w:cs="Arial" w:eastAsia="Arial" w:hAnsi="Arial"/>
          <w:sz w:val="18"/>
          <w:szCs w:val="18"/>
          <w:color w:val="3E5588"/>
        </w:rPr>
      </w:pPr>
      <w:r>
        <w:rPr>
          <w:rFonts w:ascii="Arial" w:cs="Arial" w:eastAsia="Arial" w:hAnsi="Arial"/>
          <w:sz w:val="18"/>
          <w:szCs w:val="18"/>
          <w:color w:val="3E5588"/>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3E5588"/>
        </w:rPr>
        <w:t>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w:t>
      </w:r>
    </w:p>
    <w:p>
      <w:pPr>
        <w:spacing w:after="0" w:line="186"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3E5588"/>
        </w:rPr>
      </w:pPr>
      <w:r>
        <w:rPr>
          <w:rFonts w:ascii="Arial" w:cs="Arial" w:eastAsia="Arial" w:hAnsi="Arial"/>
          <w:sz w:val="18"/>
          <w:szCs w:val="18"/>
          <w:color w:val="3E5588"/>
        </w:rPr>
        <w:t>we are required by the U.S. Food and Drug Administration, or the FDA, the European Medicines Agency, or the EMA, or other regulatory authorities to perform trials or studies in addition to, or different than, those expected;</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11"/>
        </w:numPr>
        <w:rPr>
          <w:rFonts w:ascii="Arial" w:cs="Arial" w:eastAsia="Arial" w:hAnsi="Arial"/>
          <w:sz w:val="18"/>
          <w:szCs w:val="18"/>
          <w:color w:val="3E5588"/>
        </w:rPr>
      </w:pPr>
      <w:r>
        <w:rPr>
          <w:rFonts w:ascii="Arial" w:cs="Arial" w:eastAsia="Arial" w:hAnsi="Arial"/>
          <w:sz w:val="18"/>
          <w:szCs w:val="18"/>
          <w:color w:val="3E5588"/>
        </w:rPr>
        <w:t>there are any delays in completing our clinical trials or the development of any of our product candidates; or</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1"/>
        </w:numPr>
        <w:rPr>
          <w:rFonts w:ascii="Arial" w:cs="Arial" w:eastAsia="Arial" w:hAnsi="Arial"/>
          <w:sz w:val="16"/>
          <w:szCs w:val="16"/>
          <w:color w:val="3E5588"/>
        </w:rPr>
      </w:pPr>
      <w:r>
        <w:rPr>
          <w:rFonts w:ascii="Arial" w:cs="Arial" w:eastAsia="Arial" w:hAnsi="Arial"/>
          <w:sz w:val="16"/>
          <w:szCs w:val="16"/>
          <w:color w:val="3E5588"/>
        </w:rPr>
        <w:t>there are any third-party challenges to our intellectual property or we need to defend against any intellectual property-related claim.</w:t>
      </w:r>
    </w:p>
    <w:p>
      <w:pPr>
        <w:spacing w:after="0" w:line="248"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3E5588"/>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you to lose all or part of your investment.</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We will need substantial additional funding. If we are unable to raise capital when needed, we could be forced to delay, reduce or eliminate our product development programs or commercialization efforts.</w:t>
      </w:r>
    </w:p>
    <w:p>
      <w:pPr>
        <w:spacing w:after="0" w:line="186" w:lineRule="exact"/>
        <w:rPr>
          <w:sz w:val="20"/>
          <w:szCs w:val="20"/>
          <w:color w:val="auto"/>
        </w:rPr>
      </w:pPr>
    </w:p>
    <w:p>
      <w:pPr>
        <w:jc w:val="both"/>
        <w:ind w:firstLine="586"/>
        <w:spacing w:after="0" w:line="288" w:lineRule="auto"/>
        <w:rPr>
          <w:sz w:val="20"/>
          <w:szCs w:val="20"/>
          <w:color w:val="auto"/>
        </w:rPr>
      </w:pPr>
      <w:r>
        <w:rPr>
          <w:rFonts w:ascii="Arial" w:cs="Arial" w:eastAsia="Arial" w:hAnsi="Arial"/>
          <w:sz w:val="16"/>
          <w:szCs w:val="16"/>
          <w:color w:val="3E5588"/>
        </w:rPr>
        <w:t>We expect to devote substantial financial resources to our ongoing and planned activities, particularly as we continue our Phase 1 clinical trial of losmapimod and prepare for a planned Phase 2b clinical trial and Phase 2 open label clinical trial of losmapimod and planned Phase 1 clinical trial of FTX-HbF; and continue research and development and initiate additional clinical trials of, and seek regulatory approval for, these and other product candidates. We expect our expenses to increase substantially in connection with our ongoing activities, particularly as we advance our preclinical activities and clinical trials. In addition, if we obtain regulatory approval for any of our product candidates, we expect to incur significant commercialization expenses related to product manufacturing, sales, marketing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acceptable terms, we could be forced to delay, reduce or eliminate our research and development programs or any future commercialization efforts.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Our future capital requirements will depend on many factors, including:</w:t>
      </w:r>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3E5588"/>
        </w:rPr>
      </w:pPr>
      <w:r>
        <w:rPr>
          <w:rFonts w:ascii="Arial" w:cs="Arial" w:eastAsia="Arial" w:hAnsi="Arial"/>
          <w:sz w:val="18"/>
          <w:szCs w:val="18"/>
          <w:color w:val="3E5588"/>
        </w:rPr>
        <w:t>the progress, costs and results of our ongoing Phase 1 clinical trial of losmapimod;</w:t>
      </w:r>
    </w:p>
    <w:p>
      <w:pPr>
        <w:spacing w:after="0" w:line="252"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3E5588"/>
        </w:rPr>
      </w:pPr>
      <w:r>
        <w:rPr>
          <w:rFonts w:ascii="Arial" w:cs="Arial" w:eastAsia="Arial" w:hAnsi="Arial"/>
          <w:sz w:val="18"/>
          <w:szCs w:val="18"/>
          <w:color w:val="3E5588"/>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3E5588"/>
        </w:rPr>
      </w:pPr>
    </w:p>
    <w:p>
      <w:pPr>
        <w:ind w:left="1080" w:hanging="532"/>
        <w:spacing w:after="0"/>
        <w:tabs>
          <w:tab w:leader="none" w:pos="1080" w:val="left"/>
        </w:tabs>
        <w:numPr>
          <w:ilvl w:val="0"/>
          <w:numId w:val="12"/>
        </w:numPr>
        <w:rPr>
          <w:rFonts w:ascii="Arial" w:cs="Arial" w:eastAsia="Arial" w:hAnsi="Arial"/>
          <w:sz w:val="18"/>
          <w:szCs w:val="18"/>
          <w:color w:val="3E5588"/>
        </w:rPr>
      </w:pPr>
      <w:r>
        <w:rPr>
          <w:rFonts w:ascii="Arial" w:cs="Arial" w:eastAsia="Arial" w:hAnsi="Arial"/>
          <w:sz w:val="18"/>
          <w:szCs w:val="18"/>
          <w:color w:val="3E5588"/>
        </w:rPr>
        <w:t>the number of and development requirements for other product candidates that we pursue;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2"/>
        </w:numPr>
        <w:rPr>
          <w:rFonts w:ascii="Arial" w:cs="Arial" w:eastAsia="Arial" w:hAnsi="Arial"/>
          <w:sz w:val="18"/>
          <w:szCs w:val="18"/>
          <w:color w:val="3E5588"/>
        </w:rPr>
      </w:pPr>
      <w:r>
        <w:rPr>
          <w:rFonts w:ascii="Arial" w:cs="Arial" w:eastAsia="Arial" w:hAnsi="Arial"/>
          <w:sz w:val="18"/>
          <w:szCs w:val="18"/>
          <w:color w:val="3E5588"/>
        </w:rPr>
        <w:t>the costs, timing and outcome of regulatory review of our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3"/>
        </w:numPr>
        <w:rPr>
          <w:rFonts w:ascii="Arial" w:cs="Arial" w:eastAsia="Arial" w:hAnsi="Arial"/>
          <w:sz w:val="18"/>
          <w:szCs w:val="18"/>
          <w:color w:val="3E5588"/>
        </w:rPr>
      </w:pPr>
      <w:r>
        <w:rPr>
          <w:rFonts w:ascii="Arial" w:cs="Arial" w:eastAsia="Arial" w:hAnsi="Arial"/>
          <w:sz w:val="18"/>
          <w:szCs w:val="18"/>
          <w:color w:val="3E5588"/>
        </w:rPr>
        <w:t>our ability to enter into contract manufacturing arrangements for supply of active pharmaceutical ingredient, or API, and manufacture of our product candidates and the terms of such arrangements;</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13"/>
        </w:numPr>
        <w:rPr>
          <w:rFonts w:ascii="Arial" w:cs="Arial" w:eastAsia="Arial" w:hAnsi="Arial"/>
          <w:sz w:val="16"/>
          <w:szCs w:val="16"/>
          <w:color w:val="3E5588"/>
        </w:rPr>
      </w:pPr>
      <w:r>
        <w:rPr>
          <w:rFonts w:ascii="Arial" w:cs="Arial" w:eastAsia="Arial" w:hAnsi="Arial"/>
          <w:sz w:val="16"/>
          <w:szCs w:val="16"/>
          <w:color w:val="3E5588"/>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13"/>
        </w:numPr>
        <w:rPr>
          <w:rFonts w:ascii="Arial" w:cs="Arial" w:eastAsia="Arial" w:hAnsi="Arial"/>
          <w:sz w:val="18"/>
          <w:szCs w:val="18"/>
          <w:color w:val="3E5588"/>
        </w:rPr>
      </w:pPr>
      <w:r>
        <w:rPr>
          <w:rFonts w:ascii="Arial" w:cs="Arial" w:eastAsia="Arial" w:hAnsi="Arial"/>
          <w:sz w:val="18"/>
          <w:szCs w:val="18"/>
          <w:color w:val="3E5588"/>
        </w:rPr>
        <w:t>the payment or receipt of milestones and receipt of other collaboration-based revenues, if any;</w:t>
      </w:r>
    </w:p>
    <w:p>
      <w:pPr>
        <w:spacing w:after="0" w:line="238"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3E5588"/>
        </w:rPr>
      </w:pPr>
      <w:r>
        <w:rPr>
          <w:rFonts w:ascii="Arial" w:cs="Arial" w:eastAsia="Arial" w:hAnsi="Arial"/>
          <w:sz w:val="18"/>
          <w:szCs w:val="18"/>
          <w:color w:val="3E5588"/>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13"/>
        </w:numPr>
        <w:rPr>
          <w:rFonts w:ascii="Arial" w:cs="Arial" w:eastAsia="Arial" w:hAnsi="Arial"/>
          <w:sz w:val="16"/>
          <w:szCs w:val="16"/>
          <w:color w:val="3E5588"/>
        </w:rPr>
      </w:pPr>
      <w:r>
        <w:rPr>
          <w:rFonts w:ascii="Arial" w:cs="Arial" w:eastAsia="Arial" w:hAnsi="Arial"/>
          <w:sz w:val="16"/>
          <w:szCs w:val="16"/>
          <w:color w:val="3E5588"/>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13"/>
        </w:numPr>
        <w:rPr>
          <w:rFonts w:ascii="Arial" w:cs="Arial" w:eastAsia="Arial" w:hAnsi="Arial"/>
          <w:sz w:val="18"/>
          <w:szCs w:val="18"/>
          <w:color w:val="3E5588"/>
        </w:rPr>
      </w:pPr>
      <w:r>
        <w:rPr>
          <w:rFonts w:ascii="Arial" w:cs="Arial" w:eastAsia="Arial" w:hAnsi="Arial"/>
          <w:sz w:val="18"/>
          <w:szCs w:val="18"/>
          <w:color w:val="3E5588"/>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13"/>
        </w:numPr>
        <w:rPr>
          <w:rFonts w:ascii="Arial" w:cs="Arial" w:eastAsia="Arial" w:hAnsi="Arial"/>
          <w:sz w:val="18"/>
          <w:szCs w:val="18"/>
          <w:color w:val="3E5588"/>
        </w:rPr>
      </w:pPr>
      <w:r>
        <w:rPr>
          <w:rFonts w:ascii="Arial" w:cs="Arial" w:eastAsia="Arial" w:hAnsi="Arial"/>
          <w:sz w:val="18"/>
          <w:szCs w:val="18"/>
          <w:color w:val="3E5588"/>
        </w:rPr>
        <w:t>the extent to which we acquire or in-license other products, product candidates, technologies or data referencing rights.</w:t>
      </w:r>
    </w:p>
    <w:p>
      <w:pPr>
        <w:spacing w:after="0" w:line="225"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3E5588"/>
        </w:rPr>
        <w:t>As of March 31, 2019, we had cash and cash equivalents of approximately $62.5 million. We believe that the net proceeds from this offering, together with our existing cash and cash equivalents as of March 31, 2019, will enable us to fund our operating expenses and capital expenditure requirements into the third quarter of 2021. However, we have based this estimate on assumptions that may prove to be wrong, and our operating plan may change as a result of many factors currently unknown to us. As a result, we could deplete our capital resources sooner than we currently expect.</w:t>
      </w:r>
    </w:p>
    <w:p>
      <w:pPr>
        <w:spacing w:after="0" w:line="167" w:lineRule="exact"/>
        <w:rPr>
          <w:sz w:val="20"/>
          <w:szCs w:val="20"/>
          <w:color w:val="auto"/>
        </w:rPr>
      </w:pPr>
    </w:p>
    <w:p>
      <w:pPr>
        <w:jc w:val="both"/>
        <w:ind w:firstLine="363"/>
        <w:spacing w:after="0" w:line="288" w:lineRule="auto"/>
        <w:rPr>
          <w:sz w:val="20"/>
          <w:szCs w:val="20"/>
          <w:color w:val="auto"/>
        </w:rPr>
      </w:pPr>
      <w:r>
        <w:rPr>
          <w:rFonts w:ascii="Arial" w:cs="Arial" w:eastAsia="Arial" w:hAnsi="Arial"/>
          <w:sz w:val="16"/>
          <w:szCs w:val="16"/>
          <w:color w:val="3E5588"/>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Commercial revenues, if any, will not be derived unless and until we can achieve sales of products, which we do not anticipate for many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commercialize our product candidates.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Raising additional capital may cause dilution to our stockholders, including purchasers of our common stock in this offering, restrict our operations or require us to relinquish rights to our technologies or product candidates.</w:t>
      </w:r>
    </w:p>
    <w:p>
      <w:pPr>
        <w:spacing w:after="0" w:line="186"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3E5588"/>
        </w:rPr>
        <w:t>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3E5588"/>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E5588"/>
        </w:rPr>
        <w:t>Our limited operating history may make it difficult for you to evaluate the success of our business to date and to assess our future viability.</w:t>
      </w:r>
    </w:p>
    <w:p>
      <w:pPr>
        <w:spacing w:after="0" w:line="248" w:lineRule="exact"/>
        <w:rPr>
          <w:sz w:val="20"/>
          <w:szCs w:val="20"/>
          <w:color w:val="auto"/>
        </w:rPr>
      </w:pPr>
    </w:p>
    <w:p>
      <w:pPr>
        <w:jc w:val="both"/>
        <w:ind w:firstLine="348"/>
        <w:spacing w:after="0" w:line="291" w:lineRule="auto"/>
        <w:rPr>
          <w:sz w:val="20"/>
          <w:szCs w:val="20"/>
          <w:color w:val="auto"/>
        </w:rPr>
      </w:pPr>
      <w:r>
        <w:rPr>
          <w:rFonts w:ascii="Arial" w:cs="Arial" w:eastAsia="Arial" w:hAnsi="Arial"/>
          <w:sz w:val="16"/>
          <w:szCs w:val="16"/>
          <w:color w:val="3E5588"/>
        </w:rPr>
        <w:t>We commenced activities in 2015 and are an early-stage company. Our operations to date have been limited to organizing and staffing our company, business planning, raising capital, developing our technology, identifying drug targets and potential product candidates, undertaking preclinical studies and conducting one early-stage clinical trial.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17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3E5588"/>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94" w:lineRule="exact"/>
        <w:rPr>
          <w:sz w:val="20"/>
          <w:szCs w:val="20"/>
          <w:color w:val="auto"/>
        </w:rPr>
      </w:pPr>
    </w:p>
    <w:p>
      <w:pPr>
        <w:jc w:val="both"/>
        <w:ind w:firstLine="359"/>
        <w:spacing w:after="0" w:line="332" w:lineRule="auto"/>
        <w:rPr>
          <w:sz w:val="20"/>
          <w:szCs w:val="20"/>
          <w:color w:val="auto"/>
        </w:rPr>
      </w:pPr>
      <w:r>
        <w:rPr>
          <w:rFonts w:ascii="Arial" w:cs="Arial" w:eastAsia="Arial" w:hAnsi="Arial"/>
          <w:sz w:val="16"/>
          <w:szCs w:val="16"/>
          <w:color w:val="3E5588"/>
        </w:rPr>
        <w:t>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We have identified conditions and events that raise substantial doubt about our ability to continue as a going concern.</w:t>
      </w:r>
    </w:p>
    <w:p>
      <w:pPr>
        <w:spacing w:after="0" w:line="225" w:lineRule="exact"/>
        <w:rPr>
          <w:sz w:val="20"/>
          <w:szCs w:val="20"/>
          <w:color w:val="auto"/>
        </w:rPr>
      </w:pPr>
    </w:p>
    <w:p>
      <w:pPr>
        <w:jc w:val="both"/>
        <w:ind w:firstLine="472"/>
        <w:spacing w:after="0" w:line="286" w:lineRule="auto"/>
        <w:rPr>
          <w:sz w:val="20"/>
          <w:szCs w:val="20"/>
          <w:color w:val="auto"/>
        </w:rPr>
      </w:pPr>
      <w:r>
        <w:rPr>
          <w:rFonts w:ascii="Arial" w:cs="Arial" w:eastAsia="Arial" w:hAnsi="Arial"/>
          <w:sz w:val="16"/>
          <w:szCs w:val="16"/>
          <w:color w:val="3E5588"/>
        </w:rPr>
        <w:t>We may be forced to delay or reduce the scope of our development programs and/or limit or cease our operations if we are unable to obtain additional funding to support our current operating plan. We have identified conditions and events that raise substantial doubt about our ability to continue as a going concern. As of March 31, 2019, we had approximately $62.5 million in cash and cash equivalents. Based on our available cash resources, we believe we do not have sufficient cash on hand to support current operations for at least one year from the date that the consolidated financial statements for the year ended December 31, 2018 and the consolidated financial statements for the three months ended March 31, 2019 appearing at the end of this prospectus were issued. This condition raises substantial doubt about our ability to continue as a going concern for at least one year from the date of issuance of the financial statements appearing at the end of this prospectus, and our independent registered public accounting firm's report on our consolidated financial statements appearing at the end of this prospectus includes a going concern uncertainty paragraph. We will need to raise additional capital in this offering and/or otherwise to fund our future operations and remain as a going concern. However, we cannot guarantee that we will be able to obtain sufficient additional funding in this offering or otherwise or that such funding, if available, will be obtainable on terms satisfactory to us. In the event that we are unable to obtain sufficient additional funding, there can be no assurance that we will be able to continue as a going concern.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Comprehensive tax reform legislation passed in 2017 could adversely affect our business and financial condition.</w:t>
      </w:r>
    </w:p>
    <w:p>
      <w:pPr>
        <w:spacing w:after="0" w:line="225"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6"/>
          <w:szCs w:val="16"/>
          <w:color w:val="3E5588"/>
        </w:rPr>
        <w:t>On December 22, 2017, the U.S. government enacted legislation commonly referred to as the Tax Cuts and Jobs Act, or the TCJA, which significantly reformed the Internal Revenue Code of 1986, as amended, or the Code. The TCJA, among other things, contains significant changes to corporate taxation, including reduction of the corporate tax rate from a top marginal rate of 35% to a flat rate of 21%, limitation of the tax deduction for net interest expense to 30% of adjusted earnings (except for certain small businesses), limitation of the deduction for net operating losses, or NOLs, to 80% of current year taxable income and elimination of NOL carrybacks, in each case, for losses arising in taxable years beginning after December 31, 2017 (though any such NOLs may be carried forward indefinitely),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TCJA remains uncertain and our business and financial condition could be adversely affected. In addition, how various states will respond to the TCJA continues to be uncertain. The impact of this tax reform on holders of our common stock is also uncertain and could be adverse. We urge prospective investors in our common stock to consult with their legal and tax advisors with respect to TCJA and the potential tax consequences of investing in or holding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E5588"/>
        </w:rPr>
        <w:t>Our ability to use our NOLs and research and development tax credit carryforwards to offset future taxable income may be subject to certain limitations.</w:t>
      </w:r>
    </w:p>
    <w:p>
      <w:pPr>
        <w:spacing w:after="0" w:line="260" w:lineRule="exact"/>
        <w:rPr>
          <w:sz w:val="20"/>
          <w:szCs w:val="20"/>
          <w:color w:val="auto"/>
        </w:rPr>
      </w:pPr>
    </w:p>
    <w:p>
      <w:pPr>
        <w:jc w:val="both"/>
        <w:ind w:firstLine="379"/>
        <w:spacing w:after="0" w:line="298" w:lineRule="auto"/>
        <w:rPr>
          <w:sz w:val="20"/>
          <w:szCs w:val="20"/>
          <w:color w:val="auto"/>
        </w:rPr>
      </w:pPr>
      <w:r>
        <w:rPr>
          <w:rFonts w:ascii="Arial" w:cs="Arial" w:eastAsia="Arial" w:hAnsi="Arial"/>
          <w:sz w:val="16"/>
          <w:szCs w:val="16"/>
          <w:color w:val="3E5588"/>
        </w:rPr>
        <w:t>As of December 31, 2018, we had federal and state net operating loss carryforwards of $60.7 million and $60.5 million, respectively, which begin to expire in 2035. Approximately $29.7 million of the federal net operating losses can be carried forward indefinitely. As of December 31, 2018, we also had federal and state research and development tax credit carryforwards of $1.5 million and $1.3 million, respectively, which begin to expire in 2035. These net operating loss and tax credit carryforwards could expire unused and be unavailable to offset future income tax liabilities.</w:t>
      </w:r>
    </w:p>
    <w:p>
      <w:pPr>
        <w:spacing w:after="0" w:line="167" w:lineRule="exact"/>
        <w:rPr>
          <w:sz w:val="20"/>
          <w:szCs w:val="20"/>
          <w:color w:val="auto"/>
        </w:rPr>
      </w:pPr>
    </w:p>
    <w:p>
      <w:pPr>
        <w:jc w:val="both"/>
        <w:ind w:right="20" w:firstLine="492"/>
        <w:spacing w:after="0" w:line="332" w:lineRule="auto"/>
        <w:rPr>
          <w:sz w:val="20"/>
          <w:szCs w:val="20"/>
          <w:color w:val="auto"/>
        </w:rPr>
      </w:pPr>
      <w:r>
        <w:rPr>
          <w:rFonts w:ascii="Arial" w:cs="Arial" w:eastAsia="Arial" w:hAnsi="Arial"/>
          <w:sz w:val="16"/>
          <w:szCs w:val="16"/>
          <w:color w:val="3E5588"/>
        </w:rPr>
        <w:t>We have a history of cumulative losses and anticipate that we will continue to incur significant losses in the foreseeable future; thus, we do not know whether or when we will generate taxable income necessary to utilize our NOLs or research and development tax credit carryforwards.</w:t>
      </w:r>
    </w:p>
    <w:p>
      <w:pPr>
        <w:spacing w:after="0" w:line="139"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3E5588"/>
        </w:rPr>
        <w:t>In general, under Section 382 of the Code and corresponding provisions of state law, a corporation that undergoes an "ownership change" is subject to limitations on its ability to utilize its pre-change NOLs and research and development tax credit carryforwards to offset future taxable income. We have not conducted a study to assess whether any such ownership changes have occurred. We may have experienced such ownership changes in the past and may experience such ownership changes in the future as a result of this offering and/or subsequent changes in our stock ownership (which may be outside our control). As a result, if, and to the extent that, we earn net taxable income, our ability to use our pre-change NOLs and research and development tax credit carryforwards to offset such taxable income may be subject to limitations. Our NOLs or credits may also be impaired under state law.</w:t>
      </w:r>
    </w:p>
    <w:p>
      <w:pPr>
        <w:spacing w:after="0" w:line="174"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3E5588"/>
        </w:rPr>
        <w:t>In addition, as described above in "Comprehensive tax reform legislation passed in 2017 could adversely affect our business and financial condition," the TCJA includes changes to U.S. federal tax rates and the rules governing NOL carryforwards that may significantly impact our ability to utilize our NOLs to offset taxable income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the Discovery and Development of our Product Candidates</w:t>
      </w:r>
    </w:p>
    <w:p>
      <w:pPr>
        <w:spacing w:after="0" w:line="23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3E5588"/>
        </w:rPr>
        <w:t>We are early in our development efforts, and we only have one product candidate in a clinical trial. Our other product candidate is in IND-enabling studies. If we are unable to commercialize our product candidates or experience significant delays in doing so, our business will be materially harmed.</w:t>
      </w:r>
    </w:p>
    <w:p>
      <w:pPr>
        <w:spacing w:after="0" w:line="116" w:lineRule="exact"/>
        <w:rPr>
          <w:sz w:val="20"/>
          <w:szCs w:val="20"/>
          <w:color w:val="auto"/>
        </w:rPr>
      </w:pPr>
    </w:p>
    <w:p>
      <w:pPr>
        <w:jc w:val="both"/>
        <w:ind w:firstLine="370"/>
        <w:spacing w:after="0" w:line="254" w:lineRule="auto"/>
        <w:rPr>
          <w:sz w:val="20"/>
          <w:szCs w:val="20"/>
          <w:color w:val="auto"/>
        </w:rPr>
      </w:pPr>
      <w:r>
        <w:rPr>
          <w:rFonts w:ascii="Arial" w:cs="Arial" w:eastAsia="Arial" w:hAnsi="Arial"/>
          <w:sz w:val="18"/>
          <w:szCs w:val="18"/>
          <w:color w:val="3E5588"/>
        </w:rPr>
        <w:t>We are early in our development efforts, and we have advanced only one candidate into clinical trials, losmapimod for the treatment of facioscapulohumeral muscular dystrophy, or FSHD. FTX-HbF, our other product candidate, is in IND-enabling studies. We have invested substantially all of our efforts and financial resources in our proprietary product engine to identify and validate cellular drug targets that can potentially modulate gene expression to address the root cause of rare diseases. Our ability to generate product revenues, which we do not expect will occur for many years, if ever, will depend heavily on the successful development, regulatory approval and eventual commercialization of our product candidates. The success of our product candidates will depend on several factors, including the following:</w:t>
      </w:r>
    </w:p>
    <w:p>
      <w:pPr>
        <w:spacing w:after="0" w:line="212"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successfully completing preclinical studies and clinical trials;</w:t>
      </w:r>
    </w:p>
    <w:p>
      <w:pPr>
        <w:spacing w:after="0" w:line="25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acceptance by the FDA or other regulatory agencies of the INDs, clinical trial applications, or CTAs, or other regulatory filings for losmapimod, FTX-HbF and future product candidates;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expanding and maintaining a workforce of experienced scientists and others to continue to develop our product candidates;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successfully applying for and receiving marketing approvals from applicable regulatory authorities;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obtaining and maintaining intellectual property protection and regulatory exclusivity for our product candidates;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making arrangements with third-party manufacturers for, or establishing, commercial manufacturing capabilities;</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establishing sales, marketing and distribution capabilities and successfully launching commercial sales of the products, if and when approved, whether alone or in collaboration with others;</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acceptance of the products, if and when approved, by patients, the medical community and third-party payors;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effectively competing with other therapies;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6"/>
          <w:szCs w:val="16"/>
          <w:color w:val="3E5588"/>
        </w:rPr>
      </w:pPr>
      <w:r>
        <w:rPr>
          <w:rFonts w:ascii="Arial" w:cs="Arial" w:eastAsia="Arial" w:hAnsi="Arial"/>
          <w:sz w:val="16"/>
          <w:szCs w:val="16"/>
          <w:color w:val="3E5588"/>
        </w:rPr>
        <w:t>obtaining and maintaining coverage, adequate pricing and adequate reimbursement from third-party payors, including government payors;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maintaining, enforcing, defending and protecting our rights in our intellectual property portfolio;</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not infringing, misappropriating or otherwise violating others' intellectual property or proprietary rights;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4"/>
        </w:numPr>
        <w:rPr>
          <w:rFonts w:ascii="Arial" w:cs="Arial" w:eastAsia="Arial" w:hAnsi="Arial"/>
          <w:sz w:val="18"/>
          <w:szCs w:val="18"/>
          <w:color w:val="3E5588"/>
        </w:rPr>
      </w:pPr>
      <w:r>
        <w:rPr>
          <w:rFonts w:ascii="Arial" w:cs="Arial" w:eastAsia="Arial" w:hAnsi="Arial"/>
          <w:sz w:val="18"/>
          <w:szCs w:val="18"/>
          <w:color w:val="3E5588"/>
        </w:rPr>
        <w:t>maintaining a continued acceptable safety profile of the products following receipt of any regulatory approvals.</w:t>
      </w:r>
    </w:p>
    <w:p>
      <w:pPr>
        <w:spacing w:after="0" w:line="225"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3E5588"/>
        </w:rPr>
        <w:t>If we do not achieve one or more of these factors in a timely manner or at all, we could experience significant delays or an inability to successfully develop and commercialize our product candidates, which would materially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We may not be successful in our efforts to use our product engine to build a pipeline of product candidates.</w:t>
      </w:r>
    </w:p>
    <w:p>
      <w:pPr>
        <w:spacing w:after="0" w:line="225" w:lineRule="exact"/>
        <w:rPr>
          <w:sz w:val="20"/>
          <w:szCs w:val="20"/>
          <w:color w:val="auto"/>
        </w:rPr>
      </w:pPr>
    </w:p>
    <w:p>
      <w:pPr>
        <w:ind w:right="20" w:firstLine="487"/>
        <w:spacing w:after="0" w:line="332" w:lineRule="auto"/>
        <w:rPr>
          <w:sz w:val="20"/>
          <w:szCs w:val="20"/>
          <w:color w:val="auto"/>
        </w:rPr>
      </w:pPr>
      <w:r>
        <w:rPr>
          <w:rFonts w:ascii="Arial" w:cs="Arial" w:eastAsia="Arial" w:hAnsi="Arial"/>
          <w:sz w:val="16"/>
          <w:szCs w:val="16"/>
          <w:color w:val="3E5588"/>
        </w:rPr>
        <w:t>A key element of our strategy is to use our proprietary product engine to identify and validate cellular drug targets that can potentially modulate gene expression to address the root cause of rare diseases, with an initial focus on identifying small molecules specific to the identified cellular target. Even if we are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E5588"/>
        </w:rPr>
        <w:t>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you any assurance that we will be able to successfully identify additional product candidates with our product engine, advance any of these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proprietary product engine or any of our research or development programs will not cause significant delays or unanticipated costs, or that such development problems can be solved. If we do not successfully identify, develop, obtain regulatory approval for and commercialize product candidates based upon our technological approach, we will not be able to generate product revenues.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E5588"/>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194" w:lineRule="exact"/>
        <w:rPr>
          <w:sz w:val="20"/>
          <w:szCs w:val="20"/>
          <w:color w:val="auto"/>
        </w:rPr>
      </w:pPr>
    </w:p>
    <w:p>
      <w:pPr>
        <w:jc w:val="both"/>
        <w:ind w:firstLine="484"/>
        <w:spacing w:after="0" w:line="253" w:lineRule="auto"/>
        <w:rPr>
          <w:sz w:val="20"/>
          <w:szCs w:val="20"/>
          <w:color w:val="auto"/>
        </w:rPr>
      </w:pPr>
      <w:r>
        <w:rPr>
          <w:rFonts w:ascii="Arial" w:cs="Arial" w:eastAsia="Arial" w:hAnsi="Arial"/>
          <w:sz w:val="18"/>
          <w:szCs w:val="18"/>
          <w:color w:val="3E5588"/>
        </w:rPr>
        <w:t>We have one product candidate in clinical development and one product candidate in IND-enabling studies. The risk of failure for each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We have not yet begun or completed a pivotal clinical trial of any product candidate. Clinical trials may fail to demonstrate that our product candidates are safe for humans and effective for indicated uses. Even if the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w:t>
      </w:r>
    </w:p>
    <w:p>
      <w:pPr>
        <w:spacing w:after="0" w:line="199"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3E5588"/>
        </w:rPr>
        <w:t>Before we can commence clinical trials for a product candidate, we must complete extensive preclinical testing and studies that support our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Furthermore,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w:t>
      </w:r>
    </w:p>
    <w:p>
      <w:pPr>
        <w:spacing w:after="0" w:line="172"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3E5588"/>
        </w:rPr>
        <w:t>Clinical testing is expensive, difficult to design and implement, can take many years to complete and is uncertain as to outcome. We cannot guarantee that any clinical trials will be conducted as planned or completed on schedule, or at all.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3E5588"/>
        </w:rPr>
        <w:t>efficacy traits.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Losmapimod may not be effective at reducing DUX4-driven gene expression or, even if losmapimod successfully reduces expression of DUX4-driven genes, such reduction may not result in overall clinical benefit.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w:t>
      </w:r>
    </w:p>
    <w:p>
      <w:pPr>
        <w:spacing w:after="0" w:line="181"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3E5588"/>
        </w:rPr>
        <w:t>In February 2019, we entered into a right of reference and license agreement, or the GSK Agreement, with affiliates of GSK pursuant to which, among other things, GSK granted us a right of reference to certain INDs filed with the FDA and controlled by GSK or its affiliates relating to losmapimod and an exclusive worldwide license to certain of GSK's preclinical and clinical data with respect to losmapimod. Although losmapimod was originally evaluated by GSK in nearly 3,500 subjects, GSK did not evaluate losmapimod in FSHD or in any other muscular dystrophy, and most of the subjects in these trials were given a dose that was lower than our planned dosage of 15 mg of losmapimod twice per day, so the safety data generated from GSK's clinical trials of losmapimod may not be predictive or indicative of the results of our clinical trials. Similarly, while we believe the safety data from GSK's clinical trials may, in part, enable us to apply for accelerated approval, there can be no assurance that this will happen. Regulatory authorities may also raise questions regarding the transition in the future from GSK-manufactured tablets to tablets manufactured by us or another party, and we may be required to conduct comparability assessments, which could result in delays in development and additional costs.</w:t>
      </w:r>
    </w:p>
    <w:p>
      <w:pPr>
        <w:spacing w:after="0" w:line="174"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3E5588"/>
        </w:rPr>
        <w:t>We may experience numerous unforeseen events during, or as a result of, clinical trials that could delay or prevent our ability to receive marketing approval or commercialize our product candidates, including:</w:t>
      </w:r>
    </w:p>
    <w:p>
      <w:pPr>
        <w:spacing w:after="0" w:line="199" w:lineRule="exact"/>
        <w:rPr>
          <w:sz w:val="20"/>
          <w:szCs w:val="20"/>
          <w:color w:val="auto"/>
        </w:rPr>
      </w:pPr>
    </w:p>
    <w:p>
      <w:pPr>
        <w:ind w:left="1080" w:hanging="532"/>
        <w:spacing w:after="0" w:line="268" w:lineRule="auto"/>
        <w:tabs>
          <w:tab w:leader="none" w:pos="1080" w:val="left"/>
        </w:tabs>
        <w:numPr>
          <w:ilvl w:val="0"/>
          <w:numId w:val="15"/>
        </w:numPr>
        <w:rPr>
          <w:rFonts w:ascii="Arial" w:cs="Arial" w:eastAsia="Arial" w:hAnsi="Arial"/>
          <w:sz w:val="18"/>
          <w:szCs w:val="18"/>
          <w:color w:val="3E5588"/>
        </w:rPr>
      </w:pPr>
      <w:r>
        <w:rPr>
          <w:rFonts w:ascii="Arial" w:cs="Arial" w:eastAsia="Arial" w:hAnsi="Arial"/>
          <w:sz w:val="18"/>
          <w:szCs w:val="18"/>
          <w:color w:val="3E5588"/>
        </w:rPr>
        <w:t>regulators or institutional review boards, or IRBs, may not authorize us or our investigators to commence a clinical trial or conduct a clinical trial at a prospective trial site;</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5"/>
        </w:numPr>
        <w:rPr>
          <w:rFonts w:ascii="Arial" w:cs="Arial" w:eastAsia="Arial" w:hAnsi="Arial"/>
          <w:sz w:val="18"/>
          <w:szCs w:val="18"/>
          <w:color w:val="3E5588"/>
        </w:rPr>
      </w:pPr>
      <w:r>
        <w:rPr>
          <w:rFonts w:ascii="Arial" w:cs="Arial" w:eastAsia="Arial" w:hAnsi="Arial"/>
          <w:sz w:val="18"/>
          <w:szCs w:val="18"/>
          <w:color w:val="3E5588"/>
        </w:rPr>
        <w:t>we may experience delays in reaching, or fail to reach, agreement on acceptable clinical trial contracts or clinical trial protocols with prospective trial sites;</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5"/>
        </w:numPr>
        <w:rPr>
          <w:rFonts w:ascii="Arial" w:cs="Arial" w:eastAsia="Arial" w:hAnsi="Arial"/>
          <w:sz w:val="18"/>
          <w:szCs w:val="18"/>
          <w:color w:val="3E5588"/>
        </w:rPr>
      </w:pPr>
      <w:r>
        <w:rPr>
          <w:rFonts w:ascii="Arial" w:cs="Arial" w:eastAsia="Arial" w:hAnsi="Arial"/>
          <w:sz w:val="18"/>
          <w:szCs w:val="18"/>
          <w:color w:val="3E5588"/>
        </w:rPr>
        <w:t>regulators may decide the design of our clinical trials is flawed, for example if our trial protocol does not evaluate treatment effects in trial subjects for a sufficient length of time;</w:t>
      </w:r>
    </w:p>
    <w:p>
      <w:pPr>
        <w:spacing w:after="0" w:line="199"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15"/>
        </w:numPr>
        <w:rPr>
          <w:rFonts w:ascii="Arial" w:cs="Arial" w:eastAsia="Arial" w:hAnsi="Arial"/>
          <w:sz w:val="18"/>
          <w:szCs w:val="18"/>
          <w:color w:val="3E5588"/>
        </w:rPr>
      </w:pPr>
      <w:r>
        <w:rPr>
          <w:rFonts w:ascii="Arial" w:cs="Arial" w:eastAsia="Arial" w:hAnsi="Arial"/>
          <w:sz w:val="18"/>
          <w:szCs w:val="18"/>
          <w:color w:val="3E5588"/>
        </w:rPr>
        <w:t>clinical trials of our product candidates may produce negative or inconclusive results, and we may decide, or regulators may require us, to conduct additional clinical trials or abandon product development programs;</w:t>
      </w:r>
    </w:p>
    <w:p>
      <w:pPr>
        <w:spacing w:after="0" w:line="212" w:lineRule="exact"/>
        <w:rPr>
          <w:rFonts w:ascii="Arial" w:cs="Arial" w:eastAsia="Arial" w:hAnsi="Arial"/>
          <w:sz w:val="18"/>
          <w:szCs w:val="18"/>
          <w:color w:val="3E5588"/>
        </w:rPr>
      </w:pPr>
    </w:p>
    <w:p>
      <w:pPr>
        <w:ind w:left="1080" w:hanging="532"/>
        <w:spacing w:after="0" w:line="332" w:lineRule="auto"/>
        <w:tabs>
          <w:tab w:leader="none" w:pos="1080" w:val="left"/>
        </w:tabs>
        <w:numPr>
          <w:ilvl w:val="0"/>
          <w:numId w:val="15"/>
        </w:numPr>
        <w:rPr>
          <w:rFonts w:ascii="Arial" w:cs="Arial" w:eastAsia="Arial" w:hAnsi="Arial"/>
          <w:sz w:val="16"/>
          <w:szCs w:val="16"/>
          <w:color w:val="3E5588"/>
        </w:rPr>
      </w:pPr>
      <w:r>
        <w:rPr>
          <w:rFonts w:ascii="Arial" w:cs="Arial" w:eastAsia="Arial" w:hAnsi="Arial"/>
          <w:sz w:val="16"/>
          <w:szCs w:val="16"/>
          <w:color w:val="3E5588"/>
        </w:rPr>
        <w:t>we may be unable to establish clinical endpoints that applicable regulatory authorities would consider clinically meaningful, or, if we seek accelerated approval, biomarker efficacy endpoints that applicable regulatory authorities would consider likely to predict clinical benefit;</w:t>
      </w:r>
    </w:p>
    <w:p>
      <w:pPr>
        <w:spacing w:after="0" w:line="152" w:lineRule="exact"/>
        <w:rPr>
          <w:rFonts w:ascii="Arial" w:cs="Arial" w:eastAsia="Arial" w:hAnsi="Arial"/>
          <w:sz w:val="16"/>
          <w:szCs w:val="16"/>
          <w:color w:val="3E5588"/>
        </w:rPr>
      </w:pPr>
    </w:p>
    <w:p>
      <w:pPr>
        <w:jc w:val="both"/>
        <w:ind w:left="1080" w:hanging="532"/>
        <w:spacing w:after="0" w:line="259" w:lineRule="auto"/>
        <w:tabs>
          <w:tab w:leader="none" w:pos="1080" w:val="left"/>
        </w:tabs>
        <w:numPr>
          <w:ilvl w:val="0"/>
          <w:numId w:val="15"/>
        </w:numPr>
        <w:rPr>
          <w:rFonts w:ascii="Arial" w:cs="Arial" w:eastAsia="Arial" w:hAnsi="Arial"/>
          <w:sz w:val="18"/>
          <w:szCs w:val="18"/>
          <w:color w:val="3E5588"/>
        </w:rPr>
      </w:pPr>
      <w:r>
        <w:rPr>
          <w:rFonts w:ascii="Arial" w:cs="Arial" w:eastAsia="Arial" w:hAnsi="Arial"/>
          <w:sz w:val="18"/>
          <w:szCs w:val="18"/>
          <w:color w:val="3E5588"/>
        </w:rPr>
        <w:t>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16"/>
        </w:numPr>
        <w:rPr>
          <w:rFonts w:ascii="Arial" w:cs="Arial" w:eastAsia="Arial" w:hAnsi="Arial"/>
          <w:sz w:val="16"/>
          <w:szCs w:val="16"/>
          <w:color w:val="3E5588"/>
        </w:rPr>
      </w:pPr>
      <w:r>
        <w:rPr>
          <w:rFonts w:ascii="Arial" w:cs="Arial" w:eastAsia="Arial" w:hAnsi="Arial"/>
          <w:sz w:val="16"/>
          <w:szCs w:val="16"/>
          <w:color w:val="3E5588"/>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6" w:lineRule="exact"/>
        <w:rPr>
          <w:rFonts w:ascii="Arial" w:cs="Arial" w:eastAsia="Arial" w:hAnsi="Arial"/>
          <w:sz w:val="16"/>
          <w:szCs w:val="16"/>
          <w:color w:val="3E5588"/>
        </w:rPr>
      </w:pPr>
    </w:p>
    <w:p>
      <w:pPr>
        <w:ind w:left="1080" w:hanging="532"/>
        <w:spacing w:after="0"/>
        <w:tabs>
          <w:tab w:leader="none" w:pos="1080" w:val="left"/>
        </w:tabs>
        <w:numPr>
          <w:ilvl w:val="0"/>
          <w:numId w:val="16"/>
        </w:numPr>
        <w:rPr>
          <w:rFonts w:ascii="Arial" w:cs="Arial" w:eastAsia="Arial" w:hAnsi="Arial"/>
          <w:sz w:val="16"/>
          <w:szCs w:val="16"/>
          <w:color w:val="3E5588"/>
        </w:rPr>
      </w:pPr>
      <w:r>
        <w:rPr>
          <w:rFonts w:ascii="Arial" w:cs="Arial" w:eastAsia="Arial" w:hAnsi="Arial"/>
          <w:sz w:val="16"/>
          <w:szCs w:val="16"/>
          <w:color w:val="3E5588"/>
        </w:rPr>
        <w:t>our third-party contractors may fail to comply with regulatory requirements or meet their contractual obligations to us in a timely manner, or at all;</w:t>
      </w:r>
    </w:p>
    <w:p>
      <w:pPr>
        <w:spacing w:after="0" w:line="261" w:lineRule="exact"/>
        <w:rPr>
          <w:rFonts w:ascii="Arial" w:cs="Arial" w:eastAsia="Arial" w:hAnsi="Arial"/>
          <w:sz w:val="16"/>
          <w:szCs w:val="16"/>
          <w:color w:val="3E5588"/>
        </w:rPr>
      </w:pPr>
    </w:p>
    <w:p>
      <w:pPr>
        <w:ind w:left="1080" w:right="20" w:hanging="532"/>
        <w:spacing w:after="0" w:line="332" w:lineRule="auto"/>
        <w:tabs>
          <w:tab w:leader="none" w:pos="1080" w:val="left"/>
        </w:tabs>
        <w:numPr>
          <w:ilvl w:val="0"/>
          <w:numId w:val="16"/>
        </w:numPr>
        <w:rPr>
          <w:rFonts w:ascii="Arial" w:cs="Arial" w:eastAsia="Arial" w:hAnsi="Arial"/>
          <w:sz w:val="16"/>
          <w:szCs w:val="16"/>
          <w:color w:val="3E5588"/>
        </w:rPr>
      </w:pPr>
      <w:r>
        <w:rPr>
          <w:rFonts w:ascii="Arial" w:cs="Arial" w:eastAsia="Arial" w:hAnsi="Arial"/>
          <w:sz w:val="16"/>
          <w:szCs w:val="16"/>
          <w:color w:val="3E5588"/>
        </w:rPr>
        <w:t>we may decide, or regulators or IRBs may require us, to suspend or terminate clinical trials of our product candidates for various reasons, including noncompliance with regulatory requirements or a finding that the participants are being exposed to unacceptable health risks;</w:t>
      </w:r>
    </w:p>
    <w:p>
      <w:pPr>
        <w:spacing w:after="0" w:line="152"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16"/>
        </w:numPr>
        <w:rPr>
          <w:rFonts w:ascii="Arial" w:cs="Arial" w:eastAsia="Arial" w:hAnsi="Arial"/>
          <w:sz w:val="18"/>
          <w:szCs w:val="18"/>
          <w:color w:val="3E5588"/>
        </w:rPr>
      </w:pPr>
      <w:r>
        <w:rPr>
          <w:rFonts w:ascii="Arial" w:cs="Arial" w:eastAsia="Arial" w:hAnsi="Arial"/>
          <w:sz w:val="18"/>
          <w:szCs w:val="18"/>
          <w:color w:val="3E5588"/>
        </w:rPr>
        <w:t>regulators or IRBs may require us to perform additional or unanticipated clinical trials to obtain approval or we may be subject to additional post-marketing testing requirements to maintain regulatory approval;</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16"/>
        </w:numPr>
        <w:rPr>
          <w:rFonts w:ascii="Arial" w:cs="Arial" w:eastAsia="Arial" w:hAnsi="Arial"/>
          <w:sz w:val="18"/>
          <w:szCs w:val="18"/>
          <w:color w:val="3E5588"/>
        </w:rPr>
      </w:pPr>
      <w:r>
        <w:rPr>
          <w:rFonts w:ascii="Arial" w:cs="Arial" w:eastAsia="Arial" w:hAnsi="Arial"/>
          <w:sz w:val="18"/>
          <w:szCs w:val="18"/>
          <w:color w:val="3E5588"/>
        </w:rPr>
        <w:t>regulators may revise the requirements for approving our product candidates, or such requirements may not be as we anticipate;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6"/>
        </w:numPr>
        <w:rPr>
          <w:rFonts w:ascii="Arial" w:cs="Arial" w:eastAsia="Arial" w:hAnsi="Arial"/>
          <w:sz w:val="18"/>
          <w:szCs w:val="18"/>
          <w:color w:val="3E5588"/>
        </w:rPr>
      </w:pPr>
      <w:r>
        <w:rPr>
          <w:rFonts w:ascii="Arial" w:cs="Arial" w:eastAsia="Arial" w:hAnsi="Arial"/>
          <w:sz w:val="18"/>
          <w:szCs w:val="18"/>
          <w:color w:val="3E5588"/>
        </w:rPr>
        <w:t>the cost of clinical trials of our product candidates may be greater than we anticipate;</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6"/>
        </w:numPr>
        <w:rPr>
          <w:rFonts w:ascii="Arial" w:cs="Arial" w:eastAsia="Arial" w:hAnsi="Arial"/>
          <w:sz w:val="18"/>
          <w:szCs w:val="18"/>
          <w:color w:val="3E5588"/>
        </w:rPr>
      </w:pPr>
      <w:r>
        <w:rPr>
          <w:rFonts w:ascii="Arial" w:cs="Arial" w:eastAsia="Arial" w:hAnsi="Arial"/>
          <w:sz w:val="18"/>
          <w:szCs w:val="18"/>
          <w:color w:val="3E5588"/>
        </w:rPr>
        <w:t>the supply or quality of our product candidates or other materials necessary to conduct clinical trials of our product candidates may be insufficient or inadequate;</w:t>
      </w:r>
    </w:p>
    <w:p>
      <w:pPr>
        <w:spacing w:after="0" w:line="21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3E5588"/>
        </w:rPr>
      </w:pPr>
      <w:r>
        <w:rPr>
          <w:rFonts w:ascii="Arial" w:cs="Arial" w:eastAsia="Arial" w:hAnsi="Arial"/>
          <w:sz w:val="18"/>
          <w:szCs w:val="18"/>
          <w:color w:val="3E5588"/>
        </w:rPr>
        <w:t>our product candidates may have undesirable side effects or other unexpected characteristics, causing us or our investigators, regulators or IRBs to suspend or terminate the trials; and</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6"/>
        </w:numPr>
        <w:rPr>
          <w:rFonts w:ascii="Arial" w:cs="Arial" w:eastAsia="Arial" w:hAnsi="Arial"/>
          <w:sz w:val="18"/>
          <w:szCs w:val="18"/>
          <w:color w:val="3E5588"/>
        </w:rPr>
      </w:pPr>
      <w:r>
        <w:rPr>
          <w:rFonts w:ascii="Arial" w:cs="Arial" w:eastAsia="Arial" w:hAnsi="Arial"/>
          <w:sz w:val="18"/>
          <w:szCs w:val="18"/>
          <w:color w:val="3E5588"/>
        </w:rPr>
        <w:t>regulators may withdraw their approval of a product or impose restrictions on its distribution, such as in the form of a risk evaluation and mitigation strategy, or REMS.</w:t>
      </w:r>
    </w:p>
    <w:p>
      <w:pPr>
        <w:spacing w:after="0" w:line="18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3E5588"/>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20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3E5588"/>
        </w:rPr>
      </w:pPr>
      <w:r>
        <w:rPr>
          <w:rFonts w:ascii="Arial" w:cs="Arial" w:eastAsia="Arial" w:hAnsi="Arial"/>
          <w:sz w:val="18"/>
          <w:szCs w:val="18"/>
          <w:color w:val="3E5588"/>
        </w:rPr>
        <w:t>be delayed in obtaining marketing approval for our product candidates;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7"/>
        </w:numPr>
        <w:rPr>
          <w:rFonts w:ascii="Arial" w:cs="Arial" w:eastAsia="Arial" w:hAnsi="Arial"/>
          <w:sz w:val="18"/>
          <w:szCs w:val="18"/>
          <w:color w:val="3E5588"/>
        </w:rPr>
      </w:pPr>
      <w:r>
        <w:rPr>
          <w:rFonts w:ascii="Arial" w:cs="Arial" w:eastAsia="Arial" w:hAnsi="Arial"/>
          <w:sz w:val="18"/>
          <w:szCs w:val="18"/>
          <w:color w:val="3E5588"/>
        </w:rPr>
        <w:t>not obtain marketing approval at all;</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7"/>
        </w:numPr>
        <w:rPr>
          <w:rFonts w:ascii="Arial" w:cs="Arial" w:eastAsia="Arial" w:hAnsi="Arial"/>
          <w:sz w:val="18"/>
          <w:szCs w:val="18"/>
          <w:color w:val="3E5588"/>
        </w:rPr>
      </w:pPr>
      <w:r>
        <w:rPr>
          <w:rFonts w:ascii="Arial" w:cs="Arial" w:eastAsia="Arial" w:hAnsi="Arial"/>
          <w:sz w:val="18"/>
          <w:szCs w:val="18"/>
          <w:color w:val="3E5588"/>
        </w:rPr>
        <w:t>obtain approval for indications or patient populations that are not as broad as intended or desired;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7"/>
        </w:numPr>
        <w:rPr>
          <w:rFonts w:ascii="Arial" w:cs="Arial" w:eastAsia="Arial" w:hAnsi="Arial"/>
          <w:sz w:val="18"/>
          <w:szCs w:val="18"/>
          <w:color w:val="3E5588"/>
        </w:rPr>
      </w:pPr>
      <w:r>
        <w:rPr>
          <w:rFonts w:ascii="Arial" w:cs="Arial" w:eastAsia="Arial" w:hAnsi="Arial"/>
          <w:sz w:val="18"/>
          <w:szCs w:val="18"/>
          <w:color w:val="3E5588"/>
        </w:rPr>
        <w:t>obtain approval with labeling or a REMS that includes significant use or distribution restrictions or safety warnings;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7"/>
        </w:numPr>
        <w:rPr>
          <w:rFonts w:ascii="Arial" w:cs="Arial" w:eastAsia="Arial" w:hAnsi="Arial"/>
          <w:sz w:val="18"/>
          <w:szCs w:val="18"/>
          <w:color w:val="3E5588"/>
        </w:rPr>
      </w:pPr>
      <w:r>
        <w:rPr>
          <w:rFonts w:ascii="Arial" w:cs="Arial" w:eastAsia="Arial" w:hAnsi="Arial"/>
          <w:sz w:val="18"/>
          <w:szCs w:val="18"/>
          <w:color w:val="3E5588"/>
        </w:rPr>
        <w:t>be subject to additional post-marketing testing requirements; or</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7"/>
        </w:numPr>
        <w:rPr>
          <w:rFonts w:ascii="Arial" w:cs="Arial" w:eastAsia="Arial" w:hAnsi="Arial"/>
          <w:sz w:val="18"/>
          <w:szCs w:val="18"/>
          <w:color w:val="3E5588"/>
        </w:rPr>
      </w:pPr>
      <w:r>
        <w:rPr>
          <w:rFonts w:ascii="Arial" w:cs="Arial" w:eastAsia="Arial" w:hAnsi="Arial"/>
          <w:sz w:val="18"/>
          <w:szCs w:val="18"/>
          <w:color w:val="3E5588"/>
        </w:rPr>
        <w:t>have the product removed from the market after obtaining marketing approval.</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3E5588"/>
        </w:rPr>
        <w:t>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E5588"/>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194"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6"/>
          <w:szCs w:val="16"/>
          <w:color w:val="3E5588"/>
        </w:rPr>
        <w:t>There are currently no therapies approved to treat FSHD, and there may be no therapies approved to treat the underlying causes of diseases that we attempt to address or may address in the future.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such as the optimized time up and go test we intend to use in our losmapimod clinical trials, which we refer to as the FSHD-TUG test,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 Additionally, if we pursue accelerated approval for certain product candidates, the FDA or another regulatory authority may determine that the biomarker efficacy endpoint we select for evaluation is not sufficiently predictive of clinical benefit to support accelerated approval. For example, if we pursue accelerated approval with the FDA for losmapimod for the treatment of FSHD, the FDA may determine that our proposed biomarker efficacy endpoint of measuring DUX4-driven gene expression as a biomarker in muscle biopsies is inadequate to accurately capture treatment effects in muscle over time or is not sufficiently predictive of clinical benefit to support accelerated approval. The FDA may also determine that the measurement interval for our Phase 2b clinical trial is too short to evaluate the potential clinical benefit of losmapimod for FSHD where the progression of symptoms is relatively slow and chronic dosing is required.</w:t>
      </w:r>
    </w:p>
    <w:p>
      <w:pPr>
        <w:spacing w:after="0" w:line="175"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3E5588"/>
        </w:rPr>
        <w:t>Even if the FDA does find our clinical trial success criteria to be sufficiently validated and clinically meaningful,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give overriding weight to other efficacy endpoints over a primary endpoint, even if we achieve statistically significant results on that primary endpoint, if we do not do so on our secondary efficacy endpoints. The FDA also weighs the benefits of a product against its risks and the FDA may view the efficacy results in the context of safety as not being supportive of approval. Other regulatory authorities in Europe and other countries may make similar findings with respect to these endpoints.</w:t>
      </w:r>
    </w:p>
    <w:p>
      <w:pPr>
        <w:spacing w:after="0" w:line="20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3E5588"/>
        </w:rPr>
        <w:t>If we experience delays or difficulties in the enrollment of patients in clinical trials, our receipt of necessary regulatory approvals could be delayed or prevented.</w:t>
      </w:r>
    </w:p>
    <w:p>
      <w:pPr>
        <w:spacing w:after="0" w:line="186"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8"/>
          <w:szCs w:val="18"/>
          <w:color w:val="3E5588"/>
        </w:rPr>
        <w:t>Identifying and qualifying patients to participate in clinical trials for our product candidates is critical to our success. Successful and timely completion of clinical trials will require that we enroll a sufficient number of patients who remain in the trial until its conclusion.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rare diseases, we may have difficulty enrolling a sufficient number of eligible patients.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Patient enrollment is affected by a variety of other factors, including:</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3E5588"/>
        </w:rPr>
      </w:pPr>
      <w:r>
        <w:rPr>
          <w:rFonts w:ascii="Arial" w:cs="Arial" w:eastAsia="Arial" w:hAnsi="Arial"/>
          <w:sz w:val="18"/>
          <w:szCs w:val="18"/>
          <w:color w:val="3E5588"/>
        </w:rPr>
        <w:t>the prevalence and severity of the disease under investigation;</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8"/>
        </w:numPr>
        <w:rPr>
          <w:rFonts w:ascii="Arial" w:cs="Arial" w:eastAsia="Arial" w:hAnsi="Arial"/>
          <w:sz w:val="18"/>
          <w:szCs w:val="18"/>
          <w:color w:val="3E5588"/>
        </w:rPr>
      </w:pPr>
      <w:r>
        <w:rPr>
          <w:rFonts w:ascii="Arial" w:cs="Arial" w:eastAsia="Arial" w:hAnsi="Arial"/>
          <w:sz w:val="18"/>
          <w:szCs w:val="18"/>
          <w:color w:val="3E5588"/>
        </w:rPr>
        <w:t>the eligibility criteria for the trial in question;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8"/>
        </w:numPr>
        <w:rPr>
          <w:rFonts w:ascii="Arial" w:cs="Arial" w:eastAsia="Arial" w:hAnsi="Arial"/>
          <w:sz w:val="18"/>
          <w:szCs w:val="18"/>
          <w:color w:val="3E5588"/>
        </w:rPr>
      </w:pPr>
      <w:r>
        <w:rPr>
          <w:rFonts w:ascii="Arial" w:cs="Arial" w:eastAsia="Arial" w:hAnsi="Arial"/>
          <w:sz w:val="18"/>
          <w:szCs w:val="18"/>
          <w:color w:val="3E5588"/>
        </w:rPr>
        <w:t>the perceived risks and benefits of the product candidate under trial;</w:t>
      </w:r>
    </w:p>
    <w:p>
      <w:pPr>
        <w:spacing w:after="0" w:line="238" w:lineRule="exact"/>
        <w:rPr>
          <w:rFonts w:ascii="Arial" w:cs="Arial" w:eastAsia="Arial" w:hAnsi="Arial"/>
          <w:sz w:val="18"/>
          <w:szCs w:val="18"/>
          <w:color w:val="3E5588"/>
        </w:rPr>
      </w:pPr>
    </w:p>
    <w:p>
      <w:pPr>
        <w:ind w:left="5620" w:right="3720" w:hanging="5072"/>
        <w:spacing w:after="0" w:line="519" w:lineRule="auto"/>
        <w:tabs>
          <w:tab w:leader="none" w:pos="1082" w:val="left"/>
        </w:tabs>
        <w:numPr>
          <w:ilvl w:val="0"/>
          <w:numId w:val="18"/>
        </w:numPr>
        <w:rPr>
          <w:rFonts w:ascii="Arial" w:cs="Arial" w:eastAsia="Arial" w:hAnsi="Arial"/>
          <w:sz w:val="18"/>
          <w:szCs w:val="18"/>
          <w:color w:val="3E5588"/>
        </w:rPr>
      </w:pPr>
      <w:r>
        <w:rPr>
          <w:rFonts w:ascii="Arial" w:cs="Arial" w:eastAsia="Arial" w:hAnsi="Arial"/>
          <w:sz w:val="18"/>
          <w:szCs w:val="18"/>
          <w:color w:val="3E5588"/>
        </w:rPr>
        <w:t>the requirements of the trial protocols, including invasive procedures such as muscle biopsies;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availability of existing treatments for the indications for which we are conducting clinical trials;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ability to recruit clinical trial investigators with the appropriate competencies and experience;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efforts to facilitate timely enrollment in clinical trials;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patient referral practices of physicians;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ability to monitor patients adequately during and after treatment;</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proximity and availability of clinical trial sites for prospective patients;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conduct of clinical trials by competitors for product candidates that treat the same indications as our product candidates;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ability to identify specific patient populations for biomarker-defined trial cohort(s);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9"/>
        </w:numPr>
        <w:rPr>
          <w:rFonts w:ascii="Arial" w:cs="Arial" w:eastAsia="Arial" w:hAnsi="Arial"/>
          <w:sz w:val="18"/>
          <w:szCs w:val="18"/>
          <w:color w:val="3E5588"/>
        </w:rPr>
      </w:pPr>
      <w:r>
        <w:rPr>
          <w:rFonts w:ascii="Arial" w:cs="Arial" w:eastAsia="Arial" w:hAnsi="Arial"/>
          <w:sz w:val="18"/>
          <w:szCs w:val="18"/>
          <w:color w:val="3E5588"/>
        </w:rPr>
        <w:t>the cost to, or lack of adequate compensation for, prospective patients.</w:t>
      </w:r>
    </w:p>
    <w:p>
      <w:pPr>
        <w:spacing w:after="0" w:line="225"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3E5588"/>
        </w:rPr>
        <w:t>Our inability to locate and enroll a sufficient number of patients for our clinical trials would result in significant delays, could require us to abandon one or more clinical trials altogether and could delay or prevent our receipt of necessary regulatory approvals. Enrollment delays in our clinical trials may result in increased development costs for our product candidates, which would cause the value of our company to decline and limit our ability to obtain additional financing.</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If serious adverse events or unacceptable side effects are identified during the development of our product candidates, we may need to abandon or limit our development of some of our product candidates.</w:t>
      </w:r>
    </w:p>
    <w:p>
      <w:pPr>
        <w:spacing w:after="0" w:line="186"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3E5588"/>
        </w:rPr>
        <w:t>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In pharmaceutical development, many compounds that initially show promise in early-stage or clinical testing are later found to cause side effects that delay or prevent further development of the compound.</w:t>
      </w:r>
    </w:p>
    <w:p>
      <w:pPr>
        <w:spacing w:after="0" w:line="197"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3E5588"/>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spacing w:after="0" w:line="19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3E5588"/>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39"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3E5588"/>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or cause undesirable side effects, a number of potentially significant negative consequences could result,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withdrawal or limitation by regulatory authorities of approvals of such product;</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seizure of the product by regulatory authorities;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recall of the product;</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restrictions on the marketing of the product or the manufacturing process for any component thereof;</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requirement by regulatory authorities of additional warnings on the label, such as a "black box" warning or contraindication;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6"/>
          <w:szCs w:val="16"/>
          <w:color w:val="3E5588"/>
        </w:rPr>
      </w:pPr>
      <w:r>
        <w:rPr>
          <w:rFonts w:ascii="Arial" w:cs="Arial" w:eastAsia="Arial" w:hAnsi="Arial"/>
          <w:sz w:val="16"/>
          <w:szCs w:val="16"/>
          <w:color w:val="3E5588"/>
        </w:rPr>
        <w:t>requirement that we implement a REMS or create a medication guide outlining the risks of such side effects for distribution to patients;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commitment to expensive post-marketing studies as a prerequisite of approval by regulatory authorities of such product;</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the product may become less competitive;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initiation of regulatory investigations and government enforcement actions;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initiation of legal action against us to hold us liable for harm caused to patients; and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0"/>
        </w:numPr>
        <w:rPr>
          <w:rFonts w:ascii="Arial" w:cs="Arial" w:eastAsia="Arial" w:hAnsi="Arial"/>
          <w:sz w:val="18"/>
          <w:szCs w:val="18"/>
          <w:color w:val="3E5588"/>
        </w:rPr>
      </w:pPr>
      <w:r>
        <w:rPr>
          <w:rFonts w:ascii="Arial" w:cs="Arial" w:eastAsia="Arial" w:hAnsi="Arial"/>
          <w:sz w:val="18"/>
          <w:szCs w:val="18"/>
          <w:color w:val="3E5588"/>
        </w:rPr>
        <w:t>harm to our reputation and resulting harm to physician or patient acceptance of our products.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3E5588"/>
        </w:rPr>
        <w:t>Any of these events could prevent us from achieving or maintaining market acceptance of a particular product candidate, if approved, and could significantly harm our business, financial condition, and results of operations.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3E5588"/>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86" w:lineRule="exact"/>
        <w:rPr>
          <w:sz w:val="20"/>
          <w:szCs w:val="20"/>
          <w:color w:val="auto"/>
        </w:rPr>
      </w:pPr>
    </w:p>
    <w:p>
      <w:pPr>
        <w:jc w:val="both"/>
        <w:ind w:firstLine="531"/>
        <w:spacing w:after="0" w:line="289" w:lineRule="auto"/>
        <w:rPr>
          <w:sz w:val="20"/>
          <w:szCs w:val="20"/>
          <w:color w:val="auto"/>
        </w:rPr>
      </w:pPr>
      <w:r>
        <w:rPr>
          <w:rFonts w:ascii="Arial" w:cs="Arial" w:eastAsia="Arial" w:hAnsi="Arial"/>
          <w:sz w:val="16"/>
          <w:szCs w:val="16"/>
          <w:color w:val="3E5588"/>
        </w:rPr>
        <w:t>Because we have limited financial and managerial resources, we are focusing our research and development efforts on rare neuromuscular disorders, hemoglobinopathies and central nervous system diseases.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w:t>
      </w:r>
    </w:p>
    <w:p>
      <w:pPr>
        <w:spacing w:after="0" w:line="17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3E5588"/>
        </w:rPr>
        <w:t>We are conducting a Phase 1 clinical trial of losmapimod in patients with FSHD in Europe and currently plan to conduct additional clinical trials for our product candidates at sites outside the United States, and the FDA may not accept data from trials conducted in such locations.</w:t>
      </w:r>
    </w:p>
    <w:p>
      <w:pPr>
        <w:spacing w:after="0" w:line="139"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3E5588"/>
        </w:rPr>
        <w:t>We are currently conducting a Phase 1 clinical trial of losmapimod in patients with FSHD in Europe, and we plan to conduct additional clinical trials outside the United States. Although the FDA may accept data from clinical trials conducted outside the United States, acceptance of these data is subject to conditions imposed by the FDA. For example, the clinical trial must be well designed and conducted and be performed by qualified investigators in accordance with ethical principles. The trial population must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the Commercialization of our Product Candidates</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E5588"/>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p>
    <w:p>
      <w:pPr>
        <w:spacing w:after="0" w:line="194"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3E5588"/>
        </w:rPr>
        <w:t>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21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3E5588"/>
        </w:rPr>
      </w:pPr>
      <w:r>
        <w:rPr>
          <w:rFonts w:ascii="Arial" w:cs="Arial" w:eastAsia="Arial" w:hAnsi="Arial"/>
          <w:sz w:val="16"/>
          <w:szCs w:val="16"/>
          <w:color w:val="3E5588"/>
        </w:rPr>
        <w:t>the efficacy and potential advantages of our product candidates compared to the advantages and relative risks of alternative treatments;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effectiveness of sales and marketing efforts;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cost of treatment in relation to alternative treatments, including any similar generic treatments;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our ability to offer our products, if approved, for sale at competitive prices;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clinical indications for which the product is approved;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convenience and ease of administration compared to alternative treatments;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willingness of the target patient population to try new therapies and of physicians to prescribe these therapies;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strength of marketing and distribution support;</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timing of market introduction of competitive products;</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availability of third-party coverage and adequate reimbursement, and patients' willingness to pay out of pocket for required co-payments or in the absence of third-party coverage or adequate reimbursement;</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the prevalence and severity of any side effects;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1"/>
        </w:numPr>
        <w:rPr>
          <w:rFonts w:ascii="Arial" w:cs="Arial" w:eastAsia="Arial" w:hAnsi="Arial"/>
          <w:sz w:val="18"/>
          <w:szCs w:val="18"/>
          <w:color w:val="3E5588"/>
        </w:rPr>
      </w:pPr>
      <w:r>
        <w:rPr>
          <w:rFonts w:ascii="Arial" w:cs="Arial" w:eastAsia="Arial" w:hAnsi="Arial"/>
          <w:sz w:val="18"/>
          <w:szCs w:val="18"/>
          <w:color w:val="3E5588"/>
        </w:rPr>
        <w:t>any restrictions on the use of our products, if approved, together with other medications.</w:t>
      </w:r>
    </w:p>
    <w:p>
      <w:pPr>
        <w:spacing w:after="0" w:line="225" w:lineRule="exact"/>
        <w:rPr>
          <w:sz w:val="20"/>
          <w:szCs w:val="20"/>
          <w:color w:val="auto"/>
        </w:rPr>
      </w:pPr>
    </w:p>
    <w:p>
      <w:pPr>
        <w:jc w:val="both"/>
        <w:ind w:firstLine="549"/>
        <w:spacing w:after="0" w:line="294" w:lineRule="auto"/>
        <w:rPr>
          <w:sz w:val="20"/>
          <w:szCs w:val="20"/>
          <w:color w:val="auto"/>
        </w:rPr>
      </w:pPr>
      <w:r>
        <w:rPr>
          <w:rFonts w:ascii="Arial" w:cs="Arial" w:eastAsia="Arial" w:hAnsi="Arial"/>
          <w:sz w:val="16"/>
          <w:szCs w:val="16"/>
          <w:color w:val="3E5588"/>
        </w:rPr>
        <w:t>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We commissioned Clarion Healthcare, LLC to conduct market research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E5588"/>
        </w:rPr>
        <w:t>with physicians and payors to better understand the commercial landscape and to assist in our commercial planning. A total of 14 physicians in the United States, the European Union and Asia and nine payors and payor experts in the United States and the European Union were surveyed. As the survey involved a limited number of physicians and payors, the results from such survey may be less reflective of market opportunity than a survey conducted with a larger sample size.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any of our product candidates may be smaller than we expect, and as a result our product revenue may be limited and it may be more difficult for us to achieve or maintain profitability.</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If we are unable to establish sales, marketing and distribution capabilities or enter into sales, marketing and distribution agreements with third parties, we may not be successful in commercializing our product candidates if and when they are approved.</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3E5588"/>
        </w:rPr>
        <w:t>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w:t>
      </w:r>
    </w:p>
    <w:p>
      <w:pPr>
        <w:spacing w:after="0" w:line="194" w:lineRule="exact"/>
        <w:rPr>
          <w:sz w:val="20"/>
          <w:szCs w:val="20"/>
          <w:color w:val="auto"/>
        </w:rPr>
      </w:pPr>
    </w:p>
    <w:p>
      <w:pPr>
        <w:jc w:val="both"/>
        <w:ind w:firstLine="370"/>
        <w:spacing w:after="0" w:line="294" w:lineRule="auto"/>
        <w:rPr>
          <w:sz w:val="20"/>
          <w:szCs w:val="20"/>
          <w:color w:val="auto"/>
        </w:rPr>
      </w:pPr>
      <w:r>
        <w:rPr>
          <w:rFonts w:ascii="Arial" w:cs="Arial" w:eastAsia="Arial" w:hAnsi="Arial"/>
          <w:sz w:val="16"/>
          <w:szCs w:val="16"/>
          <w:color w:val="3E5588"/>
        </w:rPr>
        <w:t>In the future, we expect to build a focused, specialty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Factors that may inhibit our efforts to commercialize our products on our own include:</w:t>
      </w:r>
    </w:p>
    <w:p>
      <w:pPr>
        <w:spacing w:after="0" w:line="239" w:lineRule="exact"/>
        <w:rPr>
          <w:sz w:val="20"/>
          <w:szCs w:val="20"/>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3E5588"/>
        </w:rPr>
      </w:pPr>
      <w:r>
        <w:rPr>
          <w:rFonts w:ascii="Arial" w:cs="Arial" w:eastAsia="Arial" w:hAnsi="Arial"/>
          <w:sz w:val="18"/>
          <w:szCs w:val="18"/>
          <w:color w:val="3E5588"/>
        </w:rPr>
        <w:t>our inability to recruit, train and retain adequate numbers of effective sales, marketing, coverage or reimbursement, customer service, medical affairs and other support personnel;</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22"/>
        </w:numPr>
        <w:rPr>
          <w:rFonts w:ascii="Arial" w:cs="Arial" w:eastAsia="Arial" w:hAnsi="Arial"/>
          <w:sz w:val="16"/>
          <w:szCs w:val="16"/>
          <w:color w:val="3E5588"/>
        </w:rPr>
      </w:pPr>
      <w:r>
        <w:rPr>
          <w:rFonts w:ascii="Arial" w:cs="Arial" w:eastAsia="Arial" w:hAnsi="Arial"/>
          <w:sz w:val="16"/>
          <w:szCs w:val="16"/>
          <w:color w:val="3E5588"/>
        </w:rPr>
        <w:t>the inability of sales personnel to obtain access to physicians or persuade adequate numbers of physicians to prescribe any future products;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22"/>
        </w:numPr>
        <w:rPr>
          <w:rFonts w:ascii="Arial" w:cs="Arial" w:eastAsia="Arial" w:hAnsi="Arial"/>
          <w:sz w:val="16"/>
          <w:szCs w:val="16"/>
          <w:color w:val="3E5588"/>
        </w:rPr>
      </w:pPr>
      <w:r>
        <w:rPr>
          <w:rFonts w:ascii="Arial" w:cs="Arial" w:eastAsia="Arial" w:hAnsi="Arial"/>
          <w:sz w:val="16"/>
          <w:szCs w:val="16"/>
          <w:color w:val="3E5588"/>
        </w:rPr>
        <w:t>the inability of reimbursement professionals to negotiate arrangements for formulary access, reimbursement and other acceptance by payors;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22"/>
        </w:numPr>
        <w:rPr>
          <w:rFonts w:ascii="Arial" w:cs="Arial" w:eastAsia="Arial" w:hAnsi="Arial"/>
          <w:sz w:val="18"/>
          <w:szCs w:val="18"/>
          <w:color w:val="3E5588"/>
        </w:rPr>
      </w:pPr>
      <w:r>
        <w:rPr>
          <w:rFonts w:ascii="Arial" w:cs="Arial" w:eastAsia="Arial" w:hAnsi="Arial"/>
          <w:sz w:val="18"/>
          <w:szCs w:val="18"/>
          <w:color w:val="3E5588"/>
        </w:rPr>
        <w:t>the inability to price our products at a sufficient price point to ensure an adequate and attractive level of profitability;</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2"/>
        </w:numPr>
        <w:rPr>
          <w:rFonts w:ascii="Arial" w:cs="Arial" w:eastAsia="Arial" w:hAnsi="Arial"/>
          <w:sz w:val="18"/>
          <w:szCs w:val="18"/>
          <w:color w:val="3E5588"/>
        </w:rPr>
      </w:pPr>
      <w:r>
        <w:rPr>
          <w:rFonts w:ascii="Arial" w:cs="Arial" w:eastAsia="Arial" w:hAnsi="Arial"/>
          <w:sz w:val="18"/>
          <w:szCs w:val="18"/>
          <w:color w:val="3E5588"/>
        </w:rPr>
        <w:t>restricted or closed distribution channels that make it difficult to distribute our products to segments of the patient population;</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22"/>
        </w:numPr>
        <w:rPr>
          <w:rFonts w:ascii="Arial" w:cs="Arial" w:eastAsia="Arial" w:hAnsi="Arial"/>
          <w:sz w:val="18"/>
          <w:szCs w:val="18"/>
          <w:color w:val="3E5588"/>
        </w:rPr>
      </w:pPr>
      <w:r>
        <w:rPr>
          <w:rFonts w:ascii="Arial" w:cs="Arial" w:eastAsia="Arial" w:hAnsi="Arial"/>
          <w:sz w:val="18"/>
          <w:szCs w:val="18"/>
          <w:color w:val="3E5588"/>
        </w:rPr>
        <w:t>the lack of complementary products to be offered by sales personnel, which may put us at a competitive disadvantage relative to companies with more extensive product lines; and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22"/>
        </w:numPr>
        <w:rPr>
          <w:rFonts w:ascii="Arial" w:cs="Arial" w:eastAsia="Arial" w:hAnsi="Arial"/>
          <w:sz w:val="18"/>
          <w:szCs w:val="18"/>
          <w:color w:val="3E5588"/>
        </w:rPr>
      </w:pPr>
      <w:r>
        <w:rPr>
          <w:rFonts w:ascii="Arial" w:cs="Arial" w:eastAsia="Arial" w:hAnsi="Arial"/>
          <w:sz w:val="18"/>
          <w:szCs w:val="18"/>
          <w:color w:val="3E5588"/>
        </w:rPr>
        <w:t>unforeseen costs and expenses associated with creating an independent sales and marketing organization.</w:t>
      </w:r>
    </w:p>
    <w:p>
      <w:pPr>
        <w:spacing w:after="0" w:line="225" w:lineRule="exact"/>
        <w:rPr>
          <w:sz w:val="20"/>
          <w:szCs w:val="20"/>
          <w:color w:val="auto"/>
        </w:rPr>
      </w:pPr>
    </w:p>
    <w:p>
      <w:pPr>
        <w:ind w:firstLine="505"/>
        <w:spacing w:after="0" w:line="268" w:lineRule="auto"/>
        <w:rPr>
          <w:sz w:val="20"/>
          <w:szCs w:val="20"/>
          <w:color w:val="auto"/>
        </w:rPr>
      </w:pPr>
      <w:r>
        <w:rPr>
          <w:rFonts w:ascii="Arial" w:cs="Arial" w:eastAsia="Arial" w:hAnsi="Arial"/>
          <w:sz w:val="18"/>
          <w:szCs w:val="18"/>
          <w:color w:val="3E5588"/>
        </w:rPr>
        <w:t>If we are unable to establish our own sales, marketing and distribution capabilities and we enter into arrangements with third parties to perform these services, our product revenues and our profitability, if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any, are likely to be lower than if we were to market, sell and distribute any products that we develop ourselves. In addition, we may not be successful in entering into arrangements with third parties to sell, market and distribute our product candidates or may be unable to do so on terms that are acceptable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3E5588"/>
        </w:rPr>
        <w:t>We face substantial competition, which may result in others discovering, developing or commercializing products before or more successfully than we do.</w:t>
      </w:r>
    </w:p>
    <w:p>
      <w:pPr>
        <w:spacing w:after="0" w:line="260" w:lineRule="exact"/>
        <w:rPr>
          <w:sz w:val="20"/>
          <w:szCs w:val="20"/>
          <w:color w:val="auto"/>
        </w:rPr>
      </w:pPr>
    </w:p>
    <w:p>
      <w:pPr>
        <w:jc w:val="both"/>
        <w:ind w:firstLine="429"/>
        <w:spacing w:after="0" w:line="289" w:lineRule="auto"/>
        <w:rPr>
          <w:sz w:val="20"/>
          <w:szCs w:val="20"/>
          <w:color w:val="auto"/>
        </w:rPr>
      </w:pPr>
      <w:r>
        <w:rPr>
          <w:rFonts w:ascii="Arial" w:cs="Arial" w:eastAsia="Arial" w:hAnsi="Arial"/>
          <w:sz w:val="16"/>
          <w:szCs w:val="16"/>
          <w:color w:val="3E5588"/>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72"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3E5588"/>
        </w:rPr>
        <w:t>For example, we are aware of several product candidates in clinical development that could be competitive with product candidates that we may successfully develop and commercialize. Acceleron Pharma, Inc., or Acceleron, has a product candidate currently in Phase 2a clinical development for FSHD. Novartis AG, Global Blood Therapeutics, Inc., GlycoMimetics Inc., Pfizer, Inc., bluebird bio, Inc., Aruvant Sciences, Inc., EpiDestiny, Inc., or EpiDestiny (in collaboration with Novo Nordisk A/S), Imara, Inc. and Sangamo Therapeutics Inc., or Sangamo (in collaboration with Bioverativ Inc.), are developing therapeutic approaches for patients with sickle cell disease, or SCD. Acceleron (in collaboration with Celgene Corp.), Bellicum Pharmaceuticals, Inc., Kiadis Pharma, EpiDestiny (in collaboration with Novo Nordisk A/S), Orchard Therapeutics plc, Sangamo (in collaboration with Bioverativ, Inc.) and CRISPR Therapeutics AG (in collaboration with Vertex Pharmaceuticals, Inc.) are developing therapeutic approaches for patients with b-thalassemia.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See "Business—Competition" for additional information regarding competing products and product candidates.</w:t>
      </w:r>
    </w:p>
    <w:p>
      <w:pPr>
        <w:spacing w:after="0" w:line="22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3E5588"/>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421"/>
        <w:spacing w:after="0" w:line="259" w:lineRule="auto"/>
        <w:rPr>
          <w:sz w:val="20"/>
          <w:szCs w:val="20"/>
          <w:color w:val="auto"/>
        </w:rPr>
      </w:pPr>
      <w:r>
        <w:rPr>
          <w:rFonts w:ascii="Arial" w:cs="Arial" w:eastAsia="Arial" w:hAnsi="Arial"/>
          <w:sz w:val="18"/>
          <w:szCs w:val="18"/>
          <w:color w:val="3E5588"/>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7"/>
        <w:spacing w:after="0" w:line="323" w:lineRule="auto"/>
        <w:rPr>
          <w:sz w:val="20"/>
          <w:szCs w:val="20"/>
          <w:color w:val="auto"/>
        </w:rPr>
      </w:pPr>
      <w:r>
        <w:rPr>
          <w:rFonts w:ascii="Arial" w:cs="Arial" w:eastAsia="Arial" w:hAnsi="Arial"/>
          <w:sz w:val="15"/>
          <w:szCs w:val="15"/>
          <w:color w:val="3E5588"/>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5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3E5588"/>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even smaller, we must be able to successfully identify patients and capture a significant market share to achieve profitability and growth.</w:t>
      </w:r>
    </w:p>
    <w:p>
      <w:pPr>
        <w:spacing w:after="0" w:line="161" w:lineRule="exact"/>
        <w:rPr>
          <w:sz w:val="20"/>
          <w:szCs w:val="20"/>
          <w:color w:val="auto"/>
        </w:rPr>
      </w:pPr>
    </w:p>
    <w:p>
      <w:pPr>
        <w:jc w:val="both"/>
        <w:ind w:firstLine="476"/>
        <w:spacing w:after="0" w:line="286" w:lineRule="auto"/>
        <w:rPr>
          <w:sz w:val="20"/>
          <w:szCs w:val="20"/>
          <w:color w:val="auto"/>
        </w:rPr>
      </w:pPr>
      <w:r>
        <w:rPr>
          <w:rFonts w:ascii="Arial" w:cs="Arial" w:eastAsia="Arial" w:hAnsi="Arial"/>
          <w:sz w:val="16"/>
          <w:szCs w:val="16"/>
          <w:color w:val="3E5588"/>
        </w:rPr>
        <w:t>We focus our research and product development on treatments for rare diseases. Given the small number of patients who have the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81" w:lineRule="exact"/>
        <w:rPr>
          <w:sz w:val="20"/>
          <w:szCs w:val="20"/>
          <w:color w:val="auto"/>
        </w:rPr>
      </w:pPr>
    </w:p>
    <w:p>
      <w:pPr>
        <w:jc w:val="both"/>
        <w:ind w:firstLine="446"/>
        <w:spacing w:after="0" w:line="335" w:lineRule="auto"/>
        <w:rPr>
          <w:sz w:val="20"/>
          <w:szCs w:val="20"/>
          <w:color w:val="auto"/>
        </w:rPr>
      </w:pPr>
      <w:r>
        <w:rPr>
          <w:rFonts w:ascii="Arial" w:cs="Arial" w:eastAsia="Arial" w:hAnsi="Arial"/>
          <w:sz w:val="15"/>
          <w:szCs w:val="15"/>
          <w:color w:val="3E5588"/>
        </w:rPr>
        <w:t>Our target patient populations are relatively small, and there is currently no standard of care treatment directed at some of our target indications, such as FSHD. As a result, the pricing and reimbursement of our product candidates, if approved, is uncertain, but must be adequate to support commercial infrastructure. If we are unable to obtain adequate levels of reimbursement, our ability to successfully market and sell our product candidates will be adversely affected.</w:t>
      </w:r>
    </w:p>
    <w:p>
      <w:pPr>
        <w:spacing w:after="0" w:line="142"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b w:val="1"/>
          <w:bCs w:val="1"/>
          <w:i w:val="1"/>
          <w:iCs w:val="1"/>
          <w:color w:val="3E5588"/>
        </w:rPr>
        <w:t>We expect to rely on contract manufacturing organizations to manufacture our product candidates. If we are unable to enter into such arrangements as expected or if such organizations do not meet our supply requirements, development and/or commercialization of our product candidates may be delayed.</w:t>
      </w:r>
    </w:p>
    <w:p>
      <w:pPr>
        <w:spacing w:after="0" w:line="116" w:lineRule="exact"/>
        <w:rPr>
          <w:sz w:val="20"/>
          <w:szCs w:val="20"/>
          <w:color w:val="auto"/>
        </w:rPr>
      </w:pPr>
    </w:p>
    <w:p>
      <w:pPr>
        <w:jc w:val="both"/>
        <w:ind w:firstLine="368"/>
        <w:spacing w:after="0" w:line="288" w:lineRule="auto"/>
        <w:rPr>
          <w:sz w:val="20"/>
          <w:szCs w:val="20"/>
          <w:color w:val="auto"/>
        </w:rPr>
      </w:pPr>
      <w:r>
        <w:rPr>
          <w:rFonts w:ascii="Arial" w:cs="Arial" w:eastAsia="Arial" w:hAnsi="Arial"/>
          <w:sz w:val="16"/>
          <w:szCs w:val="16"/>
          <w:color w:val="3E5588"/>
        </w:rPr>
        <w:t>We expect to rely on third parties to manufacture clinical supplies of our product candidates and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These facilities may also be affected by natural disasters, such as floods or fire, or such facilities could face manufacturing issues, such as contamination or regulatory concerns following a regulatory inspection of such facility. In such instances, we may need to locate an appropriate replacement third-party facility and establish a contractual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relationship, which may not be readily available or on acceptable terms, which would cause additional delay and increased expense, including as a result of additional required FDA approvals, and may have a material adverse effect on our business.</w:t>
      </w:r>
    </w:p>
    <w:p>
      <w:pPr>
        <w:spacing w:after="0" w:line="186" w:lineRule="exact"/>
        <w:rPr>
          <w:sz w:val="20"/>
          <w:szCs w:val="20"/>
          <w:color w:val="auto"/>
        </w:rPr>
      </w:pPr>
    </w:p>
    <w:p>
      <w:pPr>
        <w:jc w:val="both"/>
        <w:ind w:firstLine="479"/>
        <w:spacing w:after="0" w:line="298" w:lineRule="auto"/>
        <w:rPr>
          <w:sz w:val="20"/>
          <w:szCs w:val="20"/>
          <w:color w:val="auto"/>
        </w:rPr>
      </w:pPr>
      <w:r>
        <w:rPr>
          <w:rFonts w:ascii="Arial" w:cs="Arial" w:eastAsia="Arial" w:hAnsi="Arial"/>
          <w:sz w:val="16"/>
          <w:szCs w:val="16"/>
          <w:color w:val="3E5588"/>
        </w:rPr>
        <w:t>Our third-party manufacturers will be subject to inspection and approval by the FDA before we can commence the manufacture and sale of any of our product candidates, and thereafter subject to FDA inspection from time to time. Failure by our third-party manufacturers to pass such inspections and otherwise satisfactorily complete the FDA approval regimen with respect to our product candidates may result in regulatory actions such as the issuance of FDA Form 483 notices of observations, warning letters or injunctions or the loss of operating licenses.</w:t>
      </w:r>
    </w:p>
    <w:p>
      <w:pPr>
        <w:spacing w:after="0" w:line="167" w:lineRule="exact"/>
        <w:rPr>
          <w:sz w:val="20"/>
          <w:szCs w:val="20"/>
          <w:color w:val="auto"/>
        </w:rPr>
      </w:pPr>
    </w:p>
    <w:p>
      <w:pPr>
        <w:jc w:val="both"/>
        <w:ind w:firstLine="379"/>
        <w:spacing w:after="0" w:line="294" w:lineRule="auto"/>
        <w:rPr>
          <w:sz w:val="20"/>
          <w:szCs w:val="20"/>
          <w:color w:val="auto"/>
        </w:rPr>
      </w:pPr>
      <w:r>
        <w:rPr>
          <w:rFonts w:ascii="Arial" w:cs="Arial" w:eastAsia="Arial" w:hAnsi="Arial"/>
          <w:sz w:val="16"/>
          <w:szCs w:val="16"/>
          <w:color w:val="3E5588"/>
        </w:rPr>
        <w:t>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Even if we are able to commercialize any product candidates, the products may become subject to unfavorable pricing regulations, third-party coverage or reimbursement practices or healthcare reform initiatives, which could harm our business.</w:t>
      </w:r>
    </w:p>
    <w:p>
      <w:pPr>
        <w:spacing w:after="0" w:line="186" w:lineRule="exact"/>
        <w:rPr>
          <w:sz w:val="20"/>
          <w:szCs w:val="20"/>
          <w:color w:val="auto"/>
        </w:rPr>
      </w:pPr>
    </w:p>
    <w:p>
      <w:pPr>
        <w:jc w:val="both"/>
        <w:ind w:firstLine="383"/>
        <w:spacing w:after="0" w:line="289" w:lineRule="auto"/>
        <w:rPr>
          <w:sz w:val="20"/>
          <w:szCs w:val="20"/>
          <w:color w:val="auto"/>
        </w:rPr>
      </w:pPr>
      <w:r>
        <w:rPr>
          <w:rFonts w:ascii="Arial" w:cs="Arial" w:eastAsia="Arial" w:hAnsi="Arial"/>
          <w:sz w:val="16"/>
          <w:szCs w:val="16"/>
          <w:color w:val="3E5588"/>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72"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3E5588"/>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E5588"/>
        </w:rPr>
        <w:t>available only to limited levels, we may not be able to successfully commercialize any product candidate for which we obtain marketing approval.</w:t>
      </w:r>
    </w:p>
    <w:p>
      <w:pPr>
        <w:spacing w:after="0" w:line="248" w:lineRule="exact"/>
        <w:rPr>
          <w:sz w:val="20"/>
          <w:szCs w:val="20"/>
          <w:color w:val="auto"/>
        </w:rPr>
      </w:pPr>
    </w:p>
    <w:p>
      <w:pPr>
        <w:jc w:val="both"/>
        <w:ind w:firstLine="406"/>
        <w:spacing w:after="0" w:line="286" w:lineRule="auto"/>
        <w:rPr>
          <w:sz w:val="20"/>
          <w:szCs w:val="20"/>
          <w:color w:val="auto"/>
        </w:rPr>
      </w:pPr>
      <w:r>
        <w:rPr>
          <w:rFonts w:ascii="Arial" w:cs="Arial" w:eastAsia="Arial" w:hAnsi="Arial"/>
          <w:sz w:val="16"/>
          <w:szCs w:val="16"/>
          <w:color w:val="3E5588"/>
        </w:rPr>
        <w:t>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jc w:val="both"/>
        <w:ind w:firstLine="478"/>
        <w:spacing w:after="0" w:line="306" w:lineRule="auto"/>
        <w:rPr>
          <w:sz w:val="20"/>
          <w:szCs w:val="20"/>
          <w:color w:val="auto"/>
        </w:rPr>
      </w:pPr>
      <w:r>
        <w:rPr>
          <w:rFonts w:ascii="Arial" w:cs="Arial" w:eastAsia="Arial" w:hAnsi="Arial"/>
          <w:sz w:val="16"/>
          <w:szCs w:val="16"/>
          <w:color w:val="3E5588"/>
        </w:rPr>
        <w:t>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Our future growth depends, in part, on our ability to penetrate foreign markets, where we would be subject to additional regulatory burdens and other risks and uncertainties that, if they materialize, could harm our business.</w:t>
      </w:r>
    </w:p>
    <w:p>
      <w:pPr>
        <w:spacing w:after="0" w:line="186"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3E5588"/>
        </w:rPr>
        <w:t>Our future profitability will depend, in part, on our ability to commercialize our product candidates in markets outside of the United States and the European Union. If we commercialize our product candidates in foreign markets, we will be subject to additional risks and uncertainties, including:</w:t>
      </w:r>
    </w:p>
    <w:p>
      <w:pPr>
        <w:spacing w:after="0" w:line="15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economic weakness, including inflation, or political instability in particular economies and markets;</w:t>
      </w:r>
    </w:p>
    <w:p>
      <w:pPr>
        <w:spacing w:after="0" w:line="25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the burden of complying with complex and changing foreign regulatory, tax, accounting and legal requirements, many of which vary between countries;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different medical practices and customs in foreign countries affecting acceptance in the marketplace;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tariffs and trade barriers, as well as other governmental controls and trade restrictions;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6"/>
          <w:szCs w:val="16"/>
          <w:color w:val="3E5588"/>
        </w:rPr>
      </w:pPr>
      <w:r>
        <w:rPr>
          <w:rFonts w:ascii="Arial" w:cs="Arial" w:eastAsia="Arial" w:hAnsi="Arial"/>
          <w:sz w:val="16"/>
          <w:szCs w:val="16"/>
          <w:color w:val="3E5588"/>
        </w:rPr>
        <w:t>other trade protection measures, import or export licensing requirements or other restrictive actions by U.S. or foreign governments;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longer accounts receivable collection times;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longer lead times for shipping;</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compliance with tax, employment, immigration and labor laws for employees living or traveling abroad;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workforce uncertainty in countries where labor unrest is common;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8"/>
          <w:szCs w:val="18"/>
          <w:color w:val="3E5588"/>
        </w:rPr>
      </w:pPr>
      <w:r>
        <w:rPr>
          <w:rFonts w:ascii="Arial" w:cs="Arial" w:eastAsia="Arial" w:hAnsi="Arial"/>
          <w:sz w:val="18"/>
          <w:szCs w:val="18"/>
          <w:color w:val="3E5588"/>
        </w:rPr>
        <w:t>language barriers for technical training;</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3"/>
        </w:numPr>
        <w:rPr>
          <w:rFonts w:ascii="Arial" w:cs="Arial" w:eastAsia="Arial" w:hAnsi="Arial"/>
          <w:sz w:val="16"/>
          <w:szCs w:val="16"/>
          <w:color w:val="3E5588"/>
        </w:rPr>
      </w:pPr>
      <w:r>
        <w:rPr>
          <w:rFonts w:ascii="Arial" w:cs="Arial" w:eastAsia="Arial" w:hAnsi="Arial"/>
          <w:sz w:val="16"/>
          <w:szCs w:val="16"/>
          <w:color w:val="3E5588"/>
        </w:rPr>
        <w:t>reduced protection of intellectual property rights in some foreign countries, and related prevalence of generic alternatives to therapeutics;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3E5588"/>
        </w:rPr>
      </w:pPr>
      <w:r>
        <w:rPr>
          <w:rFonts w:ascii="Arial" w:cs="Arial" w:eastAsia="Arial" w:hAnsi="Arial"/>
          <w:sz w:val="18"/>
          <w:szCs w:val="18"/>
          <w:color w:val="3E5588"/>
        </w:rPr>
        <w:t>foreign currency exchange rate fluctuations and currency controls;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4"/>
        </w:numPr>
        <w:rPr>
          <w:rFonts w:ascii="Arial" w:cs="Arial" w:eastAsia="Arial" w:hAnsi="Arial"/>
          <w:sz w:val="18"/>
          <w:szCs w:val="18"/>
          <w:color w:val="3E5588"/>
        </w:rPr>
      </w:pPr>
      <w:r>
        <w:rPr>
          <w:rFonts w:ascii="Arial" w:cs="Arial" w:eastAsia="Arial" w:hAnsi="Arial"/>
          <w:sz w:val="18"/>
          <w:szCs w:val="18"/>
          <w:color w:val="3E5588"/>
        </w:rPr>
        <w:t>differing foreign reimbursement landscapes;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4"/>
        </w:numPr>
        <w:rPr>
          <w:rFonts w:ascii="Arial" w:cs="Arial" w:eastAsia="Arial" w:hAnsi="Arial"/>
          <w:sz w:val="18"/>
          <w:szCs w:val="18"/>
          <w:color w:val="3E5588"/>
        </w:rPr>
      </w:pPr>
      <w:r>
        <w:rPr>
          <w:rFonts w:ascii="Arial" w:cs="Arial" w:eastAsia="Arial" w:hAnsi="Arial"/>
          <w:sz w:val="18"/>
          <w:szCs w:val="18"/>
          <w:color w:val="3E5588"/>
        </w:rPr>
        <w:t>uncertain and potentially inadequate reimbursement of our products; and</w:t>
      </w:r>
    </w:p>
    <w:p>
      <w:pPr>
        <w:spacing w:after="0" w:line="238" w:lineRule="exact"/>
        <w:rPr>
          <w:rFonts w:ascii="Arial" w:cs="Arial" w:eastAsia="Arial" w:hAnsi="Arial"/>
          <w:sz w:val="18"/>
          <w:szCs w:val="18"/>
          <w:color w:val="3E5588"/>
        </w:rPr>
      </w:pPr>
    </w:p>
    <w:p>
      <w:pPr>
        <w:ind w:left="360" w:right="3120" w:firstLine="188"/>
        <w:spacing w:after="0" w:line="601" w:lineRule="auto"/>
        <w:tabs>
          <w:tab w:leader="none" w:pos="1089" w:val="left"/>
        </w:tabs>
        <w:numPr>
          <w:ilvl w:val="0"/>
          <w:numId w:val="24"/>
        </w:numPr>
        <w:rPr>
          <w:rFonts w:ascii="Arial" w:cs="Arial" w:eastAsia="Arial" w:hAnsi="Arial"/>
          <w:sz w:val="15"/>
          <w:szCs w:val="15"/>
          <w:color w:val="3E5588"/>
        </w:rPr>
      </w:pPr>
      <w:r>
        <w:rPr>
          <w:rFonts w:ascii="Arial" w:cs="Arial" w:eastAsia="Arial" w:hAnsi="Arial"/>
          <w:sz w:val="15"/>
          <w:szCs w:val="15"/>
          <w:color w:val="3E5588"/>
        </w:rPr>
        <w:t>the interpretation of contractual provisions governed by foreign laws in the event of a contract dispute. If risks related to any of these uncertainties materializes, it could have a material adverse effect on our business.</w:t>
      </w:r>
    </w:p>
    <w:p>
      <w:pPr>
        <w:jc w:val="both"/>
        <w:ind w:right="20"/>
        <w:spacing w:after="0" w:line="268" w:lineRule="auto"/>
        <w:rPr>
          <w:sz w:val="20"/>
          <w:szCs w:val="20"/>
          <w:color w:val="auto"/>
        </w:rPr>
      </w:pPr>
      <w:r>
        <w:rPr>
          <w:rFonts w:ascii="Arial" w:cs="Arial" w:eastAsia="Arial" w:hAnsi="Arial"/>
          <w:sz w:val="18"/>
          <w:szCs w:val="18"/>
          <w:b w:val="1"/>
          <w:bCs w:val="1"/>
          <w:i w:val="1"/>
          <w:iCs w:val="1"/>
          <w:color w:val="3E5588"/>
        </w:rPr>
        <w:t>Clinical trial and product liability lawsuits against us could divert our resources and could cause us to incur substantial liabilities and to limit commercialization of any products that we may develop.</w:t>
      </w:r>
    </w:p>
    <w:p>
      <w:pPr>
        <w:spacing w:after="0" w:line="186" w:lineRule="exact"/>
        <w:rPr>
          <w:sz w:val="20"/>
          <w:szCs w:val="20"/>
          <w:color w:val="auto"/>
        </w:rPr>
      </w:pPr>
    </w:p>
    <w:p>
      <w:pPr>
        <w:jc w:val="both"/>
        <w:ind w:firstLine="408"/>
        <w:spacing w:after="0" w:line="291" w:lineRule="auto"/>
        <w:rPr>
          <w:sz w:val="20"/>
          <w:szCs w:val="20"/>
          <w:color w:val="auto"/>
        </w:rPr>
      </w:pPr>
      <w:r>
        <w:rPr>
          <w:rFonts w:ascii="Arial" w:cs="Arial" w:eastAsia="Arial" w:hAnsi="Arial"/>
          <w:sz w:val="16"/>
          <w:szCs w:val="16"/>
          <w:color w:val="3E5588"/>
        </w:rPr>
        <w:t>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w:t>
      </w:r>
    </w:p>
    <w:p>
      <w:pPr>
        <w:spacing w:after="0" w:line="201"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decreased demand for any product candidates or products that we may develop;</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injury to our reputation and significant negative media attention;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withdrawal of clinical trial participants;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significant costs to defend any related litigation;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substantial monetary awards to trial participants or patients;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loss of revenue;</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reduced resources of our management to pursue our business strategy;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5"/>
        </w:numPr>
        <w:rPr>
          <w:rFonts w:ascii="Arial" w:cs="Arial" w:eastAsia="Arial" w:hAnsi="Arial"/>
          <w:sz w:val="18"/>
          <w:szCs w:val="18"/>
          <w:color w:val="3E5588"/>
        </w:rPr>
      </w:pPr>
      <w:r>
        <w:rPr>
          <w:rFonts w:ascii="Arial" w:cs="Arial" w:eastAsia="Arial" w:hAnsi="Arial"/>
          <w:sz w:val="18"/>
          <w:szCs w:val="18"/>
          <w:color w:val="3E5588"/>
        </w:rPr>
        <w:t>the inability to commercialize any products that we may develop.</w:t>
      </w:r>
    </w:p>
    <w:p>
      <w:pPr>
        <w:spacing w:after="0" w:line="225" w:lineRule="exact"/>
        <w:rPr>
          <w:sz w:val="20"/>
          <w:szCs w:val="20"/>
          <w:color w:val="auto"/>
        </w:rPr>
      </w:pPr>
    </w:p>
    <w:p>
      <w:pPr>
        <w:jc w:val="both"/>
        <w:ind w:firstLine="482"/>
        <w:spacing w:after="0" w:line="294" w:lineRule="auto"/>
        <w:rPr>
          <w:sz w:val="20"/>
          <w:szCs w:val="20"/>
          <w:color w:val="auto"/>
        </w:rPr>
      </w:pPr>
      <w:r>
        <w:rPr>
          <w:rFonts w:ascii="Arial" w:cs="Arial" w:eastAsia="Arial" w:hAnsi="Arial"/>
          <w:sz w:val="16"/>
          <w:szCs w:val="16"/>
          <w:color w:val="3E5588"/>
        </w:rPr>
        <w:t>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our Dependence on Third Parties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We rely, and expect to continue to rely, on third parties to conduct our clinical trials, and those third parties may not perform satisfactorily, including failing to meet deadlines for the completion of such trials, which may harm our business.</w:t>
      </w:r>
    </w:p>
    <w:p>
      <w:pPr>
        <w:spacing w:after="0" w:line="186" w:lineRule="exact"/>
        <w:rPr>
          <w:sz w:val="20"/>
          <w:szCs w:val="20"/>
          <w:color w:val="auto"/>
        </w:rPr>
      </w:pPr>
    </w:p>
    <w:p>
      <w:pPr>
        <w:jc w:val="both"/>
        <w:ind w:firstLine="411"/>
        <w:spacing w:after="0" w:line="332" w:lineRule="auto"/>
        <w:rPr>
          <w:sz w:val="20"/>
          <w:szCs w:val="20"/>
          <w:color w:val="auto"/>
        </w:rPr>
      </w:pPr>
      <w:r>
        <w:rPr>
          <w:rFonts w:ascii="Arial" w:cs="Arial" w:eastAsia="Arial" w:hAnsi="Arial"/>
          <w:sz w:val="16"/>
          <w:szCs w:val="16"/>
          <w:color w:val="3E5588"/>
        </w:rPr>
        <w:t>We currently rely on third-party clinical research organizations to conduct our ongoing Phase 1 clinical trial of losmapimod and plan to rely on third-party clinical research organizations or third-party research collaboratives to conduct our planned clinical trials. We do not plan to independently conduct clinical trials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3E5588"/>
        </w:rPr>
        <w:t>of our other product candidates. We expect to continue to rely on third parties, such as clinical research organizations, clinical data management organizations, medical institutions and clinical investigators, to conduct our clinical trials. These agreements might terminate for a variety of reasons, including a failure to perform by the third parties. If we need to enter into alternative arrangements, our product development activities might be delayed.</w:t>
      </w:r>
    </w:p>
    <w:p>
      <w:pPr>
        <w:spacing w:after="0" w:line="161" w:lineRule="exact"/>
        <w:rPr>
          <w:sz w:val="20"/>
          <w:szCs w:val="20"/>
          <w:color w:val="auto"/>
        </w:rPr>
      </w:pPr>
    </w:p>
    <w:p>
      <w:pPr>
        <w:jc w:val="both"/>
        <w:ind w:firstLine="537"/>
        <w:spacing w:after="0" w:line="253" w:lineRule="auto"/>
        <w:rPr>
          <w:sz w:val="20"/>
          <w:szCs w:val="20"/>
          <w:color w:val="auto"/>
        </w:rPr>
      </w:pPr>
      <w:r>
        <w:rPr>
          <w:rFonts w:ascii="Arial" w:cs="Arial" w:eastAsia="Arial" w:hAnsi="Arial"/>
          <w:sz w:val="18"/>
          <w:szCs w:val="18"/>
          <w:color w:val="3E5588"/>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2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8"/>
          <w:szCs w:val="18"/>
          <w:color w:val="3E5588"/>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w:t>
      </w:r>
    </w:p>
    <w:p>
      <w:pPr>
        <w:spacing w:after="0" w:line="197"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3E5588"/>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3E5588"/>
        </w:rPr>
        <w:t>We plan to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61" w:lineRule="exact"/>
        <w:rPr>
          <w:sz w:val="20"/>
          <w:szCs w:val="20"/>
          <w:color w:val="auto"/>
        </w:rPr>
      </w:pPr>
    </w:p>
    <w:p>
      <w:pPr>
        <w:jc w:val="both"/>
        <w:ind w:firstLine="482"/>
        <w:spacing w:after="0" w:line="289" w:lineRule="auto"/>
        <w:rPr>
          <w:sz w:val="20"/>
          <w:szCs w:val="20"/>
          <w:color w:val="auto"/>
        </w:rPr>
      </w:pPr>
      <w:r>
        <w:rPr>
          <w:rFonts w:ascii="Arial" w:cs="Arial" w:eastAsia="Arial" w:hAnsi="Arial"/>
          <w:sz w:val="16"/>
          <w:szCs w:val="16"/>
          <w:color w:val="3E5588"/>
        </w:rPr>
        <w:t>We do not have any manufacturing facilities. Although we believe we have obtained sufficient losmapimod tablets from GSK to complete our planned Phase 2 clinical trials and that we have received a sufficient quantity of losmapimod API to complete further clinical trials in FSHD, we cannot be sure we have correctly estimated our drug product and API requirements or that such drug product or API will not expire before we want to use it. We intend to identify and engage a contract manufacturing organization to prepare our own API and to manufacture losmapimod tablets, but we may not be successful in entering into such arrangement or may be unable to do so on terms that are acceptable to us. Even if we have sufficient API to complete further clinical trials in FSHD, we would need to contract with a third-party manufacturer to convert the API into losmapimod tablets. While we believe that we have all the necessary information from GSK to enable any required technology transfer to a contract manufacturing organization, there can be no assurances that we will be able to effect such transfer in a timely manner.</w:t>
      </w:r>
    </w:p>
    <w:p>
      <w:pPr>
        <w:spacing w:after="0" w:line="172"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3E5588"/>
        </w:rPr>
        <w:t>We expect to rely on third parties for the manufacture of FTX-HbF and any future product candidates for preclinical and clinical testing, as well as for commercial manufacture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3E5588"/>
        </w:rPr>
        <w:t>We also expect to rely on third-party manufacturers or third-party collaborators for the manufacture of commercial supply of any other product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3E5588"/>
        </w:rPr>
      </w:pPr>
      <w:r>
        <w:rPr>
          <w:rFonts w:ascii="Arial" w:cs="Arial" w:eastAsia="Arial" w:hAnsi="Arial"/>
          <w:sz w:val="18"/>
          <w:szCs w:val="18"/>
          <w:color w:val="3E5588"/>
        </w:rPr>
        <w:t>reliance on the third party for regulatory compliance and quality assurance;</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6"/>
        </w:numPr>
        <w:rPr>
          <w:rFonts w:ascii="Arial" w:cs="Arial" w:eastAsia="Arial" w:hAnsi="Arial"/>
          <w:sz w:val="18"/>
          <w:szCs w:val="18"/>
          <w:color w:val="3E5588"/>
        </w:rPr>
      </w:pPr>
      <w:r>
        <w:rPr>
          <w:rFonts w:ascii="Arial" w:cs="Arial" w:eastAsia="Arial" w:hAnsi="Arial"/>
          <w:sz w:val="18"/>
          <w:szCs w:val="18"/>
          <w:color w:val="3E5588"/>
        </w:rPr>
        <w:t>the possible breach of the manufacturing agreement by the third party;</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6"/>
        </w:numPr>
        <w:rPr>
          <w:rFonts w:ascii="Arial" w:cs="Arial" w:eastAsia="Arial" w:hAnsi="Arial"/>
          <w:sz w:val="18"/>
          <w:szCs w:val="18"/>
          <w:color w:val="3E5588"/>
        </w:rPr>
      </w:pPr>
      <w:r>
        <w:rPr>
          <w:rFonts w:ascii="Arial" w:cs="Arial" w:eastAsia="Arial" w:hAnsi="Arial"/>
          <w:sz w:val="18"/>
          <w:szCs w:val="18"/>
          <w:color w:val="3E5588"/>
        </w:rPr>
        <w:t>the possible misappropriation of our proprietary information, including our trade secrets and know-how;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6"/>
        </w:numPr>
        <w:rPr>
          <w:rFonts w:ascii="Arial" w:cs="Arial" w:eastAsia="Arial" w:hAnsi="Arial"/>
          <w:sz w:val="18"/>
          <w:szCs w:val="18"/>
          <w:color w:val="3E5588"/>
        </w:rPr>
      </w:pPr>
      <w:r>
        <w:rPr>
          <w:rFonts w:ascii="Arial" w:cs="Arial" w:eastAsia="Arial" w:hAnsi="Arial"/>
          <w:sz w:val="18"/>
          <w:szCs w:val="18"/>
          <w:color w:val="3E5588"/>
        </w:rPr>
        <w:t>the possible termination or nonrenewal of the agreement by the third party at a time that is costly or inconvenient for us.</w:t>
      </w:r>
    </w:p>
    <w:p>
      <w:pPr>
        <w:spacing w:after="0" w:line="225"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3E5588"/>
        </w:rPr>
        <w:t>Third-party manufacturers may not be able to comply with current good manufacturing practices, or cGMP, regulations or similar regulatory requirements outside of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67" w:lineRule="exact"/>
        <w:rPr>
          <w:sz w:val="20"/>
          <w:szCs w:val="20"/>
          <w:color w:val="auto"/>
        </w:rPr>
      </w:pPr>
    </w:p>
    <w:p>
      <w:pPr>
        <w:jc w:val="both"/>
        <w:ind w:right="20" w:firstLine="523"/>
        <w:spacing w:after="0" w:line="332" w:lineRule="auto"/>
        <w:rPr>
          <w:sz w:val="20"/>
          <w:szCs w:val="20"/>
          <w:color w:val="auto"/>
        </w:rPr>
      </w:pPr>
      <w:r>
        <w:rPr>
          <w:rFonts w:ascii="Arial" w:cs="Arial" w:eastAsia="Arial" w:hAnsi="Arial"/>
          <w:sz w:val="16"/>
          <w:szCs w:val="16"/>
          <w:color w:val="3E5588"/>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39" w:lineRule="exact"/>
        <w:rPr>
          <w:sz w:val="20"/>
          <w:szCs w:val="20"/>
          <w:color w:val="auto"/>
        </w:rPr>
      </w:pPr>
    </w:p>
    <w:p>
      <w:pPr>
        <w:jc w:val="both"/>
        <w:ind w:firstLine="424"/>
        <w:spacing w:after="0" w:line="298" w:lineRule="auto"/>
        <w:rPr>
          <w:sz w:val="20"/>
          <w:szCs w:val="20"/>
          <w:color w:val="auto"/>
        </w:rPr>
      </w:pPr>
      <w:r>
        <w:rPr>
          <w:rFonts w:ascii="Arial" w:cs="Arial" w:eastAsia="Arial" w:hAnsi="Arial"/>
          <w:sz w:val="16"/>
          <w:szCs w:val="16"/>
          <w:color w:val="3E5588"/>
        </w:rPr>
        <w:t>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w:t>
      </w:r>
    </w:p>
    <w:p>
      <w:pPr>
        <w:spacing w:after="0" w:line="167"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3E5588"/>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3E5588"/>
        </w:rPr>
        <w:t>We may enter into collaborations with third parties for the development or commercialization of our product candidates. If our collaborations are not successful, we may not be able to capitalize on the market potential of these product candidates and our business could be adversely affected.</w:t>
      </w:r>
    </w:p>
    <w:p>
      <w:pPr>
        <w:spacing w:after="0" w:line="139"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3E5588"/>
        </w:rPr>
        <w:t>While we have retained all rights to and are developing on our own our current product candidates, we may in the future enter into development, distribution or marketing arrangements with third parties with respect to our existing or future product candidates. Our likely collaborators for any sales,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3E5588"/>
        </w:rPr>
        <w:t>Collaborations that we enter into may not be successful, and any success will depend heavily on the efforts and activities of such collaborators.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E5588"/>
        </w:rPr>
        <w:t>Collaborations pose a number of risks, including the following:</w:t>
      </w:r>
    </w:p>
    <w:p>
      <w:pPr>
        <w:spacing w:after="0" w:line="232"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3E5588"/>
        </w:rPr>
      </w:pPr>
      <w:r>
        <w:rPr>
          <w:rFonts w:ascii="Arial" w:cs="Arial" w:eastAsia="Arial" w:hAnsi="Arial"/>
          <w:sz w:val="16"/>
          <w:szCs w:val="16"/>
          <w:color w:val="3E5588"/>
        </w:rPr>
        <w:t>collaborators have significant discretion in determining the amount and timing of efforts and resources that they will apply to these collaborations;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collaborators may not perform their obligations as expected;</w:t>
      </w:r>
    </w:p>
    <w:p>
      <w:pPr>
        <w:spacing w:after="0" w:line="238"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spacing w:after="0" w:line="207" w:lineRule="exact"/>
        <w:rPr>
          <w:rFonts w:ascii="Arial" w:cs="Arial" w:eastAsia="Arial" w:hAnsi="Arial"/>
          <w:sz w:val="18"/>
          <w:szCs w:val="18"/>
          <w:color w:val="3E5588"/>
        </w:rPr>
      </w:pPr>
    </w:p>
    <w:p>
      <w:pPr>
        <w:jc w:val="both"/>
        <w:ind w:left="1080" w:hanging="532"/>
        <w:spacing w:after="0" w:line="306" w:lineRule="auto"/>
        <w:tabs>
          <w:tab w:leader="none" w:pos="1080" w:val="left"/>
        </w:tabs>
        <w:numPr>
          <w:ilvl w:val="0"/>
          <w:numId w:val="27"/>
        </w:numPr>
        <w:rPr>
          <w:rFonts w:ascii="Arial" w:cs="Arial" w:eastAsia="Arial" w:hAnsi="Arial"/>
          <w:sz w:val="16"/>
          <w:szCs w:val="16"/>
          <w:color w:val="3E5588"/>
        </w:rPr>
      </w:pPr>
      <w:r>
        <w:rPr>
          <w:rFonts w:ascii="Arial" w:cs="Arial" w:eastAsia="Arial" w:hAnsi="Arial"/>
          <w:sz w:val="16"/>
          <w:szCs w:val="16"/>
          <w:color w:val="3E5588"/>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spacing w:after="0" w:line="187"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99"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07"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21" w:lineRule="exact"/>
        <w:rPr>
          <w:rFonts w:ascii="Arial" w:cs="Arial" w:eastAsia="Arial" w:hAnsi="Arial"/>
          <w:sz w:val="18"/>
          <w:szCs w:val="18"/>
          <w:color w:val="3E5588"/>
        </w:rPr>
      </w:pPr>
    </w:p>
    <w:p>
      <w:pPr>
        <w:ind w:left="1080" w:hanging="532"/>
        <w:spacing w:after="0" w:line="332" w:lineRule="auto"/>
        <w:tabs>
          <w:tab w:leader="none" w:pos="1080" w:val="left"/>
        </w:tabs>
        <w:numPr>
          <w:ilvl w:val="0"/>
          <w:numId w:val="27"/>
        </w:numPr>
        <w:rPr>
          <w:rFonts w:ascii="Arial" w:cs="Arial" w:eastAsia="Arial" w:hAnsi="Arial"/>
          <w:sz w:val="16"/>
          <w:szCs w:val="16"/>
          <w:color w:val="3E5588"/>
        </w:rPr>
      </w:pPr>
      <w:r>
        <w:rPr>
          <w:rFonts w:ascii="Arial" w:cs="Arial" w:eastAsia="Arial" w:hAnsi="Arial"/>
          <w:sz w:val="16"/>
          <w:szCs w:val="16"/>
          <w:color w:val="3E5588"/>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52" w:lineRule="exact"/>
        <w:rPr>
          <w:rFonts w:ascii="Arial" w:cs="Arial" w:eastAsia="Arial" w:hAnsi="Arial"/>
          <w:sz w:val="16"/>
          <w:szCs w:val="16"/>
          <w:color w:val="3E5588"/>
        </w:rPr>
      </w:pPr>
    </w:p>
    <w:p>
      <w:pPr>
        <w:ind w:left="1080" w:right="20" w:hanging="532"/>
        <w:spacing w:after="0" w:line="268"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a collaborator may fail to comply with applicable regulatory requirements regarding the development, manufacture, distribution or marketing of a product candidate or product;</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a collaborator with marketing and distribution rights to one or more of our product candidates that achieve regulatory approval may not commit sufficient resources to the marketing and distribution of such product or products;</w:t>
      </w:r>
    </w:p>
    <w:p>
      <w:pPr>
        <w:spacing w:after="0" w:line="212" w:lineRule="exact"/>
        <w:rPr>
          <w:rFonts w:ascii="Arial" w:cs="Arial" w:eastAsia="Arial" w:hAnsi="Arial"/>
          <w:sz w:val="18"/>
          <w:szCs w:val="18"/>
          <w:color w:val="3E5588"/>
        </w:rPr>
      </w:pPr>
    </w:p>
    <w:p>
      <w:pPr>
        <w:jc w:val="both"/>
        <w:ind w:left="1080" w:hanging="532"/>
        <w:spacing w:after="0" w:line="256"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07" w:lineRule="exact"/>
        <w:rPr>
          <w:rFonts w:ascii="Arial" w:cs="Arial" w:eastAsia="Arial" w:hAnsi="Arial"/>
          <w:sz w:val="18"/>
          <w:szCs w:val="18"/>
          <w:color w:val="3E5588"/>
        </w:rPr>
      </w:pPr>
    </w:p>
    <w:p>
      <w:pPr>
        <w:ind w:left="1080" w:hanging="532"/>
        <w:spacing w:after="0"/>
        <w:tabs>
          <w:tab w:leader="none" w:pos="1080" w:val="left"/>
        </w:tabs>
        <w:numPr>
          <w:ilvl w:val="0"/>
          <w:numId w:val="27"/>
        </w:numPr>
        <w:rPr>
          <w:rFonts w:ascii="Arial" w:cs="Arial" w:eastAsia="Arial" w:hAnsi="Arial"/>
          <w:sz w:val="18"/>
          <w:szCs w:val="18"/>
          <w:color w:val="3E5588"/>
        </w:rPr>
      </w:pPr>
      <w:r>
        <w:rPr>
          <w:rFonts w:ascii="Arial" w:cs="Arial" w:eastAsia="Arial" w:hAnsi="Arial"/>
          <w:sz w:val="18"/>
          <w:szCs w:val="18"/>
          <w:color w:val="3E5588"/>
        </w:rPr>
        <w:t>disputes may arise with respect to the ownership of intellectual property developed pursuant to our collaborations;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3E5588"/>
        </w:rPr>
      </w:pPr>
      <w:r>
        <w:rPr>
          <w:rFonts w:ascii="Arial" w:cs="Arial" w:eastAsia="Arial" w:hAnsi="Arial"/>
          <w:sz w:val="18"/>
          <w:szCs w:val="18"/>
          <w:color w:val="3E5588"/>
        </w:rPr>
        <w:t>collaborators may infringe, misappropriate or otherwise violate the intellectual property or proprietary rights of third parties, which may expose us to litigation and potential liability; and</w:t>
      </w:r>
    </w:p>
    <w:p>
      <w:pPr>
        <w:spacing w:after="0" w:line="21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3E5588"/>
        </w:rPr>
      </w:pPr>
      <w:r>
        <w:rPr>
          <w:rFonts w:ascii="Arial" w:cs="Arial" w:eastAsia="Arial" w:hAnsi="Arial"/>
          <w:sz w:val="18"/>
          <w:szCs w:val="18"/>
          <w:color w:val="3E5588"/>
        </w:rPr>
        <w:t>collaborations may be terminated for the convenience of the collaborator, and, if terminated, we could be required to raise additional capital to pursue further development or commercialization of the applicable product candidates.</w:t>
      </w:r>
    </w:p>
    <w:p>
      <w:pPr>
        <w:spacing w:after="0" w:line="186" w:lineRule="exact"/>
        <w:rPr>
          <w:sz w:val="20"/>
          <w:szCs w:val="20"/>
          <w:color w:val="auto"/>
        </w:rPr>
      </w:pPr>
    </w:p>
    <w:p>
      <w:pPr>
        <w:jc w:val="both"/>
        <w:ind w:firstLine="608"/>
        <w:spacing w:after="0" w:line="254" w:lineRule="auto"/>
        <w:rPr>
          <w:sz w:val="20"/>
          <w:szCs w:val="20"/>
          <w:color w:val="auto"/>
        </w:rPr>
      </w:pPr>
      <w:r>
        <w:rPr>
          <w:rFonts w:ascii="Arial" w:cs="Arial" w:eastAsia="Arial" w:hAnsi="Arial"/>
          <w:sz w:val="18"/>
          <w:szCs w:val="18"/>
          <w:color w:val="3E5588"/>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98" w:lineRule="exact"/>
        <w:rPr>
          <w:sz w:val="20"/>
          <w:szCs w:val="20"/>
          <w:color w:val="auto"/>
        </w:rPr>
      </w:pPr>
    </w:p>
    <w:p>
      <w:pPr>
        <w:jc w:val="both"/>
        <w:ind w:firstLine="385"/>
        <w:spacing w:after="0" w:line="306" w:lineRule="auto"/>
        <w:rPr>
          <w:sz w:val="20"/>
          <w:szCs w:val="20"/>
          <w:color w:val="auto"/>
        </w:rPr>
      </w:pPr>
      <w:r>
        <w:rPr>
          <w:rFonts w:ascii="Arial" w:cs="Arial" w:eastAsia="Arial" w:hAnsi="Arial"/>
          <w:sz w:val="16"/>
          <w:szCs w:val="16"/>
          <w:color w:val="3E5588"/>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spacing w:after="0" w:line="1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If we are not able to establish or maintain collaborations, we may have to alter our development and commercialization plans and our business could be adversely affected.</w:t>
      </w:r>
    </w:p>
    <w:p>
      <w:pPr>
        <w:spacing w:after="0" w:line="186" w:lineRule="exact"/>
        <w:rPr>
          <w:sz w:val="20"/>
          <w:szCs w:val="20"/>
          <w:color w:val="auto"/>
        </w:rPr>
      </w:pPr>
    </w:p>
    <w:p>
      <w:pPr>
        <w:jc w:val="both"/>
        <w:ind w:firstLine="494"/>
        <w:spacing w:after="0" w:line="285" w:lineRule="auto"/>
        <w:rPr>
          <w:sz w:val="20"/>
          <w:szCs w:val="20"/>
          <w:color w:val="auto"/>
        </w:rPr>
      </w:pPr>
      <w:r>
        <w:rPr>
          <w:rFonts w:ascii="Arial" w:cs="Arial" w:eastAsia="Arial" w:hAnsi="Arial"/>
          <w:sz w:val="16"/>
          <w:szCs w:val="16"/>
          <w:color w:val="3E5588"/>
        </w:rPr>
        <w:t>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are also restricted by GSK's right of first negotiation under our current license agreement with them and may in the future be restricted under other license agreements from entering into agreements on certain terms with potential collaborators. Collaborations are complex and time-consuming to negotiate and document. In addition, there have been a significant number of recent business combinations among large pharmaceutical and biotechnology companies that have resulted in a reduced number of potential future collaborators.</w:t>
      </w:r>
    </w:p>
    <w:p>
      <w:pPr>
        <w:spacing w:after="0" w:line="180"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3E5588"/>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our Intellectual Property</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3E5588"/>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161"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8"/>
          <w:szCs w:val="18"/>
          <w:color w:val="3E5588"/>
        </w:rPr>
        <w:t>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w:t>
      </w:r>
    </w:p>
    <w:p>
      <w:pPr>
        <w:spacing w:after="0" w:line="198" w:lineRule="exact"/>
        <w:rPr>
          <w:sz w:val="20"/>
          <w:szCs w:val="20"/>
          <w:color w:val="auto"/>
        </w:rPr>
      </w:pPr>
    </w:p>
    <w:p>
      <w:pPr>
        <w:jc w:val="both"/>
        <w:ind w:firstLine="514"/>
        <w:spacing w:after="0" w:line="254" w:lineRule="auto"/>
        <w:rPr>
          <w:sz w:val="20"/>
          <w:szCs w:val="20"/>
          <w:color w:val="auto"/>
        </w:rPr>
      </w:pPr>
      <w:r>
        <w:rPr>
          <w:rFonts w:ascii="Arial" w:cs="Arial" w:eastAsia="Arial" w:hAnsi="Arial"/>
          <w:sz w:val="18"/>
          <w:szCs w:val="18"/>
          <w:color w:val="3E5588"/>
        </w:rPr>
        <w:t>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w:t>
      </w:r>
    </w:p>
    <w:p>
      <w:pPr>
        <w:spacing w:after="0" w:line="198" w:lineRule="exact"/>
        <w:rPr>
          <w:sz w:val="20"/>
          <w:szCs w:val="20"/>
          <w:color w:val="auto"/>
        </w:rPr>
      </w:pPr>
    </w:p>
    <w:p>
      <w:pPr>
        <w:jc w:val="both"/>
        <w:ind w:firstLine="410"/>
        <w:spacing w:after="0" w:line="286" w:lineRule="auto"/>
        <w:rPr>
          <w:sz w:val="20"/>
          <w:szCs w:val="20"/>
          <w:color w:val="auto"/>
        </w:rPr>
      </w:pPr>
      <w:r>
        <w:rPr>
          <w:rFonts w:ascii="Arial" w:cs="Arial" w:eastAsia="Arial" w:hAnsi="Arial"/>
          <w:sz w:val="16"/>
          <w:szCs w:val="16"/>
          <w:color w:val="3E5588"/>
        </w:rPr>
        <w:t>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E5588"/>
        </w:rPr>
        <w:t>either the patent laws or interpretation of the patent laws in the United States and other countries may diminish the value of our patents and our ability to obtain, protect, maintain, defend and enforce our patent rights, narrow the scope of our patent protection and, more generally, could affect the value or narrow the scope of our patent rights.</w:t>
      </w:r>
    </w:p>
    <w:p>
      <w:pPr>
        <w:spacing w:after="0" w:line="194" w:lineRule="exact"/>
        <w:rPr>
          <w:sz w:val="20"/>
          <w:szCs w:val="20"/>
          <w:color w:val="auto"/>
        </w:rPr>
      </w:pPr>
    </w:p>
    <w:p>
      <w:pPr>
        <w:jc w:val="both"/>
        <w:ind w:firstLine="416"/>
        <w:spacing w:after="0" w:line="289" w:lineRule="auto"/>
        <w:rPr>
          <w:sz w:val="20"/>
          <w:szCs w:val="20"/>
          <w:color w:val="auto"/>
        </w:rPr>
      </w:pPr>
      <w:r>
        <w:rPr>
          <w:rFonts w:ascii="Arial" w:cs="Arial" w:eastAsia="Arial" w:hAnsi="Arial"/>
          <w:sz w:val="16"/>
          <w:szCs w:val="16"/>
          <w:color w:val="3E5588"/>
        </w:rPr>
        <w:t>Currently, our patent portfolio related to FTX-HbF is in its earliest stages, including only provisional patent applications which do not themselves issue as patents. We have no issued patents related to FTX-HbF or our SCD or b-thalassemia programs. In order to continue to pursue protection based on provisional patent applications, we will need to file Patent Cooperation Treaty applications, foreign applications and/or U.S. non-provisional patent applications prior to applicable deadlines. Even then, as highlighted above, patents may never issue from our patent applications, or the scope of any patent may not be sufficient to provide a competitive advantage. With respect to losmapimod, the patents to losmapimod licensed from GSK as a composition of matter and pharmaceutical composition are expected to expire on February 10, 2023. Our owned patent applications are not to the composition but, rather, are directed to certain methods of treating FSHD. We cannot be certain that any patents will be granted in respect of these patent applications. Even if such patent applications issue as patents, they will not prevent third parties from commercializing losmapimod for other indications.</w:t>
      </w:r>
    </w:p>
    <w:p>
      <w:pPr>
        <w:spacing w:after="0" w:line="17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3E5588"/>
        </w:rPr>
        <w:t xml:space="preserve">Moreover, we or our licensors may be subject to a third-party preissuance submission of prior art to the United States Patent and Trademark Office, or USPTO, or become involved in opposition, derivation, revocation, reexamination, </w:t>
      </w:r>
      <w:r>
        <w:rPr>
          <w:rFonts w:ascii="Arial" w:cs="Arial" w:eastAsia="Arial" w:hAnsi="Arial"/>
          <w:sz w:val="16"/>
          <w:szCs w:val="16"/>
          <w:i w:val="1"/>
          <w:iCs w:val="1"/>
          <w:color w:val="3E5588"/>
        </w:rPr>
        <w:t>inter partes</w:t>
      </w:r>
      <w:r>
        <w:rPr>
          <w:rFonts w:ascii="Arial" w:cs="Arial" w:eastAsia="Arial" w:hAnsi="Arial"/>
          <w:sz w:val="16"/>
          <w:szCs w:val="16"/>
          <w:color w:val="3E5588"/>
        </w:rPr>
        <w:t xml:space="preserve">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72" w:lineRule="exact"/>
        <w:rPr>
          <w:sz w:val="20"/>
          <w:szCs w:val="20"/>
          <w:color w:val="auto"/>
        </w:rPr>
      </w:pPr>
    </w:p>
    <w:p>
      <w:pPr>
        <w:jc w:val="both"/>
        <w:ind w:firstLine="425"/>
        <w:spacing w:after="0" w:line="286" w:lineRule="auto"/>
        <w:rPr>
          <w:sz w:val="20"/>
          <w:szCs w:val="20"/>
          <w:color w:val="auto"/>
        </w:rPr>
      </w:pPr>
      <w:r>
        <w:rPr>
          <w:rFonts w:ascii="Arial" w:cs="Arial" w:eastAsia="Arial" w:hAnsi="Arial"/>
          <w:sz w:val="16"/>
          <w:szCs w:val="16"/>
          <w:color w:val="3E5588"/>
        </w:rPr>
        <w:t>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Patent terms may be inadequate to protect our competitive position on our product candidates for an adequate amount of time.</w:t>
      </w:r>
    </w:p>
    <w:p>
      <w:pPr>
        <w:spacing w:after="0" w:line="225"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3E5588"/>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For example, the composition of matter patents covering losmapimod, licensed from GSK, are expected to expire on February 10, 2023. Given the near term expiration date of these patents, and the fact that safe harbor protections in many jurisdictions permit third parties to engage in development, including clinical trials, these patents may not provide us with any meaningful competitive advantage.</w:t>
      </w:r>
    </w:p>
    <w:p>
      <w:pPr>
        <w:spacing w:after="0" w:line="39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If we are unable to obtain licenses from third parties on commercially reasonable terms or fail to comply with our obligations under such agreements, our business could be harmed.</w:t>
      </w:r>
    </w:p>
    <w:p>
      <w:pPr>
        <w:spacing w:after="0" w:line="186" w:lineRule="exact"/>
        <w:rPr>
          <w:sz w:val="20"/>
          <w:szCs w:val="20"/>
          <w:color w:val="auto"/>
        </w:rPr>
      </w:pPr>
    </w:p>
    <w:p>
      <w:pPr>
        <w:jc w:val="both"/>
        <w:ind w:firstLine="386"/>
        <w:spacing w:after="0" w:line="291" w:lineRule="auto"/>
        <w:rPr>
          <w:sz w:val="20"/>
          <w:szCs w:val="20"/>
          <w:color w:val="auto"/>
        </w:rPr>
      </w:pPr>
      <w:r>
        <w:rPr>
          <w:rFonts w:ascii="Arial" w:cs="Arial" w:eastAsia="Arial" w:hAnsi="Arial"/>
          <w:sz w:val="16"/>
          <w:szCs w:val="16"/>
          <w:color w:val="3E5588"/>
        </w:rPr>
        <w:t>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7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3E5588"/>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97" w:lineRule="exact"/>
        <w:rPr>
          <w:sz w:val="20"/>
          <w:szCs w:val="20"/>
          <w:color w:val="auto"/>
        </w:rPr>
      </w:pPr>
    </w:p>
    <w:p>
      <w:pPr>
        <w:jc w:val="both"/>
        <w:ind w:firstLine="439"/>
        <w:spacing w:after="0" w:line="253" w:lineRule="auto"/>
        <w:rPr>
          <w:sz w:val="20"/>
          <w:szCs w:val="20"/>
          <w:color w:val="auto"/>
        </w:rPr>
      </w:pPr>
      <w:r>
        <w:rPr>
          <w:rFonts w:ascii="Arial" w:cs="Arial" w:eastAsia="Arial" w:hAnsi="Arial"/>
          <w:sz w:val="18"/>
          <w:szCs w:val="18"/>
          <w:color w:val="3E5588"/>
        </w:rPr>
        <w:t>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3E5588"/>
        </w:rPr>
        <w:t>If we do not obtain patent term extension in the United States under the Hatch-Waxman Act and in foreign countries under similar legislation, thereby potentially extending the term of our marketing exclusivity for any product candidates we may develop, our business may be materially harmed.</w:t>
      </w:r>
    </w:p>
    <w:p>
      <w:pPr>
        <w:spacing w:after="0" w:line="139" w:lineRule="exact"/>
        <w:rPr>
          <w:sz w:val="20"/>
          <w:szCs w:val="20"/>
          <w:color w:val="auto"/>
        </w:rPr>
      </w:pPr>
    </w:p>
    <w:p>
      <w:pPr>
        <w:jc w:val="both"/>
        <w:ind w:firstLine="404"/>
        <w:spacing w:after="0" w:line="285" w:lineRule="auto"/>
        <w:rPr>
          <w:sz w:val="20"/>
          <w:szCs w:val="20"/>
          <w:color w:val="auto"/>
        </w:rPr>
      </w:pPr>
      <w:r>
        <w:rPr>
          <w:rFonts w:ascii="Arial" w:cs="Arial" w:eastAsia="Arial" w:hAnsi="Arial"/>
          <w:sz w:val="16"/>
          <w:szCs w:val="16"/>
          <w:color w:val="3E5588"/>
        </w:rPr>
        <w:t>In the United States, the patent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80" w:lineRule="exact"/>
        <w:rPr>
          <w:sz w:val="20"/>
          <w:szCs w:val="20"/>
          <w:color w:val="auto"/>
        </w:rPr>
      </w:pPr>
    </w:p>
    <w:p>
      <w:pPr>
        <w:jc w:val="both"/>
        <w:ind w:firstLine="421"/>
        <w:spacing w:after="0" w:line="294" w:lineRule="auto"/>
        <w:rPr>
          <w:sz w:val="20"/>
          <w:szCs w:val="20"/>
          <w:color w:val="auto"/>
        </w:rPr>
      </w:pPr>
      <w:r>
        <w:rPr>
          <w:rFonts w:ascii="Arial" w:cs="Arial" w:eastAsia="Arial" w:hAnsi="Arial"/>
          <w:sz w:val="16"/>
          <w:szCs w:val="16"/>
          <w:color w:val="3E5588"/>
        </w:rPr>
        <w:t>It is possible that we will not obtain patent term extension under the Hatch-Waxman Act for a U.S. patent covering any of our product candidates that we may identify even where that patent is eligible for patent term extension, or if we obtain such an extension, it may be for a shorter period than we had sought. Further, for our licensed patents, we may not have the right to control prosecution, including filing with the USPTO a petition for patent term extension under the Hatch-Waxman Act. Thus, if one of our licensed patents is eligible for patent term extension under the Hatch-Waxman Act, we may not be able to control whether a petition to obtain a patent term extension is filed, or obtained, from the USPTO.</w:t>
      </w:r>
    </w:p>
    <w:p>
      <w:pPr>
        <w:spacing w:after="0" w:line="170"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3E5588"/>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Changes to patent laws in the United States and other jurisdictions could diminish the value of patents in general, thereby impairing our ability to protect our products.</w:t>
      </w:r>
    </w:p>
    <w:p>
      <w:pPr>
        <w:spacing w:after="0" w:line="186"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3E5588"/>
        </w:rPr>
        <w:t>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3E5588"/>
        </w:rPr>
        <w:t xml:space="preserve">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Arial" w:cs="Arial" w:eastAsia="Arial" w:hAnsi="Arial"/>
          <w:sz w:val="16"/>
          <w:szCs w:val="16"/>
          <w:i w:val="1"/>
          <w:iCs w:val="1"/>
          <w:color w:val="3E5588"/>
        </w:rPr>
        <w:t>inter partes</w:t>
      </w:r>
      <w:r>
        <w:rPr>
          <w:rFonts w:ascii="Arial" w:cs="Arial" w:eastAsia="Arial" w:hAnsi="Arial"/>
          <w:sz w:val="16"/>
          <w:szCs w:val="16"/>
          <w:color w:val="3E5588"/>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7"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3E5588"/>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Although we or our licensors are not currently involved in any litigation, we may become involved in lawsuits to protect or enforce our patent or other intellectual property rights, which could be expensive, time-consuming and unsuccessful.</w:t>
      </w:r>
    </w:p>
    <w:p>
      <w:pPr>
        <w:spacing w:after="0" w:line="186"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3E5588"/>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Arial" w:cs="Arial" w:eastAsia="Arial" w:hAnsi="Arial"/>
          <w:sz w:val="16"/>
          <w:szCs w:val="16"/>
          <w:i w:val="1"/>
          <w:iCs w:val="1"/>
          <w:color w:val="3E5588"/>
        </w:rPr>
        <w:t>inter partes</w:t>
      </w:r>
      <w:r>
        <w:rPr>
          <w:rFonts w:ascii="Arial" w:cs="Arial" w:eastAsia="Arial" w:hAnsi="Arial"/>
          <w:sz w:val="16"/>
          <w:szCs w:val="16"/>
          <w:color w:val="3E5588"/>
        </w:rPr>
        <w:t xml:space="preserve"> review, interference proceedings, derivation proceedings, and equivalent proceedings in foreign jurisdictions (e.g., opposition proceedings). The outcome following legal assertions of invalidity and unenforceability is unpredictable.</w:t>
      </w:r>
    </w:p>
    <w:p>
      <w:pPr>
        <w:spacing w:after="0" w:line="181"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3E5588"/>
        </w:rPr>
        <w:t>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3E5588"/>
        </w:rPr>
        <w:t>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72"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3E5588"/>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186"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3E5588"/>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Arial" w:cs="Arial" w:eastAsia="Arial" w:hAnsi="Arial"/>
          <w:sz w:val="16"/>
          <w:szCs w:val="16"/>
          <w:i w:val="1"/>
          <w:iCs w:val="1"/>
          <w:color w:val="3E5588"/>
        </w:rPr>
        <w:t>inter partes</w:t>
      </w:r>
      <w:r>
        <w:rPr>
          <w:rFonts w:ascii="Arial" w:cs="Arial" w:eastAsia="Arial" w:hAnsi="Arial"/>
          <w:sz w:val="16"/>
          <w:szCs w:val="16"/>
          <w:color w:val="3E5588"/>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w:t>
      </w:r>
    </w:p>
    <w:p>
      <w:pPr>
        <w:spacing w:after="0" w:line="172"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3E5588"/>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w:t>
      </w:r>
    </w:p>
    <w:p>
      <w:pPr>
        <w:spacing w:after="0" w:line="174" w:lineRule="exact"/>
        <w:rPr>
          <w:sz w:val="20"/>
          <w:szCs w:val="20"/>
          <w:color w:val="auto"/>
        </w:rPr>
      </w:pPr>
    </w:p>
    <w:p>
      <w:pPr>
        <w:jc w:val="both"/>
        <w:ind w:right="20" w:firstLine="417"/>
        <w:spacing w:after="0" w:line="268" w:lineRule="auto"/>
        <w:rPr>
          <w:sz w:val="20"/>
          <w:szCs w:val="20"/>
          <w:color w:val="auto"/>
        </w:rPr>
      </w:pPr>
      <w:r>
        <w:rPr>
          <w:rFonts w:ascii="Arial" w:cs="Arial" w:eastAsia="Arial" w:hAnsi="Arial"/>
          <w:sz w:val="18"/>
          <w:szCs w:val="18"/>
          <w:color w:val="3E5588"/>
        </w:rPr>
        <w:t>Third parties may assert that we are employing their proprietary technology without authorization. There may be third-party patents or patent applications with claims to materials, formulations or methods,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E5588"/>
        </w:rPr>
        <w:t>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72" w:lineRule="exact"/>
        <w:rPr>
          <w:sz w:val="20"/>
          <w:szCs w:val="20"/>
          <w:color w:val="auto"/>
        </w:rPr>
      </w:pPr>
    </w:p>
    <w:p>
      <w:pPr>
        <w:jc w:val="both"/>
        <w:ind w:firstLine="612"/>
        <w:spacing w:after="0" w:line="294" w:lineRule="auto"/>
        <w:rPr>
          <w:sz w:val="20"/>
          <w:szCs w:val="20"/>
          <w:color w:val="auto"/>
        </w:rPr>
      </w:pPr>
      <w:r>
        <w:rPr>
          <w:rFonts w:ascii="Arial" w:cs="Arial" w:eastAsia="Arial" w:hAnsi="Arial"/>
          <w:sz w:val="16"/>
          <w:szCs w:val="16"/>
          <w:color w:val="3E5588"/>
        </w:rPr>
        <w:t>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0" w:lineRule="exact"/>
        <w:rPr>
          <w:sz w:val="20"/>
          <w:szCs w:val="20"/>
          <w:color w:val="auto"/>
        </w:rPr>
      </w:pPr>
    </w:p>
    <w:p>
      <w:pPr>
        <w:jc w:val="both"/>
        <w:ind w:firstLine="377"/>
        <w:spacing w:after="0" w:line="286" w:lineRule="auto"/>
        <w:rPr>
          <w:sz w:val="20"/>
          <w:szCs w:val="20"/>
          <w:color w:val="auto"/>
        </w:rPr>
      </w:pPr>
      <w:r>
        <w:rPr>
          <w:rFonts w:ascii="Arial" w:cs="Arial" w:eastAsia="Arial" w:hAnsi="Arial"/>
          <w:sz w:val="16"/>
          <w:szCs w:val="16"/>
          <w:color w:val="3E5588"/>
        </w:rPr>
        <w:t>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the confidential information or trade secrets of third parties could have a similar material adverse effect on our business, financial condition, results of operations and prospects.</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3E5588"/>
        </w:rPr>
        <w:t>Intellectual property litigation or other legal proceedings relating to intellectual property could cause us to spend substantial resources and distract our personnel from their normal responsibilities.</w:t>
      </w:r>
    </w:p>
    <w:p>
      <w:pPr>
        <w:spacing w:after="0" w:line="186" w:lineRule="exact"/>
        <w:rPr>
          <w:sz w:val="20"/>
          <w:szCs w:val="20"/>
          <w:color w:val="auto"/>
        </w:rPr>
      </w:pPr>
    </w:p>
    <w:p>
      <w:pPr>
        <w:jc w:val="both"/>
        <w:ind w:firstLine="442"/>
        <w:spacing w:after="0" w:line="289" w:lineRule="auto"/>
        <w:rPr>
          <w:sz w:val="20"/>
          <w:szCs w:val="20"/>
          <w:color w:val="auto"/>
        </w:rPr>
      </w:pPr>
      <w:r>
        <w:rPr>
          <w:rFonts w:ascii="Arial" w:cs="Arial" w:eastAsia="Arial" w:hAnsi="Arial"/>
          <w:sz w:val="16"/>
          <w:szCs w:val="16"/>
          <w:color w:val="3E5588"/>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E5588"/>
        </w:rPr>
        <w:t>resulting from the initiation and continuation of intellectual property litigation or other proceedings could compromise our ability to compete in the marketplace.</w:t>
      </w:r>
    </w:p>
    <w:p>
      <w:pPr>
        <w:spacing w:after="0" w:line="24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3E558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ind w:firstLine="396"/>
        <w:spacing w:after="0" w:line="286" w:lineRule="auto"/>
        <w:rPr>
          <w:sz w:val="20"/>
          <w:szCs w:val="20"/>
          <w:color w:val="auto"/>
        </w:rPr>
      </w:pPr>
      <w:r>
        <w:rPr>
          <w:rFonts w:ascii="Arial" w:cs="Arial" w:eastAsia="Arial" w:hAnsi="Arial"/>
          <w:sz w:val="16"/>
          <w:szCs w:val="16"/>
          <w:color w:val="3E5588"/>
        </w:rPr>
        <w:t>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w:t>
      </w:r>
    </w:p>
    <w:p>
      <w:pPr>
        <w:spacing w:after="0" w:line="17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3E5588"/>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spacing w:after="0" w:line="139" w:lineRule="exact"/>
        <w:rPr>
          <w:sz w:val="20"/>
          <w:szCs w:val="20"/>
          <w:color w:val="auto"/>
        </w:rPr>
      </w:pPr>
    </w:p>
    <w:p>
      <w:pPr>
        <w:jc w:val="both"/>
        <w:ind w:firstLine="550"/>
        <w:spacing w:after="0" w:line="286" w:lineRule="auto"/>
        <w:rPr>
          <w:sz w:val="20"/>
          <w:szCs w:val="20"/>
          <w:color w:val="auto"/>
        </w:rPr>
      </w:pPr>
      <w:r>
        <w:rPr>
          <w:rFonts w:ascii="Arial" w:cs="Arial" w:eastAsia="Arial" w:hAnsi="Arial"/>
          <w:sz w:val="16"/>
          <w:szCs w:val="16"/>
          <w:color w:val="3E5588"/>
        </w:rPr>
        <w:t>We are party to license and funding agreements, such as the GSK Agreement, that impose, and we may enter into additional licensing and funding arrangements with third parties that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used in our product engine, all of which are non-exclusive. While we still face all of the risks described herein with respect to those agreements, we cannot prevent third parties from also accessing those technologies. In addition, our licenses may place restrictions on our future business opportunities. For example, under our license with GSK, GSK has certain rights of first negotiation if we wish to sublicense any of the patent or data rights licensed by GSK to us to a third party for use outside the United States. This may prevent or delay certain transactions, which could have an adverse effect on the development and commercialization of losmapimod and on our business.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Disputes may arise regarding intellectual property subject to a licensing agreement, including:</w:t>
      </w:r>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3E5588"/>
        </w:rPr>
      </w:pPr>
      <w:r>
        <w:rPr>
          <w:rFonts w:ascii="Arial" w:cs="Arial" w:eastAsia="Arial" w:hAnsi="Arial"/>
          <w:sz w:val="18"/>
          <w:szCs w:val="18"/>
          <w:color w:val="3E5588"/>
        </w:rPr>
        <w:t>the scope of rights granted under the license agreement and other interpretation related issues;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29"/>
        </w:numPr>
        <w:rPr>
          <w:rFonts w:ascii="Arial" w:cs="Arial" w:eastAsia="Arial" w:hAnsi="Arial"/>
          <w:sz w:val="16"/>
          <w:szCs w:val="16"/>
          <w:color w:val="3E5588"/>
        </w:rPr>
      </w:pPr>
      <w:r>
        <w:rPr>
          <w:rFonts w:ascii="Arial" w:cs="Arial" w:eastAsia="Arial" w:hAnsi="Arial"/>
          <w:sz w:val="16"/>
          <w:szCs w:val="16"/>
          <w:color w:val="3E5588"/>
        </w:rPr>
        <w:t>the extent to which our technology and processes infringe on intellectual property of the licensor that is not subject to the licensing agreement;</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29"/>
        </w:numPr>
        <w:rPr>
          <w:rFonts w:ascii="Arial" w:cs="Arial" w:eastAsia="Arial" w:hAnsi="Arial"/>
          <w:sz w:val="18"/>
          <w:szCs w:val="18"/>
          <w:color w:val="3E5588"/>
        </w:rPr>
      </w:pPr>
      <w:r>
        <w:rPr>
          <w:rFonts w:ascii="Arial" w:cs="Arial" w:eastAsia="Arial" w:hAnsi="Arial"/>
          <w:sz w:val="18"/>
          <w:szCs w:val="18"/>
          <w:color w:val="3E5588"/>
        </w:rPr>
        <w:t>the sublicensing of patent and other rights under our collaborative development relationships;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29"/>
        </w:numPr>
        <w:rPr>
          <w:rFonts w:ascii="Arial" w:cs="Arial" w:eastAsia="Arial" w:hAnsi="Arial"/>
          <w:sz w:val="18"/>
          <w:szCs w:val="18"/>
          <w:color w:val="3E5588"/>
        </w:rPr>
      </w:pPr>
      <w:r>
        <w:rPr>
          <w:rFonts w:ascii="Arial" w:cs="Arial" w:eastAsia="Arial" w:hAnsi="Arial"/>
          <w:sz w:val="18"/>
          <w:szCs w:val="18"/>
          <w:color w:val="3E5588"/>
        </w:rPr>
        <w:t>our diligence obligations under the license agreement and what activities satisfy those diligence obligations;</w:t>
      </w:r>
    </w:p>
    <w:p>
      <w:pPr>
        <w:spacing w:after="0" w:line="25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29"/>
        </w:numPr>
        <w:rPr>
          <w:rFonts w:ascii="Arial" w:cs="Arial" w:eastAsia="Arial" w:hAnsi="Arial"/>
          <w:sz w:val="18"/>
          <w:szCs w:val="18"/>
          <w:color w:val="3E5588"/>
        </w:rPr>
      </w:pPr>
      <w:r>
        <w:rPr>
          <w:rFonts w:ascii="Arial" w:cs="Arial" w:eastAsia="Arial" w:hAnsi="Arial"/>
          <w:sz w:val="18"/>
          <w:szCs w:val="18"/>
          <w:color w:val="3E5588"/>
        </w:rPr>
        <w:t>the inventorship and ownership of inventions and know-how resulting from the joint creation or use of intellectual property by our licensors and us and our partners; and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29"/>
        </w:numPr>
        <w:rPr>
          <w:rFonts w:ascii="Arial" w:cs="Arial" w:eastAsia="Arial" w:hAnsi="Arial"/>
          <w:sz w:val="18"/>
          <w:szCs w:val="18"/>
          <w:color w:val="3E5588"/>
        </w:rPr>
      </w:pPr>
      <w:r>
        <w:rPr>
          <w:rFonts w:ascii="Arial" w:cs="Arial" w:eastAsia="Arial" w:hAnsi="Arial"/>
          <w:sz w:val="18"/>
          <w:szCs w:val="18"/>
          <w:color w:val="3E5588"/>
        </w:rPr>
        <w:t>the priority of invention of patented technology.</w:t>
      </w:r>
    </w:p>
    <w:p>
      <w:pPr>
        <w:spacing w:after="0" w:line="225"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3E5588"/>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2" w:lineRule="exact"/>
        <w:rPr>
          <w:sz w:val="20"/>
          <w:szCs w:val="20"/>
          <w:color w:val="auto"/>
        </w:rPr>
      </w:pPr>
    </w:p>
    <w:p>
      <w:pPr>
        <w:jc w:val="both"/>
        <w:ind w:firstLine="407"/>
        <w:spacing w:after="0" w:line="298" w:lineRule="auto"/>
        <w:rPr>
          <w:sz w:val="20"/>
          <w:szCs w:val="20"/>
          <w:color w:val="auto"/>
        </w:rPr>
      </w:pPr>
      <w:r>
        <w:rPr>
          <w:rFonts w:ascii="Arial" w:cs="Arial" w:eastAsia="Arial" w:hAnsi="Arial"/>
          <w:sz w:val="16"/>
          <w:szCs w:val="16"/>
          <w:color w:val="3E5588"/>
        </w:rPr>
        <w:t>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67"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3E5588"/>
        </w:rPr>
        <w:t>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We may not be able to protect our intellectual property and proprietary rights throughout the world.</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3E5588"/>
        </w:rPr>
        <w:t>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enforcement is not as strong as that in the United States. These products may compete with our products, and our patents or other intellectual property rights may not be effective or sufficient to prevent them from competing.</w:t>
      </w:r>
    </w:p>
    <w:p>
      <w:pPr>
        <w:spacing w:after="0" w:line="186"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3E5588"/>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w:t>
      </w:r>
    </w:p>
    <w:p>
      <w:pPr>
        <w:spacing w:after="0" w:line="197" w:lineRule="exact"/>
        <w:rPr>
          <w:sz w:val="20"/>
          <w:szCs w:val="20"/>
          <w:color w:val="auto"/>
        </w:rPr>
      </w:pPr>
    </w:p>
    <w:p>
      <w:pPr>
        <w:jc w:val="both"/>
        <w:ind w:firstLine="470"/>
        <w:spacing w:after="0" w:line="294" w:lineRule="auto"/>
        <w:rPr>
          <w:sz w:val="20"/>
          <w:szCs w:val="20"/>
          <w:color w:val="auto"/>
        </w:rPr>
      </w:pPr>
      <w:r>
        <w:rPr>
          <w:rFonts w:ascii="Arial" w:cs="Arial" w:eastAsia="Arial" w:hAnsi="Arial"/>
          <w:sz w:val="16"/>
          <w:szCs w:val="16"/>
          <w:color w:val="3E5588"/>
        </w:rPr>
        <w:t>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spacing w:after="0" w:line="170" w:lineRule="exact"/>
        <w:rPr>
          <w:sz w:val="20"/>
          <w:szCs w:val="20"/>
          <w:color w:val="auto"/>
        </w:rPr>
      </w:pPr>
    </w:p>
    <w:p>
      <w:pPr>
        <w:jc w:val="both"/>
        <w:ind w:firstLine="369"/>
        <w:spacing w:after="0" w:line="298" w:lineRule="auto"/>
        <w:rPr>
          <w:sz w:val="20"/>
          <w:szCs w:val="20"/>
          <w:color w:val="auto"/>
        </w:rPr>
      </w:pPr>
      <w:r>
        <w:rPr>
          <w:rFonts w:ascii="Arial" w:cs="Arial" w:eastAsia="Arial" w:hAnsi="Arial"/>
          <w:sz w:val="16"/>
          <w:szCs w:val="16"/>
          <w:color w:val="3E5588"/>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We may be subject to claims challenging the inventorship or ownership of our patents and other intellectual property.</w:t>
      </w:r>
    </w:p>
    <w:p>
      <w:pPr>
        <w:spacing w:after="0" w:line="225" w:lineRule="exact"/>
        <w:rPr>
          <w:sz w:val="20"/>
          <w:szCs w:val="20"/>
          <w:color w:val="auto"/>
        </w:rPr>
      </w:pPr>
    </w:p>
    <w:p>
      <w:pPr>
        <w:jc w:val="both"/>
        <w:ind w:firstLine="371"/>
        <w:spacing w:after="0" w:line="289" w:lineRule="auto"/>
        <w:rPr>
          <w:sz w:val="20"/>
          <w:szCs w:val="20"/>
          <w:color w:val="auto"/>
        </w:rPr>
      </w:pPr>
      <w:r>
        <w:rPr>
          <w:rFonts w:ascii="Arial" w:cs="Arial" w:eastAsia="Arial" w:hAnsi="Arial"/>
          <w:sz w:val="16"/>
          <w:szCs w:val="16"/>
          <w:color w:val="3E5588"/>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3E5588"/>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p>
    <w:p>
      <w:pPr>
        <w:spacing w:after="0" w:line="161" w:lineRule="exact"/>
        <w:rPr>
          <w:sz w:val="20"/>
          <w:szCs w:val="20"/>
          <w:color w:val="auto"/>
        </w:rPr>
      </w:pPr>
    </w:p>
    <w:p>
      <w:pPr>
        <w:jc w:val="both"/>
        <w:ind w:firstLine="563"/>
        <w:spacing w:after="0" w:line="306" w:lineRule="auto"/>
        <w:rPr>
          <w:sz w:val="20"/>
          <w:szCs w:val="20"/>
          <w:color w:val="auto"/>
        </w:rPr>
      </w:pPr>
      <w:r>
        <w:rPr>
          <w:rFonts w:ascii="Arial" w:cs="Arial" w:eastAsia="Arial" w:hAnsi="Arial"/>
          <w:sz w:val="16"/>
          <w:szCs w:val="16"/>
          <w:color w:val="3E5588"/>
        </w:rPr>
        <w:t>Many of our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E5588"/>
        </w:rPr>
        <w:t>or disclosed intellectual property, including trade secrets or other proprietary information, of any such individual's current or former employer. Litigation may be necessary to defend against these claims.</w:t>
      </w:r>
    </w:p>
    <w:p>
      <w:pPr>
        <w:spacing w:after="0" w:line="186"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3E5588"/>
        </w:rPr>
        <w:t>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w:t>
      </w:r>
    </w:p>
    <w:p>
      <w:pPr>
        <w:spacing w:after="0" w:line="170" w:lineRule="exact"/>
        <w:rPr>
          <w:sz w:val="20"/>
          <w:szCs w:val="20"/>
          <w:color w:val="auto"/>
        </w:rPr>
      </w:pPr>
    </w:p>
    <w:p>
      <w:pPr>
        <w:jc w:val="both"/>
        <w:ind w:firstLine="518"/>
        <w:spacing w:after="0" w:line="294" w:lineRule="auto"/>
        <w:rPr>
          <w:sz w:val="20"/>
          <w:szCs w:val="20"/>
          <w:color w:val="auto"/>
        </w:rPr>
      </w:pPr>
      <w:r>
        <w:rPr>
          <w:rFonts w:ascii="Arial" w:cs="Arial" w:eastAsia="Arial" w:hAnsi="Arial"/>
          <w:sz w:val="16"/>
          <w:szCs w:val="16"/>
          <w:color w:val="3E5588"/>
        </w:rPr>
        <w:t>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If we are unable to protect the confidentiality of our trade secrets, our business and competitive position would be harmed.</w:t>
      </w:r>
    </w:p>
    <w:p>
      <w:pPr>
        <w:spacing w:after="0" w:line="225" w:lineRule="exact"/>
        <w:rPr>
          <w:sz w:val="20"/>
          <w:szCs w:val="20"/>
          <w:color w:val="auto"/>
        </w:rPr>
      </w:pPr>
    </w:p>
    <w:p>
      <w:pPr>
        <w:jc w:val="both"/>
        <w:ind w:firstLine="402"/>
        <w:spacing w:after="0" w:line="286" w:lineRule="auto"/>
        <w:rPr>
          <w:sz w:val="20"/>
          <w:szCs w:val="20"/>
          <w:color w:val="auto"/>
        </w:rPr>
      </w:pPr>
      <w:r>
        <w:rPr>
          <w:rFonts w:ascii="Arial" w:cs="Arial" w:eastAsia="Arial" w:hAnsi="Arial"/>
          <w:sz w:val="16"/>
          <w:szCs w:val="16"/>
          <w:color w:val="3E5588"/>
        </w:rPr>
        <w:t>In addition to seeking patents for our product candidates, we also rely on trade secrets and confidentiality agreements to protect our unpatented know-how, technology and other proprietary information, to maintain our competitive position, including certain aspects of our proprietary product engine. We seek to protect our trade secrets and other proprietary technology, in part, by entering into non-disclosure and confidentiality agreements with parties who have access to them, such as our employees, corporate collaborators, outside scientific collaborators, contract research organizations, contract manufacturers,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Intellectual property rights do not necessarily address all potential threats.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3E5588"/>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30"/>
        </w:numPr>
        <w:rPr>
          <w:rFonts w:ascii="Arial" w:cs="Arial" w:eastAsia="Arial" w:hAnsi="Arial"/>
          <w:sz w:val="18"/>
          <w:szCs w:val="18"/>
          <w:color w:val="3E5588"/>
        </w:rPr>
      </w:pPr>
      <w:r>
        <w:rPr>
          <w:rFonts w:ascii="Arial" w:cs="Arial" w:eastAsia="Arial" w:hAnsi="Arial"/>
          <w:sz w:val="18"/>
          <w:szCs w:val="18"/>
          <w:color w:val="3E5588"/>
        </w:rPr>
        <w:t>portions of our product engine are protected by trade secrets, but much of our product engine is not protected by intellectual property, including patents, trade secrets and know-how, and we may not be able to develop, acquire or in-license any patentable technologies or other intellectual property related to the unprotected portions of our product engine;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3E5588"/>
        </w:rPr>
      </w:pPr>
      <w:r>
        <w:rPr>
          <w:rFonts w:ascii="Arial" w:cs="Arial" w:eastAsia="Arial" w:hAnsi="Arial"/>
          <w:sz w:val="16"/>
          <w:szCs w:val="16"/>
          <w:color w:val="3E5588"/>
        </w:rPr>
        <w:t>others may be able to make product candidates that are similar to ours but that are not covered by the claims of the patents that we own;</w:t>
      </w:r>
    </w:p>
    <w:p>
      <w:pPr>
        <w:spacing w:after="0" w:line="275"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or our license partners or current or future collaborators, might not have been the first to make the inventions covered by the issued patent or pending patent applications that we license or may own in the future;</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or our license partners or current or future collaborators, might not have been the first to file patent applications covering certain of our or their inventions;</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others may independently develop similar or alternative technologies or duplicate any of our technologies without infringing our owned or in-licensed intellectual property rights;</w:t>
      </w:r>
    </w:p>
    <w:p>
      <w:pPr>
        <w:spacing w:after="0" w:line="21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it is possible that our owned and in-licensed pending patent applications or those we may own or in-license in the future will not lead to issued patents;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31"/>
        </w:numPr>
        <w:rPr>
          <w:rFonts w:ascii="Arial" w:cs="Arial" w:eastAsia="Arial" w:hAnsi="Arial"/>
          <w:sz w:val="16"/>
          <w:szCs w:val="16"/>
          <w:color w:val="3E5588"/>
        </w:rPr>
      </w:pPr>
      <w:r>
        <w:rPr>
          <w:rFonts w:ascii="Arial" w:cs="Arial" w:eastAsia="Arial" w:hAnsi="Arial"/>
          <w:sz w:val="16"/>
          <w:szCs w:val="16"/>
          <w:color w:val="3E5588"/>
        </w:rPr>
        <w:t>issued patents that we hold rights to may be held invalid or unenforceable, including as a result of legal challenges by our competitors;</w:t>
      </w:r>
    </w:p>
    <w:p>
      <w:pPr>
        <w:spacing w:after="0" w:line="261"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cannot ensure that any of our patents, or any of our pending patent applications, if issued, or those of our licensors, will include claims having a scope sufficient to protect our product candidates;</w:t>
      </w:r>
    </w:p>
    <w:p>
      <w:pPr>
        <w:spacing w:after="0" w:line="199"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cannot ensure that any patents issued to us or our licensors will provide a basis for an exclusive market for our commercially viable product candidates or will provide us with any competitive advantages;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cannot ensure that our commercial activities or product candidates will not infringe upon the patents of others;</w:t>
      </w:r>
    </w:p>
    <w:p>
      <w:pPr>
        <w:spacing w:after="0" w:line="25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cannot ensure that we will be able to successfully commercialize our product candidates on a substantial scale, if approved, before the relevant patents that we own or license expire;</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may not develop additional proprietary technologies that are patentable;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the patents of others may harm our business; and</w:t>
      </w:r>
    </w:p>
    <w:p>
      <w:pPr>
        <w:spacing w:after="0" w:line="25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1"/>
        </w:numPr>
        <w:rPr>
          <w:rFonts w:ascii="Arial" w:cs="Arial" w:eastAsia="Arial" w:hAnsi="Arial"/>
          <w:sz w:val="18"/>
          <w:szCs w:val="18"/>
          <w:color w:val="3E5588"/>
        </w:rPr>
      </w:pPr>
      <w:r>
        <w:rPr>
          <w:rFonts w:ascii="Arial" w:cs="Arial" w:eastAsia="Arial" w:hAnsi="Arial"/>
          <w:sz w:val="18"/>
          <w:szCs w:val="18"/>
          <w:color w:val="3E5588"/>
        </w:rPr>
        <w:t>we may choose not to file a patent in order to maintain certain trade secrets or know-how, and a third party may subsequently file a patent covering such intellectual property.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Should any of these events occur, they could have a material adverse effect on our business, financial condition, results of operations and prospects.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Regulatory Approval of our Product Candidates and Other Legal Compliance Matters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3E5588"/>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97" w:lineRule="exact"/>
        <w:rPr>
          <w:sz w:val="20"/>
          <w:szCs w:val="20"/>
          <w:color w:val="auto"/>
        </w:rPr>
      </w:pPr>
    </w:p>
    <w:p>
      <w:pPr>
        <w:jc w:val="both"/>
        <w:ind w:firstLine="509"/>
        <w:spacing w:after="0" w:line="306" w:lineRule="auto"/>
        <w:rPr>
          <w:sz w:val="20"/>
          <w:szCs w:val="20"/>
          <w:color w:val="auto"/>
        </w:rPr>
      </w:pPr>
      <w:r>
        <w:rPr>
          <w:rFonts w:ascii="Arial" w:cs="Arial" w:eastAsia="Arial" w:hAnsi="Arial"/>
          <w:sz w:val="16"/>
          <w:szCs w:val="16"/>
          <w:color w:val="3E5588"/>
        </w:rPr>
        <w:t>Our product candidates and the activities associated with their development and commercialization, including design, testing, manufacture, packaging, recordkeeping, labeling, storage, approval, advertising, promotion, sale and distribution, export, import and adverse event reporting, are subject to comprehensive regulation by the FDA and other regulatory agencies in the United States and by the EMA and similar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regulatory authorities outside of the United States. Marketing approval of drugs in the United States requires the submission of a new drug application, or NDA, to the FDA and we are not permitted to market any drug candidate in the United States until we obtain approval from the FDA of the NDA for that product. An NDA must be 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w:t>
      </w:r>
    </w:p>
    <w:p>
      <w:pPr>
        <w:spacing w:after="0" w:line="197"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3E5588"/>
        </w:rPr>
        <w:t>We have only limited experience in filing and supporting the applications necessary to gain marketing approvals and expect to rely on third-party clinical research organizations or other third-party consultants or vendors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3E5588"/>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3E5588"/>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3E5588"/>
        </w:rPr>
        <w:t>We may not be able to obtain or maintain orphan drug designation or exclusivity for our product candidates and, even if we do, that exclusivity may not prevent the FDA or the EMA from approving other competing products.</w:t>
      </w:r>
    </w:p>
    <w:p>
      <w:pPr>
        <w:spacing w:after="0" w:line="186"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3E5588"/>
        </w:rPr>
        <w:t>We plan to apply for orphan drug designation for FSHD in the United States and Europe, and we may seek orphan drug designation for our other current or future product candidates. Regulatory authorities in some jurisdictions, including the United States and Europe,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167"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3E5588"/>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marketing application for the same drug for that time period. The applicable period is seven years in the United States and ten years in Europe. The exclusivity period in Europe can be reduced to six years if a drug no longer meets the criteria for orphan drug designation or if the drug is sufficiently profitable so that market exclusivity is no longer justified. Orphan drug exclusivity may be lost if the FDA or EMA determines that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the request for designation was materially defective or if the manufacturer is unable to assure sufficient quantity of the drug to meet the needs of patients with the rare disease or condition.</w:t>
      </w:r>
    </w:p>
    <w:p>
      <w:pPr>
        <w:spacing w:after="0" w:line="186" w:lineRule="exact"/>
        <w:rPr>
          <w:sz w:val="20"/>
          <w:szCs w:val="20"/>
          <w:color w:val="auto"/>
        </w:rPr>
      </w:pPr>
    </w:p>
    <w:p>
      <w:pPr>
        <w:jc w:val="both"/>
        <w:ind w:firstLine="384"/>
        <w:spacing w:after="0" w:line="256" w:lineRule="auto"/>
        <w:rPr>
          <w:sz w:val="20"/>
          <w:szCs w:val="20"/>
          <w:color w:val="auto"/>
        </w:rPr>
      </w:pPr>
      <w:r>
        <w:rPr>
          <w:rFonts w:ascii="Arial" w:cs="Arial" w:eastAsia="Arial" w:hAnsi="Arial"/>
          <w:sz w:val="18"/>
          <w:szCs w:val="18"/>
          <w:color w:val="3E5588"/>
        </w:rPr>
        <w:t>Even if we obtain orphan drug exclusivity for a product, that exclusivity may not effectively protect the product from competition because competing drugs containing a different active ingredient can be approved for the same condition. In addition,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97"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3E5588"/>
        </w:rPr>
        <w:t>On August 3, 2017, the U.S.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a showing of clinical superiority.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 Fast Track designation by the FDA may not lead to a faster development or regulatory review or approval process.</w:t>
      </w:r>
    </w:p>
    <w:p>
      <w:pPr>
        <w:spacing w:after="0" w:line="225" w:lineRule="exact"/>
        <w:rPr>
          <w:sz w:val="20"/>
          <w:szCs w:val="20"/>
          <w:color w:val="auto"/>
        </w:rPr>
      </w:pPr>
    </w:p>
    <w:p>
      <w:pPr>
        <w:jc w:val="both"/>
        <w:ind w:firstLine="373"/>
        <w:spacing w:after="0" w:line="254" w:lineRule="auto"/>
        <w:rPr>
          <w:sz w:val="20"/>
          <w:szCs w:val="20"/>
          <w:color w:val="auto"/>
        </w:rPr>
      </w:pPr>
      <w:r>
        <w:rPr>
          <w:rFonts w:ascii="Arial" w:cs="Arial" w:eastAsia="Arial" w:hAnsi="Arial"/>
          <w:sz w:val="18"/>
          <w:szCs w:val="18"/>
          <w:color w:val="3E5588"/>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3E5588"/>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3E5588"/>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74"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3E5588"/>
        </w:rPr>
        <w:t>Designation as a breakthrough therapy is within the discretion of the FDA. Accordingly, even if we believe one of our product candidates meets the criteria for designation as a breakthrough therapy, the FDA may disagree and instead determine not to make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our product candidates qualify as breakthrough therapies, the FDA may later decide that the products no longer meet the conditions for qualification or decide that the time period for FDA review or approval will not be shortened.</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Accelerated approval by the FDA, even if granted for our product candidates, may not lead to a faster development or regulatory review or approval process and it does not increase the likelihood that our product candidates will receive marketing approval.</w:t>
      </w:r>
    </w:p>
    <w:p>
      <w:pPr>
        <w:spacing w:after="0" w:line="186" w:lineRule="exact"/>
        <w:rPr>
          <w:sz w:val="20"/>
          <w:szCs w:val="20"/>
          <w:color w:val="auto"/>
        </w:rPr>
      </w:pPr>
    </w:p>
    <w:p>
      <w:pPr>
        <w:jc w:val="both"/>
        <w:ind w:firstLine="446"/>
        <w:spacing w:after="0" w:line="294" w:lineRule="auto"/>
        <w:rPr>
          <w:sz w:val="20"/>
          <w:szCs w:val="20"/>
          <w:color w:val="auto"/>
        </w:rPr>
      </w:pPr>
      <w:r>
        <w:rPr>
          <w:rFonts w:ascii="Arial" w:cs="Arial" w:eastAsia="Arial" w:hAnsi="Arial"/>
          <w:sz w:val="16"/>
          <w:szCs w:val="16"/>
          <w:color w:val="3E5588"/>
        </w:rPr>
        <w:t>We may seek approval of our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biomarker efficacy endpoint that is reasonably likely to predict clinical benefit or on a clinical endpoint that can be measured earlier than irreversible morbidity or mortality, or IMM, that is reasonably likely to predict an effect on IMM or other clinical benefit. The FDA or other applicable regulatory agency makes the determination regarding whether a biomarker efficacy endpoint is reasonably likely to predict long-term clinical benefit.</w:t>
      </w:r>
    </w:p>
    <w:p>
      <w:pPr>
        <w:spacing w:after="0" w:line="170"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3E5588"/>
        </w:rPr>
        <w:t>Prior to seeking such accelerated approval, we will seek feedback from the FDA and otherwise evaluate our ability to seek and receive such accelerated approval. As a condition of approval, the FDA may require that a sponsor of a drug or biologic product candidate receiving accelerated approval perform adequate and well-controlled post-marketing clinical trials. These confirmatory trials must be completed with due diligence and we may be required to evaluate different or additional endpoints in these post-marketing confirmatory trials. In addition, the FDA currently requires as a condition for accelerated approval pre-approval of promotional materials, which could adversely impact the timing of the commercial launch of the product.</w:t>
      </w:r>
    </w:p>
    <w:p>
      <w:pPr>
        <w:spacing w:after="0" w:line="170"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3E5588"/>
        </w:rPr>
        <w:t>There can be no assurance that the FDA will agree with our biomarker efficacy endpoints or intermediate clinical endpoints, such as measuring DUX4-driven gene expression in muscle tissue biopsies or measuring the fraction of muscle tissue by replaced by fat, or that we will decide to pursue or submit an NDA for accelerated approval or any other form of expedited development, review or approval. Similarly, 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w:t>
      </w:r>
    </w:p>
    <w:p>
      <w:pPr>
        <w:spacing w:after="0" w:line="174"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3E5588"/>
        </w:rPr>
        <w:t>Moreover, as noted above, for drugs granted accelerated approval, the FDA typically requires post-marketing confirmatory trials to evaluate the anticipated effect on IMM or other clinical benefit. These confirmatory trials must be completed with due diligence. We may be required to evaluate additional or different clinical endpoints in these post-marketing confirmatory trials. These confirmatory trials may require enrollment of more patients than we currently anticipate and will result in additional costs, which may be greater than the estimated costs we currently anticipate. The FDA may withdraw approval of a product candidate approved under the accelerated approval pathway if, for example, the trial required to verify the predicted clinical benefit of our product candidate fails to verify such benefit or does not demonstrate sufficient clinical benefit to justify the risks associated with the drug. The FDA may also withdraw approval if other evidence demonstrates that our product candidate is not shown to be safe or effective under the conditions of use, we fail to conduct any required post approval trial of our product candidate with due diligence or we disseminate false or misleading promotional materials relating to our product candidate. A failure to obtain accelerated approval or any other form of expedited development, review or approval for our product candidates, or withdrawal of a product candidate, would result in a longer time period for commercialization of such product candidate, could increase the cost of development of such product candidate and could harm our competitive position in the marketplace.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6"/>
        <w:spacing w:after="0" w:line="268" w:lineRule="auto"/>
        <w:rPr>
          <w:sz w:val="20"/>
          <w:szCs w:val="20"/>
          <w:color w:val="auto"/>
        </w:rPr>
      </w:pPr>
      <w:r>
        <w:rPr>
          <w:rFonts w:ascii="Arial" w:cs="Arial" w:eastAsia="Arial" w:hAnsi="Arial"/>
          <w:sz w:val="18"/>
          <w:szCs w:val="18"/>
          <w:color w:val="3E5588"/>
        </w:rPr>
        <w:t>Even if we do receive accelerated approval, we may not experience a faster development or regulatory review or approval process, and receiving accelerated approval does not provide assurance of ultimate FDA approval.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Failure to obtain marketing approval in foreign jurisdictions would prevent our product candidates from being marketed abroad.</w:t>
      </w:r>
    </w:p>
    <w:p>
      <w:pPr>
        <w:spacing w:after="0" w:line="225" w:lineRule="exact"/>
        <w:rPr>
          <w:sz w:val="20"/>
          <w:szCs w:val="20"/>
          <w:color w:val="auto"/>
        </w:rPr>
      </w:pPr>
    </w:p>
    <w:p>
      <w:pPr>
        <w:jc w:val="both"/>
        <w:ind w:firstLine="473"/>
        <w:spacing w:after="0" w:line="287" w:lineRule="auto"/>
        <w:rPr>
          <w:sz w:val="20"/>
          <w:szCs w:val="20"/>
          <w:color w:val="auto"/>
        </w:rPr>
      </w:pPr>
      <w:r>
        <w:rPr>
          <w:rFonts w:ascii="Arial" w:cs="Arial" w:eastAsia="Arial" w:hAnsi="Arial"/>
          <w:sz w:val="16"/>
          <w:szCs w:val="16"/>
          <w:color w:val="3E5588"/>
        </w:rPr>
        <w:t>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necessary approvals to commercialize our products in any market.</w:t>
      </w:r>
    </w:p>
    <w:p>
      <w:pPr>
        <w:spacing w:after="0" w:line="17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3E5588"/>
        </w:rPr>
        <w:t>Additionally, on June 23, 2016, the electorate in the United Kingdom voted in favor of leaving the European Union, commonly referred to as Brexit. On March 29, 2017, the United Kingdom formally notified the European Union of its intention to withdraw pursuant to Article 50 of the Lisbon Treaty. The United Kingdom had a period of a maximum of two years from the date of its formal notification to negotiate the terms of its withdrawal from, and future relationship with, the European Union. If no formal withdrawal agreement can be reached between the United Kingdom and the European Union, then it is expected that the United Kingdom's membership of the European Union would automatically terminate on the deadline, which was initially March 29, 2019. That deadline has been extended to October 31, 2019 to allow the parties to negotiate a withdrawal agreement, which has proven to be extremely difficult to date. Discussions between the United Kingdom and the European Union will continue to focus on withdrawal issues and transition agreements. However, limited progress to date in these negotiations and ongoing uncertainty within the government of the United Kingdom sustains the possibility of the United Kingdom leaving the European Union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3E5588"/>
        </w:rPr>
        <w:t>Since a significant proportion of the regulatory framework in the United Kingdom is derived from European Union directives and regulations, Brexit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E5588"/>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9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3E5588"/>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w:t>
      </w:r>
    </w:p>
    <w:p>
      <w:pPr>
        <w:spacing w:after="0" w:line="172" w:lineRule="exact"/>
        <w:rPr>
          <w:sz w:val="20"/>
          <w:szCs w:val="20"/>
          <w:color w:val="auto"/>
        </w:rPr>
      </w:pPr>
    </w:p>
    <w:p>
      <w:pPr>
        <w:jc w:val="both"/>
        <w:ind w:firstLine="386"/>
        <w:spacing w:after="0" w:line="290" w:lineRule="auto"/>
        <w:rPr>
          <w:sz w:val="20"/>
          <w:szCs w:val="20"/>
          <w:color w:val="auto"/>
        </w:rPr>
      </w:pPr>
      <w:r>
        <w:rPr>
          <w:rFonts w:ascii="Arial" w:cs="Arial" w:eastAsia="Arial" w:hAnsi="Arial"/>
          <w:sz w:val="16"/>
          <w:szCs w:val="16"/>
          <w:color w:val="3E5588"/>
        </w:rPr>
        <w:t>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The FDA and DOJ impose stringent restrictions on manufacturers' communications regarding off-label use, and if we do not market our products for their approved indications, we may be subject to enforcement action for off-label marketing. Violations of the Federal Food, Drug and Cosmetic Act, or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w:t>
      </w:r>
    </w:p>
    <w:p>
      <w:pPr>
        <w:spacing w:after="0" w:line="172"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3E5588"/>
        </w:rPr>
        <w:t>In addition, later discovery of previously unknown adverse events or other problems with our products, manufacturers or manufacturing processes, or failure to comply with regulatory requirements, may have various consequences, including: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suspension of or restrictions on such products, manufacturers or manufacturing processes;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restrictions and warnings on the labeling or marketing of a product;</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restrictions on product distribution or use;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requirements to conduct post-marketing studies or clinical trials;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warning letters or untitled letters;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withdrawal of the products from the market;</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refusal to approve pending applications or supplements to approved applications that we submit;</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recall of products;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fines, restitution or disgorgement of profits or revenues;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suspension of any ongoing clinical trials;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suspension or withdrawal of marketing approvals;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2"/>
        </w:numPr>
        <w:rPr>
          <w:rFonts w:ascii="Arial" w:cs="Arial" w:eastAsia="Arial" w:hAnsi="Arial"/>
          <w:sz w:val="18"/>
          <w:szCs w:val="18"/>
          <w:color w:val="3E5588"/>
        </w:rPr>
      </w:pPr>
      <w:r>
        <w:rPr>
          <w:rFonts w:ascii="Arial" w:cs="Arial" w:eastAsia="Arial" w:hAnsi="Arial"/>
          <w:sz w:val="18"/>
          <w:szCs w:val="18"/>
          <w:color w:val="3E5588"/>
        </w:rPr>
        <w:t>damage to relationships with any potential collaborators;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3E5588"/>
        </w:rPr>
      </w:pPr>
      <w:r>
        <w:rPr>
          <w:rFonts w:ascii="Arial" w:cs="Arial" w:eastAsia="Arial" w:hAnsi="Arial"/>
          <w:sz w:val="18"/>
          <w:szCs w:val="18"/>
          <w:color w:val="3E5588"/>
        </w:rPr>
        <w:t>unfavorable press coverage and damage to our reputation;</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3"/>
        </w:numPr>
        <w:rPr>
          <w:rFonts w:ascii="Arial" w:cs="Arial" w:eastAsia="Arial" w:hAnsi="Arial"/>
          <w:sz w:val="18"/>
          <w:szCs w:val="18"/>
          <w:color w:val="3E5588"/>
        </w:rPr>
      </w:pPr>
      <w:r>
        <w:rPr>
          <w:rFonts w:ascii="Arial" w:cs="Arial" w:eastAsia="Arial" w:hAnsi="Arial"/>
          <w:sz w:val="18"/>
          <w:szCs w:val="18"/>
          <w:color w:val="3E5588"/>
        </w:rPr>
        <w:t>refusal to permit the import or export of our products;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3"/>
        </w:numPr>
        <w:rPr>
          <w:rFonts w:ascii="Arial" w:cs="Arial" w:eastAsia="Arial" w:hAnsi="Arial"/>
          <w:sz w:val="18"/>
          <w:szCs w:val="18"/>
          <w:color w:val="3E5588"/>
        </w:rPr>
      </w:pPr>
      <w:r>
        <w:rPr>
          <w:rFonts w:ascii="Arial" w:cs="Arial" w:eastAsia="Arial" w:hAnsi="Arial"/>
          <w:sz w:val="18"/>
          <w:szCs w:val="18"/>
          <w:color w:val="3E5588"/>
        </w:rPr>
        <w:t>product seizure or detention;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3"/>
        </w:numPr>
        <w:rPr>
          <w:rFonts w:ascii="Arial" w:cs="Arial" w:eastAsia="Arial" w:hAnsi="Arial"/>
          <w:sz w:val="18"/>
          <w:szCs w:val="18"/>
          <w:color w:val="3E5588"/>
        </w:rPr>
      </w:pPr>
      <w:r>
        <w:rPr>
          <w:rFonts w:ascii="Arial" w:cs="Arial" w:eastAsia="Arial" w:hAnsi="Arial"/>
          <w:sz w:val="18"/>
          <w:szCs w:val="18"/>
          <w:color w:val="3E5588"/>
        </w:rPr>
        <w:t>injunctions or the imposition of civil or criminal penalties; or</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3"/>
        </w:numPr>
        <w:rPr>
          <w:rFonts w:ascii="Arial" w:cs="Arial" w:eastAsia="Arial" w:hAnsi="Arial"/>
          <w:sz w:val="18"/>
          <w:szCs w:val="18"/>
          <w:color w:val="3E5588"/>
        </w:rPr>
      </w:pPr>
      <w:r>
        <w:rPr>
          <w:rFonts w:ascii="Arial" w:cs="Arial" w:eastAsia="Arial" w:hAnsi="Arial"/>
          <w:sz w:val="18"/>
          <w:szCs w:val="18"/>
          <w:color w:val="3E5588"/>
        </w:rPr>
        <w:t>litigation involving patients using our products.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3E5588"/>
        </w:rPr>
        <w:t>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94" w:lineRule="exact"/>
        <w:rPr>
          <w:sz w:val="20"/>
          <w:szCs w:val="20"/>
          <w:color w:val="auto"/>
        </w:rPr>
      </w:pPr>
    </w:p>
    <w:p>
      <w:pPr>
        <w:jc w:val="both"/>
        <w:ind w:firstLine="480"/>
        <w:spacing w:after="0" w:line="290" w:lineRule="auto"/>
        <w:rPr>
          <w:sz w:val="20"/>
          <w:szCs w:val="20"/>
          <w:color w:val="auto"/>
        </w:rPr>
      </w:pPr>
      <w:r>
        <w:rPr>
          <w:rFonts w:ascii="Arial" w:cs="Arial" w:eastAsia="Arial" w:hAnsi="Arial"/>
          <w:sz w:val="16"/>
          <w:szCs w:val="16"/>
          <w:color w:val="3E5588"/>
        </w:rPr>
        <w:t>In addition, manufacturers of approved products and those manufacturers' facilities are required to comply with extensive FDA requirements, including ensuring that quality control and manufacturing procedures conform to cGMPs applicable to drug manufacturers or quality assurance standards applicable to medical device manufacturers, which include requirements relating to quality control and quality assurance as well as the corresponding maintenance of records and documentation and reporting requirements. We, any contract manufacturers we may engage in the future, our future collaborators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REMS.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The efforts of the Trump administration to pursue regulatory reform may limit the FDA's ability to engage in oversight and implementation activities in the normal course, and that could negatively impact our business.</w:t>
      </w:r>
    </w:p>
    <w:p>
      <w:pPr>
        <w:spacing w:after="0" w:line="186" w:lineRule="exact"/>
        <w:rPr>
          <w:sz w:val="20"/>
          <w:szCs w:val="20"/>
          <w:color w:val="auto"/>
        </w:rPr>
      </w:pPr>
    </w:p>
    <w:p>
      <w:pPr>
        <w:jc w:val="both"/>
        <w:ind w:firstLine="363"/>
        <w:spacing w:after="0" w:line="286" w:lineRule="auto"/>
        <w:rPr>
          <w:sz w:val="20"/>
          <w:szCs w:val="20"/>
          <w:color w:val="auto"/>
        </w:rPr>
      </w:pPr>
      <w:r>
        <w:rPr>
          <w:rFonts w:ascii="Arial" w:cs="Arial" w:eastAsia="Arial" w:hAnsi="Arial"/>
          <w:sz w:val="16"/>
          <w:szCs w:val="16"/>
          <w:color w:val="3E5588"/>
        </w:rPr>
        <w:t>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On January 30, 2017, President Trump issued an executive order, applicable to all executive agencies, including the FDA, requiring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In interim guidance issued by the Office of Information and Regulatory Affairs within the Office of Management and on February 2, 2017, the Trump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b w:val="1"/>
          <w:bCs w:val="1"/>
          <w:i w:val="1"/>
          <w:iCs w:val="1"/>
          <w:color w:val="3E5588"/>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p>
    <w:p>
      <w:pPr>
        <w:spacing w:after="0" w:line="142" w:lineRule="exact"/>
        <w:rPr>
          <w:sz w:val="20"/>
          <w:szCs w:val="20"/>
          <w:color w:val="auto"/>
        </w:rPr>
      </w:pPr>
    </w:p>
    <w:p>
      <w:pPr>
        <w:jc w:val="both"/>
        <w:ind w:firstLine="455"/>
        <w:spacing w:after="0" w:line="291" w:lineRule="auto"/>
        <w:rPr>
          <w:sz w:val="20"/>
          <w:szCs w:val="20"/>
          <w:color w:val="auto"/>
        </w:rPr>
      </w:pPr>
      <w:r>
        <w:rPr>
          <w:rFonts w:ascii="Arial" w:cs="Arial" w:eastAsia="Arial" w:hAnsi="Arial"/>
          <w:sz w:val="16"/>
          <w:szCs w:val="16"/>
          <w:color w:val="3E5588"/>
        </w:rPr>
        <w:t>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Restrictions under applicable federal and state healthcare laws and regulations include the following:</w:t>
      </w:r>
    </w:p>
    <w:p>
      <w:pPr>
        <w:spacing w:after="0" w:line="188" w:lineRule="exact"/>
        <w:rPr>
          <w:sz w:val="20"/>
          <w:szCs w:val="20"/>
          <w:color w:val="auto"/>
        </w:rPr>
      </w:pPr>
    </w:p>
    <w:p>
      <w:pPr>
        <w:jc w:val="both"/>
        <w:ind w:left="1080" w:hanging="532"/>
        <w:spacing w:after="0" w:line="256" w:lineRule="auto"/>
        <w:tabs>
          <w:tab w:leader="none" w:pos="1080" w:val="left"/>
        </w:tabs>
        <w:numPr>
          <w:ilvl w:val="0"/>
          <w:numId w:val="34"/>
        </w:numPr>
        <w:rPr>
          <w:rFonts w:ascii="Arial" w:cs="Arial" w:eastAsia="Arial" w:hAnsi="Arial"/>
          <w:sz w:val="18"/>
          <w:szCs w:val="18"/>
          <w:color w:val="3E5588"/>
        </w:rPr>
      </w:pPr>
      <w:r>
        <w:rPr>
          <w:rFonts w:ascii="Arial" w:cs="Arial" w:eastAsia="Arial" w:hAnsi="Arial"/>
          <w:sz w:val="18"/>
          <w:szCs w:val="18"/>
          <w:color w:val="3E5588"/>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24" w:lineRule="exact"/>
        <w:rPr>
          <w:rFonts w:ascii="Arial" w:cs="Arial" w:eastAsia="Arial" w:hAnsi="Arial"/>
          <w:sz w:val="18"/>
          <w:szCs w:val="18"/>
          <w:color w:val="3E5588"/>
        </w:rPr>
      </w:pPr>
    </w:p>
    <w:p>
      <w:pPr>
        <w:jc w:val="both"/>
        <w:ind w:left="1080" w:hanging="532"/>
        <w:spacing w:after="0" w:line="255" w:lineRule="auto"/>
        <w:tabs>
          <w:tab w:leader="none" w:pos="1080" w:val="left"/>
        </w:tabs>
        <w:numPr>
          <w:ilvl w:val="0"/>
          <w:numId w:val="34"/>
        </w:numPr>
        <w:rPr>
          <w:rFonts w:ascii="Arial" w:cs="Arial" w:eastAsia="Arial" w:hAnsi="Arial"/>
          <w:sz w:val="18"/>
          <w:szCs w:val="18"/>
          <w:color w:val="3E5588"/>
        </w:rPr>
      </w:pPr>
      <w:r>
        <w:rPr>
          <w:rFonts w:ascii="Arial" w:cs="Arial" w:eastAsia="Arial" w:hAnsi="Arial"/>
          <w:sz w:val="18"/>
          <w:szCs w:val="18"/>
          <w:color w:val="3E5588"/>
        </w:rPr>
        <w:t xml:space="preserve">the federal False Claims Act imposes criminal and civil penalties, including through civil whistleblower or </w:t>
      </w:r>
      <w:r>
        <w:rPr>
          <w:rFonts w:ascii="Arial" w:cs="Arial" w:eastAsia="Arial" w:hAnsi="Arial"/>
          <w:sz w:val="18"/>
          <w:szCs w:val="18"/>
          <w:i w:val="1"/>
          <w:iCs w:val="1"/>
          <w:color w:val="3E5588"/>
        </w:rPr>
        <w:t>qui tam</w:t>
      </w:r>
      <w:r>
        <w:rPr>
          <w:rFonts w:ascii="Arial" w:cs="Arial" w:eastAsia="Arial" w:hAnsi="Arial"/>
          <w:sz w:val="18"/>
          <w:szCs w:val="18"/>
          <w:color w:val="3E5588"/>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4"/>
        </w:numPr>
        <w:rPr>
          <w:rFonts w:ascii="Arial" w:cs="Arial" w:eastAsia="Arial" w:hAnsi="Arial"/>
          <w:sz w:val="18"/>
          <w:szCs w:val="18"/>
          <w:color w:val="3E5588"/>
        </w:rPr>
      </w:pPr>
      <w:r>
        <w:rPr>
          <w:rFonts w:ascii="Arial" w:cs="Arial" w:eastAsia="Arial" w:hAnsi="Arial"/>
          <w:sz w:val="18"/>
          <w:szCs w:val="18"/>
          <w:color w:val="3E5588"/>
        </w:rPr>
        <w:t>the federal Health Insurance Portability and Accountability Act of 1996, or HIPAA, imposes criminal and civil liability for executing a scheme to defraud any healthcare benefit program or making false statements relating to healthcare matters;</w:t>
      </w:r>
    </w:p>
    <w:p>
      <w:pPr>
        <w:spacing w:after="0" w:line="199"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3E5588"/>
        </w:rPr>
      </w:pPr>
      <w:r>
        <w:rPr>
          <w:rFonts w:ascii="Arial" w:cs="Arial" w:eastAsia="Arial" w:hAnsi="Arial"/>
          <w:sz w:val="18"/>
          <w:szCs w:val="18"/>
          <w:color w:val="3E5588"/>
        </w:rPr>
        <w:t>HIPAA, as amended by the Health Information Technology for Economic and Clinical Health Act of 2009, and their respective implementing regulations, also imposes obligations, including mandatory contractual terms, with respect to safeguarding the privacy, security and transmission of individually identifiable health information;</w:t>
      </w:r>
    </w:p>
    <w:p>
      <w:pPr>
        <w:spacing w:after="0" w:line="221" w:lineRule="exact"/>
        <w:rPr>
          <w:rFonts w:ascii="Arial" w:cs="Arial" w:eastAsia="Arial" w:hAnsi="Arial"/>
          <w:sz w:val="18"/>
          <w:szCs w:val="18"/>
          <w:color w:val="3E5588"/>
        </w:rPr>
      </w:pPr>
    </w:p>
    <w:p>
      <w:pPr>
        <w:ind w:left="1080" w:hanging="532"/>
        <w:spacing w:after="0"/>
        <w:tabs>
          <w:tab w:leader="none" w:pos="1080" w:val="left"/>
        </w:tabs>
        <w:numPr>
          <w:ilvl w:val="0"/>
          <w:numId w:val="34"/>
        </w:numPr>
        <w:rPr>
          <w:rFonts w:ascii="Arial" w:cs="Arial" w:eastAsia="Arial" w:hAnsi="Arial"/>
          <w:sz w:val="18"/>
          <w:szCs w:val="18"/>
          <w:color w:val="3E5588"/>
        </w:rPr>
      </w:pPr>
      <w:r>
        <w:rPr>
          <w:rFonts w:ascii="Arial" w:cs="Arial" w:eastAsia="Arial" w:hAnsi="Arial"/>
          <w:sz w:val="18"/>
          <w:szCs w:val="18"/>
          <w:color w:val="3E5588"/>
        </w:rPr>
        <w:t>the FDCA, which prohibits, among other things, the adulteration or misbranding of drugs, biologics and medical devices;</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4"/>
        </w:numPr>
        <w:rPr>
          <w:rFonts w:ascii="Arial" w:cs="Arial" w:eastAsia="Arial" w:hAnsi="Arial"/>
          <w:sz w:val="18"/>
          <w:szCs w:val="18"/>
          <w:color w:val="3E5588"/>
        </w:rPr>
      </w:pPr>
      <w:r>
        <w:rPr>
          <w:rFonts w:ascii="Arial" w:cs="Arial" w:eastAsia="Arial" w:hAnsi="Arial"/>
          <w:sz w:val="18"/>
          <w:szCs w:val="18"/>
          <w:color w:val="3E5588"/>
        </w:rPr>
        <w:t>the federal Physician Payments Sunshine Act requires applicable manufacturers of covered drugs to report payments and other transfers of value to physicians and teaching hospitals; and</w:t>
      </w:r>
    </w:p>
    <w:p>
      <w:pPr>
        <w:spacing w:after="0" w:line="199"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34"/>
        </w:numPr>
        <w:rPr>
          <w:rFonts w:ascii="Arial" w:cs="Arial" w:eastAsia="Arial" w:hAnsi="Arial"/>
          <w:sz w:val="18"/>
          <w:szCs w:val="18"/>
          <w:color w:val="3E5588"/>
        </w:rPr>
      </w:pPr>
      <w:r>
        <w:rPr>
          <w:rFonts w:ascii="Arial" w:cs="Arial" w:eastAsia="Arial" w:hAnsi="Arial"/>
          <w:sz w:val="18"/>
          <w:szCs w:val="18"/>
          <w:color w:val="3E5588"/>
        </w:rPr>
        <w:t>analogous state and foreign laws and regulations, such as state anti-kickback and false claims laws and transparency statutes,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3E5588"/>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Additionally,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E5588"/>
        </w:rPr>
        <w:t>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4" w:lineRule="exact"/>
        <w:rPr>
          <w:sz w:val="20"/>
          <w:szCs w:val="20"/>
          <w:color w:val="auto"/>
        </w:rPr>
      </w:pPr>
    </w:p>
    <w:p>
      <w:pPr>
        <w:jc w:val="both"/>
        <w:ind w:firstLine="366"/>
        <w:spacing w:after="0" w:line="289" w:lineRule="auto"/>
        <w:rPr>
          <w:sz w:val="20"/>
          <w:szCs w:val="20"/>
          <w:color w:val="auto"/>
        </w:rPr>
      </w:pPr>
      <w:r>
        <w:rPr>
          <w:rFonts w:ascii="Arial" w:cs="Arial" w:eastAsia="Arial" w:hAnsi="Arial"/>
          <w:sz w:val="16"/>
          <w:szCs w:val="16"/>
          <w:color w:val="3E5588"/>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E5588"/>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p>
    <w:p>
      <w:pPr>
        <w:spacing w:after="0" w:line="194" w:lineRule="exact"/>
        <w:rPr>
          <w:sz w:val="20"/>
          <w:szCs w:val="20"/>
          <w:color w:val="auto"/>
        </w:rPr>
      </w:pPr>
    </w:p>
    <w:p>
      <w:pPr>
        <w:jc w:val="both"/>
        <w:ind w:firstLine="417"/>
        <w:spacing w:after="0" w:line="285" w:lineRule="auto"/>
        <w:rPr>
          <w:sz w:val="20"/>
          <w:szCs w:val="20"/>
          <w:color w:val="auto"/>
        </w:rPr>
      </w:pPr>
      <w:r>
        <w:rPr>
          <w:rFonts w:ascii="Arial" w:cs="Arial" w:eastAsia="Arial" w:hAnsi="Arial"/>
          <w:sz w:val="16"/>
          <w:szCs w:val="16"/>
          <w:color w:val="3E5588"/>
        </w:rPr>
        <w:t>The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Union, including personal health data, is subject to the EU General Data Protection Regulation, or the GDPR, which took effect across all member states of the European Economic Area, or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increases our obligations with respect to clinical trials conducted in the EEA by expanding the definition of personal data to include coded data and requiring changes to informed consent practices and more detailed notices for clinical trial subjects and investigators. In addition, the GDPR also imposes strict rules on the transfer of personal data to countries outside the European Union, including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information and/or impose substantial fines for violations of the GDPR, which can be up to four percent of global revenues or 20 million Euros,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further laws and regulations limiting the processing of personal data, including genetic, biometric or health data.</w:t>
      </w:r>
    </w:p>
    <w:p>
      <w:pPr>
        <w:spacing w:after="0" w:line="175" w:lineRule="exact"/>
        <w:rPr>
          <w:sz w:val="20"/>
          <w:szCs w:val="20"/>
          <w:color w:val="auto"/>
        </w:rPr>
      </w:pPr>
    </w:p>
    <w:p>
      <w:pPr>
        <w:jc w:val="both"/>
        <w:ind w:right="20" w:firstLine="466"/>
        <w:spacing w:after="0" w:line="332" w:lineRule="auto"/>
        <w:rPr>
          <w:sz w:val="20"/>
          <w:szCs w:val="20"/>
          <w:color w:val="auto"/>
        </w:rPr>
      </w:pPr>
      <w:r>
        <w:rPr>
          <w:rFonts w:ascii="Arial" w:cs="Arial" w:eastAsia="Arial" w:hAnsi="Arial"/>
          <w:sz w:val="16"/>
          <w:szCs w:val="16"/>
          <w:color w:val="3E5588"/>
        </w:rPr>
        <w:t>Given the breadth and depth of changes in data protection obligations, preparing for and complying with the GDPR's requirements is rigorous and time intensive and requires significant resources and a review of our technologies, systems and practices, as well as those of any third-party collaborators, service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E5588"/>
        </w:rPr>
        <w:t>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information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3E5588"/>
        </w:rPr>
        <w:t>Recently enacted and future legislation may increase the difficulty and cost for us to obtain marketing approval of and commercialize our product candidates and affect the prices we may obtain for any products that are approved in the United States or foreign jurisdictions.</w:t>
      </w:r>
    </w:p>
    <w:p>
      <w:pPr>
        <w:spacing w:after="0" w:line="139"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6"/>
          <w:szCs w:val="16"/>
          <w:color w:val="3E5588"/>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w:t>
      </w:r>
    </w:p>
    <w:p>
      <w:pPr>
        <w:spacing w:after="0" w:line="170"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3E5588"/>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201"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3E5588"/>
        </w:rPr>
        <w:t>In March 2010, President Obama signed into law the Patient Protection and Affordable Care Act, as amended by the Health Care and Education Reconciliation Act of 2010, or collectively the ACA. Among the provisions of the ACA of potential importance to our business, including, without limitation, our ability to commercialize and the prices we may obtain for any of our product candidates that are approved for sale, are the following:</w:t>
      </w:r>
    </w:p>
    <w:p>
      <w:pPr>
        <w:spacing w:after="0" w:line="174" w:lineRule="exact"/>
        <w:rPr>
          <w:sz w:val="20"/>
          <w:szCs w:val="20"/>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3E5588"/>
        </w:rPr>
      </w:pPr>
      <w:r>
        <w:rPr>
          <w:rFonts w:ascii="Arial" w:cs="Arial" w:eastAsia="Arial" w:hAnsi="Arial"/>
          <w:sz w:val="18"/>
          <w:szCs w:val="18"/>
          <w:color w:val="3E5588"/>
        </w:rPr>
        <w:t>an annual, non-deductible fee on any entity that manufactures or imports specified branded prescription drugs and biologic agents, apportioned among these entities according to their market share in certain government healthcare programs, although this fee would not apply to sales of certain products approved exclusively for orphan indications;</w:t>
      </w:r>
    </w:p>
    <w:p>
      <w:pPr>
        <w:spacing w:after="0" w:line="221" w:lineRule="exact"/>
        <w:rPr>
          <w:rFonts w:ascii="Arial" w:cs="Arial" w:eastAsia="Arial" w:hAnsi="Arial"/>
          <w:sz w:val="18"/>
          <w:szCs w:val="18"/>
          <w:color w:val="3E5588"/>
        </w:rPr>
      </w:pPr>
    </w:p>
    <w:p>
      <w:pPr>
        <w:ind w:left="1080" w:hanging="532"/>
        <w:spacing w:after="0"/>
        <w:tabs>
          <w:tab w:leader="none" w:pos="1080" w:val="left"/>
        </w:tabs>
        <w:numPr>
          <w:ilvl w:val="0"/>
          <w:numId w:val="35"/>
        </w:numPr>
        <w:rPr>
          <w:rFonts w:ascii="Arial" w:cs="Arial" w:eastAsia="Arial" w:hAnsi="Arial"/>
          <w:sz w:val="18"/>
          <w:szCs w:val="18"/>
          <w:color w:val="3E5588"/>
        </w:rPr>
      </w:pPr>
      <w:r>
        <w:rPr>
          <w:rFonts w:ascii="Arial" w:cs="Arial" w:eastAsia="Arial" w:hAnsi="Arial"/>
          <w:sz w:val="18"/>
          <w:szCs w:val="18"/>
          <w:color w:val="3E5588"/>
        </w:rPr>
        <w:t>an increase in the statutory minimum rebates a manufacturer must pay under the Medicaid Drug Rebate Program;</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5"/>
        </w:numPr>
        <w:rPr>
          <w:rFonts w:ascii="Arial" w:cs="Arial" w:eastAsia="Arial" w:hAnsi="Arial"/>
          <w:sz w:val="18"/>
          <w:szCs w:val="18"/>
          <w:color w:val="3E5588"/>
        </w:rPr>
      </w:pPr>
      <w:r>
        <w:rPr>
          <w:rFonts w:ascii="Arial" w:cs="Arial" w:eastAsia="Arial" w:hAnsi="Arial"/>
          <w:sz w:val="18"/>
          <w:szCs w:val="18"/>
          <w:color w:val="3E5588"/>
        </w:rPr>
        <w:t>expansion of healthcare fraud and abuse laws, including the civil False Claims Act and the federal Anti-Kickback Statute, new government investigative powers and enhanced penalties for noncompliance;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6"/>
          <w:szCs w:val="16"/>
          <w:color w:val="3E5588"/>
        </w:rPr>
      </w:pPr>
      <w:r>
        <w:rPr>
          <w:rFonts w:ascii="Arial" w:cs="Arial" w:eastAsia="Arial" w:hAnsi="Arial"/>
          <w:sz w:val="16"/>
          <w:szCs w:val="16"/>
          <w:color w:val="3E5588"/>
        </w:rPr>
        <w:t>a Medicare Part D coverage gap discount program, in which manufacturers must agree to offer 70% point-of-sale discounts off negotiated prices;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36"/>
        </w:numPr>
        <w:rPr>
          <w:rFonts w:ascii="Arial" w:cs="Arial" w:eastAsia="Arial" w:hAnsi="Arial"/>
          <w:sz w:val="18"/>
          <w:szCs w:val="18"/>
          <w:color w:val="3E5588"/>
        </w:rPr>
      </w:pPr>
      <w:r>
        <w:rPr>
          <w:rFonts w:ascii="Arial" w:cs="Arial" w:eastAsia="Arial" w:hAnsi="Arial"/>
          <w:sz w:val="18"/>
          <w:szCs w:val="18"/>
          <w:color w:val="3E5588"/>
        </w:rPr>
        <w:t>extension of manufacturers' Medicaid rebate liability;</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6"/>
        </w:numPr>
        <w:rPr>
          <w:rFonts w:ascii="Arial" w:cs="Arial" w:eastAsia="Arial" w:hAnsi="Arial"/>
          <w:sz w:val="18"/>
          <w:szCs w:val="18"/>
          <w:color w:val="3E5588"/>
        </w:rPr>
      </w:pPr>
      <w:r>
        <w:rPr>
          <w:rFonts w:ascii="Arial" w:cs="Arial" w:eastAsia="Arial" w:hAnsi="Arial"/>
          <w:sz w:val="18"/>
          <w:szCs w:val="18"/>
          <w:color w:val="3E5588"/>
        </w:rPr>
        <w:t>expansion of eligibility criteria for Medicaid programs;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6"/>
        </w:numPr>
        <w:rPr>
          <w:rFonts w:ascii="Arial" w:cs="Arial" w:eastAsia="Arial" w:hAnsi="Arial"/>
          <w:sz w:val="18"/>
          <w:szCs w:val="18"/>
          <w:color w:val="3E5588"/>
        </w:rPr>
      </w:pPr>
      <w:r>
        <w:rPr>
          <w:rFonts w:ascii="Arial" w:cs="Arial" w:eastAsia="Arial" w:hAnsi="Arial"/>
          <w:sz w:val="18"/>
          <w:szCs w:val="18"/>
          <w:color w:val="3E5588"/>
        </w:rPr>
        <w:t>expansion of the entities eligible for discounts under the Public Health Service pharmaceutical pricing program;</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6"/>
        </w:numPr>
        <w:rPr>
          <w:rFonts w:ascii="Arial" w:cs="Arial" w:eastAsia="Arial" w:hAnsi="Arial"/>
          <w:sz w:val="18"/>
          <w:szCs w:val="18"/>
          <w:color w:val="3E5588"/>
        </w:rPr>
      </w:pPr>
      <w:r>
        <w:rPr>
          <w:rFonts w:ascii="Arial" w:cs="Arial" w:eastAsia="Arial" w:hAnsi="Arial"/>
          <w:sz w:val="18"/>
          <w:szCs w:val="18"/>
          <w:color w:val="3E5588"/>
        </w:rPr>
        <w:t>requirements to report certain financial arrangements with physicians and teaching hospitals;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6"/>
        </w:numPr>
        <w:rPr>
          <w:rFonts w:ascii="Arial" w:cs="Arial" w:eastAsia="Arial" w:hAnsi="Arial"/>
          <w:sz w:val="18"/>
          <w:szCs w:val="18"/>
          <w:color w:val="3E5588"/>
        </w:rPr>
      </w:pPr>
      <w:r>
        <w:rPr>
          <w:rFonts w:ascii="Arial" w:cs="Arial" w:eastAsia="Arial" w:hAnsi="Arial"/>
          <w:sz w:val="18"/>
          <w:szCs w:val="18"/>
          <w:color w:val="3E5588"/>
        </w:rPr>
        <w:t>a requirement to annually report drug samples that manufacturers and distributors provide to physicians; and</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6"/>
        </w:numPr>
        <w:rPr>
          <w:rFonts w:ascii="Arial" w:cs="Arial" w:eastAsia="Arial" w:hAnsi="Arial"/>
          <w:sz w:val="18"/>
          <w:szCs w:val="18"/>
          <w:color w:val="3E5588"/>
        </w:rPr>
      </w:pPr>
      <w:r>
        <w:rPr>
          <w:rFonts w:ascii="Arial" w:cs="Arial" w:eastAsia="Arial" w:hAnsi="Arial"/>
          <w:sz w:val="18"/>
          <w:szCs w:val="18"/>
          <w:color w:val="3E5588"/>
        </w:rPr>
        <w:t>a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96"/>
        <w:spacing w:after="0" w:line="288" w:lineRule="auto"/>
        <w:rPr>
          <w:sz w:val="20"/>
          <w:szCs w:val="20"/>
          <w:color w:val="auto"/>
        </w:rPr>
      </w:pPr>
      <w:r>
        <w:rPr>
          <w:rFonts w:ascii="Arial" w:cs="Arial" w:eastAsia="Arial" w:hAnsi="Arial"/>
          <w:sz w:val="16"/>
          <w:szCs w:val="16"/>
          <w:color w:val="3E5588"/>
        </w:rPr>
        <w:t>In addition, other legislative changes have been proposed and adopted since the ACA was enacted. These changes include the Budget Control Act of 2011, which, among other things, led to aggregate reductions to Medicare payments to providers of up to 2% per fiscal year that started in 2013 and, due to subsequent legislative amendments to the statute, will stay in effect through 2027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4"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3E5588"/>
        </w:rPr>
        <w:t>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3E5588"/>
        </w:rPr>
        <w:t>With enactment of the TCJA, which was signed by the President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an estimated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1"/>
        <w:spacing w:after="0" w:line="290" w:lineRule="auto"/>
        <w:rPr>
          <w:sz w:val="20"/>
          <w:szCs w:val="20"/>
          <w:color w:val="auto"/>
        </w:rPr>
      </w:pPr>
      <w:r>
        <w:rPr>
          <w:rFonts w:ascii="Arial" w:cs="Arial" w:eastAsia="Arial" w:hAnsi="Arial"/>
          <w:sz w:val="16"/>
          <w:szCs w:val="16"/>
          <w:color w:val="3E5588"/>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w:t>
      </w:r>
    </w:p>
    <w:p>
      <w:pPr>
        <w:spacing w:after="0" w:line="172"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3E5588"/>
        </w:rPr>
        <w:t>In addition, the Centers for Medicare &amp; Medicaid Services, or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 On November 30, 2018, CMS announced a proposed rule that would amend the Medicare Advantage and Medicare Part D prescription drug benefit regulations to reduce out of pocket costs for plan enrollees and allow Medicare plans to negotiate lower rates for certain drugs. Among other things, the proposed rule changes would allow Medicare Advantage plans to use pre authorization (PA) and step therapy (ST) for six protected classes of drugs, with certain exceptions; permit plans to implement PA and ST in Medicare Part B drugs; and change the definition of "negotiated prices" as well as add a definition of "price concession" in the regulations. It is unclear whether these proposed changes we be accepted, and if so, what effect such changes will have on our business. Litigation and legislation over the ACA are likely to continue, with unpredictable and uncertain results.</w:t>
      </w:r>
    </w:p>
    <w:p>
      <w:pPr>
        <w:spacing w:after="0" w:line="181" w:lineRule="exact"/>
        <w:rPr>
          <w:sz w:val="20"/>
          <w:szCs w:val="20"/>
          <w:color w:val="auto"/>
        </w:rPr>
      </w:pPr>
    </w:p>
    <w:p>
      <w:pPr>
        <w:jc w:val="both"/>
        <w:ind w:firstLine="447"/>
        <w:spacing w:after="0" w:line="291" w:lineRule="auto"/>
        <w:rPr>
          <w:sz w:val="20"/>
          <w:szCs w:val="20"/>
          <w:color w:val="auto"/>
        </w:rPr>
      </w:pPr>
      <w:r>
        <w:rPr>
          <w:rFonts w:ascii="Arial" w:cs="Arial" w:eastAsia="Arial" w:hAnsi="Arial"/>
          <w:sz w:val="16"/>
          <w:szCs w:val="16"/>
          <w:color w:val="3E5588"/>
        </w:rPr>
        <w:t>Further, on December 14, 2018, a U.S. District Court judge in the Northern District of Texas ruled that the individual mandate portion of the ACA is an essential and inseverable feature of the ACA, and therefore because the mandate was repealed as part of the TCJA,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3E5588"/>
        </w:rPr>
        <w:t>The costs of prescription pharmaceuticals have also been the subject of considerable discussion in the United States, and members of Congress and the Trump administration have stated that they will address such costs through new legislative and administrative measures. To date, there have been several recent U.S. congressional inquiries and proposed and enacted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the Trump administration's budget proposal for fiscal year 2019 contains further drug price control measures that could be enacted during the 2019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any proposed measures will require authorization through additional legislation to become effective, Congress and the Trump administration have each indicated that it will continue to seek new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E5588"/>
        </w:rPr>
        <w:t>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7" w:lineRule="exact"/>
        <w:rPr>
          <w:sz w:val="20"/>
          <w:szCs w:val="20"/>
          <w:color w:val="auto"/>
        </w:rPr>
      </w:pPr>
    </w:p>
    <w:p>
      <w:pPr>
        <w:jc w:val="both"/>
        <w:ind w:firstLine="370"/>
        <w:spacing w:after="0" w:line="285" w:lineRule="auto"/>
        <w:rPr>
          <w:sz w:val="20"/>
          <w:szCs w:val="20"/>
          <w:color w:val="auto"/>
        </w:rPr>
      </w:pPr>
      <w:r>
        <w:rPr>
          <w:rFonts w:ascii="Arial" w:cs="Arial" w:eastAsia="Arial" w:hAnsi="Arial"/>
          <w:sz w:val="16"/>
          <w:szCs w:val="16"/>
          <w:color w:val="3E5588"/>
        </w:rPr>
        <w:t>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 For example, on May 11, 2018, the Trump administration issued a plan to lower drug prices. Under this blueprint for action, the Trump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78"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3E5588"/>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jc w:val="both"/>
        <w:ind w:firstLine="401"/>
        <w:spacing w:after="0" w:line="255" w:lineRule="auto"/>
        <w:rPr>
          <w:sz w:val="20"/>
          <w:szCs w:val="20"/>
          <w:color w:val="auto"/>
        </w:rPr>
      </w:pPr>
      <w:r>
        <w:rPr>
          <w:rFonts w:ascii="Arial" w:cs="Arial" w:eastAsia="Arial" w:hAnsi="Arial"/>
          <w:sz w:val="18"/>
          <w:szCs w:val="18"/>
          <w:color w:val="3E5588"/>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Increased scrutiny by the U.S.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Governments outside of the United States tend to impose strict price controls, which may adversely affect our revenues, if any.</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3E5588"/>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If we or any third-party manufacturers we engage now or in the future fail to comply with environmental, health and safety laws and regulations, we could become subject to fines or penalties or incur costs or liabilities that could harm our business.</w:t>
      </w:r>
    </w:p>
    <w:p>
      <w:pPr>
        <w:spacing w:after="0" w:line="186"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3E5588"/>
        </w:rPr>
        <w:t>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w:t>
      </w:r>
    </w:p>
    <w:p>
      <w:pPr>
        <w:spacing w:after="0" w:line="172" w:lineRule="exact"/>
        <w:rPr>
          <w:sz w:val="20"/>
          <w:szCs w:val="20"/>
          <w:color w:val="auto"/>
        </w:rPr>
      </w:pPr>
    </w:p>
    <w:p>
      <w:pPr>
        <w:jc w:val="both"/>
        <w:ind w:firstLine="352"/>
        <w:spacing w:after="0" w:line="256" w:lineRule="auto"/>
        <w:rPr>
          <w:sz w:val="20"/>
          <w:szCs w:val="20"/>
          <w:color w:val="auto"/>
        </w:rPr>
      </w:pPr>
      <w:r>
        <w:rPr>
          <w:rFonts w:ascii="Arial" w:cs="Arial" w:eastAsia="Arial" w:hAnsi="Arial"/>
          <w:sz w:val="18"/>
          <w:szCs w:val="18"/>
          <w:color w:val="3E5588"/>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7"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3E5588"/>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9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3E5588"/>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i w:val="1"/>
          <w:iCs w:val="1"/>
          <w:color w:val="3E5588"/>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p>
    <w:p>
      <w:pPr>
        <w:spacing w:after="0" w:line="167"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3E5588"/>
        </w:rPr>
        <w:t>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9"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3E5588"/>
        </w:rPr>
        <w:t>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w:t>
      </w:r>
    </w:p>
    <w:p>
      <w:pPr>
        <w:spacing w:after="0" w:line="170" w:lineRule="exact"/>
        <w:rPr>
          <w:sz w:val="20"/>
          <w:szCs w:val="20"/>
          <w:color w:val="auto"/>
        </w:rPr>
      </w:pPr>
    </w:p>
    <w:p>
      <w:pPr>
        <w:jc w:val="both"/>
        <w:ind w:firstLine="487"/>
        <w:spacing w:after="0" w:line="290" w:lineRule="auto"/>
        <w:rPr>
          <w:sz w:val="20"/>
          <w:szCs w:val="20"/>
          <w:color w:val="auto"/>
        </w:rPr>
      </w:pPr>
      <w:r>
        <w:rPr>
          <w:rFonts w:ascii="Arial" w:cs="Arial" w:eastAsia="Arial" w:hAnsi="Arial"/>
          <w:sz w:val="16"/>
          <w:szCs w:val="16"/>
          <w:color w:val="3E5588"/>
        </w:rPr>
        <w:t>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72" w:lineRule="exact"/>
        <w:rPr>
          <w:sz w:val="20"/>
          <w:szCs w:val="20"/>
          <w:color w:val="auto"/>
        </w:rPr>
      </w:pPr>
    </w:p>
    <w:p>
      <w:pPr>
        <w:jc w:val="both"/>
        <w:ind w:firstLine="355"/>
        <w:spacing w:after="0" w:line="290" w:lineRule="auto"/>
        <w:rPr>
          <w:sz w:val="20"/>
          <w:szCs w:val="20"/>
          <w:color w:val="auto"/>
        </w:rPr>
      </w:pPr>
      <w:r>
        <w:rPr>
          <w:rFonts w:ascii="Arial" w:cs="Arial" w:eastAsia="Arial" w:hAnsi="Arial"/>
          <w:sz w:val="16"/>
          <w:szCs w:val="16"/>
          <w:color w:val="3E5588"/>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Securities and Exchange Commission, or SEC, also may suspend or bar issuers from trading securities on U.S. exchanges for violations of the FCPA's accounting provisions. Any investigation of any potential violations of the Bribery Act, the FCPA, other anti-corruption laws or Trade Control laws by United Kingdom, U.S. or other authorities could also have an adverse impact on our reputation, our business, results of operations and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3E5588"/>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p>
    <w:p>
      <w:pPr>
        <w:spacing w:after="0" w:line="139"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6"/>
          <w:szCs w:val="16"/>
          <w:color w:val="3E5588"/>
        </w:rPr>
        <w:t>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European Union Data Protection Directive.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Our internal computer systems, or those of our collaborators or other contractors or consultants, may fail or suffer security breaches, which could result in a material disruption of our product development programs.</w:t>
      </w:r>
    </w:p>
    <w:p>
      <w:pPr>
        <w:spacing w:after="0" w:line="186" w:lineRule="exact"/>
        <w:rPr>
          <w:sz w:val="20"/>
          <w:szCs w:val="20"/>
          <w:color w:val="auto"/>
        </w:rPr>
      </w:pPr>
    </w:p>
    <w:p>
      <w:pPr>
        <w:jc w:val="both"/>
        <w:ind w:firstLine="467"/>
        <w:spacing w:after="0" w:line="286" w:lineRule="auto"/>
        <w:rPr>
          <w:sz w:val="20"/>
          <w:szCs w:val="20"/>
          <w:color w:val="auto"/>
        </w:rPr>
      </w:pPr>
      <w:r>
        <w:rPr>
          <w:rFonts w:ascii="Arial" w:cs="Arial" w:eastAsia="Arial" w:hAnsi="Arial"/>
          <w:sz w:val="16"/>
          <w:szCs w:val="16"/>
          <w:color w:val="3E5588"/>
        </w:rPr>
        <w:t>Our internal computer systems and those of any collaborators, contractors or consultants are vulnerable to damage from computer viruses, unauthorized access, natural disasters, terrorism, war and telecommunication and electrical failures. Such systems are also vulnerable to service interruptions or to security breaches from inadvertent or intentional actions by our employees, third-party vendors and/or business partners, or from cyber-attacks by malicious third parties. Cyber-attacks are increasing in their frequency, sophistication and intensity, and have become increasingly difficult to detect. Cyber-attacks could include the deployment of harmful malware, ransomware, denial-of-service attacks, unauthorized access to or deletion of files, social engineering and other means to affect service reliability and threaten the confidentiality, integrity and availability of information. For example, we make extensive use of cloud-based storage systems, and in October 2018, we experienced a breach of one such system. While this breach did not result in the permanent loss or theft of any of our critical information or any other material consequences, it could have, and while we took steps to remediate this breach, such as establishing multi-factor authentication and implementing improvements to our data securities protocols, we cannot guarantee that the measures we have taken to date, and actions we may take in the future, will be sufficient to remediate any future breaches. Cyber-attacks also could include phishing attempts or e-mail fraud to cause payments or information to be transmitted to an unintended recipient.</w:t>
      </w:r>
    </w:p>
    <w:p>
      <w:pPr>
        <w:spacing w:after="0" w:line="181"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3E5588"/>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Employee Matters and Managing Growth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Our future success depends on our ability to retain key executives and to attract, retain and motivate qualified personnel.</w:t>
      </w:r>
    </w:p>
    <w:p>
      <w:pPr>
        <w:spacing w:after="0" w:line="225" w:lineRule="exact"/>
        <w:rPr>
          <w:sz w:val="20"/>
          <w:szCs w:val="20"/>
          <w:color w:val="auto"/>
        </w:rPr>
      </w:pPr>
    </w:p>
    <w:p>
      <w:pPr>
        <w:jc w:val="both"/>
        <w:ind w:firstLine="409"/>
        <w:spacing w:after="0" w:line="255" w:lineRule="auto"/>
        <w:rPr>
          <w:sz w:val="20"/>
          <w:szCs w:val="20"/>
          <w:color w:val="auto"/>
        </w:rPr>
      </w:pPr>
      <w:r>
        <w:rPr>
          <w:rFonts w:ascii="Arial" w:cs="Arial" w:eastAsia="Arial" w:hAnsi="Arial"/>
          <w:sz w:val="18"/>
          <w:szCs w:val="18"/>
          <w:color w:val="3E5588"/>
        </w:rPr>
        <w:t>We are highly dependent on the research and development, clinical, financial, operational and other business expertise of our executive officers, as well as the other principal members of our management, scientific and clinical teams. Although we have entered into employment offer letters with our executive officers, each of them may terminate their employment with us at any time. We do not maintain "key person" insurance for any of our executives or other employees. Recruiting and retaining qualified scientific, clinical, manufacturing, accounting, legal and sales and marketing personnel will also be critical to our success.</w:t>
      </w:r>
    </w:p>
    <w:p>
      <w:pPr>
        <w:spacing w:after="0" w:line="197" w:lineRule="exact"/>
        <w:rPr>
          <w:sz w:val="20"/>
          <w:szCs w:val="20"/>
          <w:color w:val="auto"/>
        </w:rPr>
      </w:pPr>
    </w:p>
    <w:p>
      <w:pPr>
        <w:jc w:val="both"/>
        <w:ind w:firstLine="359"/>
        <w:spacing w:after="0" w:line="286" w:lineRule="auto"/>
        <w:rPr>
          <w:sz w:val="20"/>
          <w:szCs w:val="20"/>
          <w:color w:val="auto"/>
        </w:rPr>
      </w:pPr>
      <w:r>
        <w:rPr>
          <w:rFonts w:ascii="Arial" w:cs="Arial" w:eastAsia="Arial" w:hAnsi="Arial"/>
          <w:sz w:val="16"/>
          <w:szCs w:val="16"/>
          <w:color w:val="3E5588"/>
        </w:rPr>
        <w:t>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Our success as a public company also depends on implementing and maintaining internal controls and the accuracy and timeliness of our financial reporting. If we are unable to continue to attract and retain high quality personnel, our ability to pursue our growth strategy will be limited.</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86" w:lineRule="exact"/>
        <w:rPr>
          <w:sz w:val="20"/>
          <w:szCs w:val="20"/>
          <w:color w:val="auto"/>
        </w:rPr>
      </w:pPr>
    </w:p>
    <w:p>
      <w:pPr>
        <w:jc w:val="both"/>
        <w:ind w:firstLine="399"/>
        <w:spacing w:after="0" w:line="290" w:lineRule="auto"/>
        <w:rPr>
          <w:sz w:val="20"/>
          <w:szCs w:val="20"/>
          <w:color w:val="auto"/>
        </w:rPr>
      </w:pPr>
      <w:r>
        <w:rPr>
          <w:rFonts w:ascii="Arial" w:cs="Arial" w:eastAsia="Arial" w:hAnsi="Arial"/>
          <w:sz w:val="16"/>
          <w:szCs w:val="16"/>
          <w:color w:val="3E5588"/>
        </w:rPr>
        <w:t>We expect to experience significant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Risks Related to our Common Stock</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After this offering, our executive officers, directors and principal stockholders, if they choose to act together, will continue to have the ability to control all matters submitted to stockholders for approval.</w:t>
      </w:r>
    </w:p>
    <w:p>
      <w:pPr>
        <w:spacing w:after="0" w:line="186"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3E5588"/>
        </w:rPr>
        <w:t>Upon the closing of this offering, our executive officers and directors and our stockholders who owned more than 5% of our outstanding common stock before this offering will, in the aggregate, beneficially own shares representing approximately 52.9% of our capital stock (or 51.5% if the underwriters exercise their option to purchase additional shares in full). As a result, if these stockholders were to choose to act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3E5588"/>
        </w:rPr>
        <w:t>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This concentration of ownership control may:</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3E5588"/>
        </w:rPr>
      </w:pPr>
      <w:r>
        <w:rPr>
          <w:rFonts w:ascii="Arial" w:cs="Arial" w:eastAsia="Arial" w:hAnsi="Arial"/>
          <w:sz w:val="18"/>
          <w:szCs w:val="18"/>
          <w:color w:val="3E5588"/>
        </w:rPr>
        <w:t>delay, defer or prevent a change in control;</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7"/>
        </w:numPr>
        <w:rPr>
          <w:rFonts w:ascii="Arial" w:cs="Arial" w:eastAsia="Arial" w:hAnsi="Arial"/>
          <w:sz w:val="18"/>
          <w:szCs w:val="18"/>
          <w:color w:val="3E5588"/>
        </w:rPr>
      </w:pPr>
      <w:r>
        <w:rPr>
          <w:rFonts w:ascii="Arial" w:cs="Arial" w:eastAsia="Arial" w:hAnsi="Arial"/>
          <w:sz w:val="18"/>
          <w:szCs w:val="18"/>
          <w:color w:val="3E5588"/>
        </w:rPr>
        <w:t>entrench our management and board of directors; or</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7"/>
        </w:numPr>
        <w:rPr>
          <w:rFonts w:ascii="Arial" w:cs="Arial" w:eastAsia="Arial" w:hAnsi="Arial"/>
          <w:sz w:val="18"/>
          <w:szCs w:val="18"/>
          <w:color w:val="3E5588"/>
        </w:rPr>
      </w:pPr>
      <w:r>
        <w:rPr>
          <w:rFonts w:ascii="Arial" w:cs="Arial" w:eastAsia="Arial" w:hAnsi="Arial"/>
          <w:sz w:val="18"/>
          <w:szCs w:val="18"/>
          <w:color w:val="3E5588"/>
        </w:rPr>
        <w:t>delay or prevent a merger, consolidation, takeover or other business combination involving us that other stockholders may desire.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3E5588"/>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139"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3E5588"/>
        </w:rPr>
        <w:t>Provisions in our certificate of incorporation and our bylaws that will become effective upon the closing of this offering may discourage, delay or prevent a merger, acquisition or other change in control of our company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3E5588"/>
        </w:rPr>
      </w:pPr>
      <w:r>
        <w:rPr>
          <w:rFonts w:ascii="Arial" w:cs="Arial" w:eastAsia="Arial" w:hAnsi="Arial"/>
          <w:sz w:val="18"/>
          <w:szCs w:val="18"/>
          <w:color w:val="3E5588"/>
        </w:rPr>
        <w:t>establish a classified board of directors such that only one of three classes of directors is elected each year;</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8"/>
        </w:numPr>
        <w:rPr>
          <w:rFonts w:ascii="Arial" w:cs="Arial" w:eastAsia="Arial" w:hAnsi="Arial"/>
          <w:sz w:val="18"/>
          <w:szCs w:val="18"/>
          <w:color w:val="3E5588"/>
        </w:rPr>
      </w:pPr>
      <w:r>
        <w:rPr>
          <w:rFonts w:ascii="Arial" w:cs="Arial" w:eastAsia="Arial" w:hAnsi="Arial"/>
          <w:sz w:val="18"/>
          <w:szCs w:val="18"/>
          <w:color w:val="3E5588"/>
        </w:rPr>
        <w:t>allow the authorized number of our directors to be changed only by resolution of our board of directors;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8"/>
        </w:numPr>
        <w:rPr>
          <w:rFonts w:ascii="Arial" w:cs="Arial" w:eastAsia="Arial" w:hAnsi="Arial"/>
          <w:sz w:val="18"/>
          <w:szCs w:val="18"/>
          <w:color w:val="3E5588"/>
        </w:rPr>
      </w:pPr>
      <w:r>
        <w:rPr>
          <w:rFonts w:ascii="Arial" w:cs="Arial" w:eastAsia="Arial" w:hAnsi="Arial"/>
          <w:sz w:val="18"/>
          <w:szCs w:val="18"/>
          <w:color w:val="3E5588"/>
        </w:rPr>
        <w:t>limit the manner in which stockholders can remove directors from our board of directors;</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8"/>
        </w:numPr>
        <w:rPr>
          <w:rFonts w:ascii="Arial" w:cs="Arial" w:eastAsia="Arial" w:hAnsi="Arial"/>
          <w:sz w:val="18"/>
          <w:szCs w:val="18"/>
          <w:color w:val="3E5588"/>
        </w:rPr>
      </w:pPr>
      <w:r>
        <w:rPr>
          <w:rFonts w:ascii="Arial" w:cs="Arial" w:eastAsia="Arial" w:hAnsi="Arial"/>
          <w:sz w:val="18"/>
          <w:szCs w:val="18"/>
          <w:color w:val="3E5588"/>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38"/>
        </w:numPr>
        <w:rPr>
          <w:rFonts w:ascii="Arial" w:cs="Arial" w:eastAsia="Arial" w:hAnsi="Arial"/>
          <w:sz w:val="16"/>
          <w:szCs w:val="16"/>
          <w:color w:val="3E5588"/>
        </w:rPr>
      </w:pPr>
      <w:r>
        <w:rPr>
          <w:rFonts w:ascii="Arial" w:cs="Arial" w:eastAsia="Arial" w:hAnsi="Arial"/>
          <w:sz w:val="16"/>
          <w:szCs w:val="16"/>
          <w:color w:val="3E5588"/>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38"/>
        </w:numPr>
        <w:rPr>
          <w:rFonts w:ascii="Arial" w:cs="Arial" w:eastAsia="Arial" w:hAnsi="Arial"/>
          <w:sz w:val="18"/>
          <w:szCs w:val="18"/>
          <w:color w:val="3E5588"/>
        </w:rPr>
      </w:pPr>
      <w:r>
        <w:rPr>
          <w:rFonts w:ascii="Arial" w:cs="Arial" w:eastAsia="Arial" w:hAnsi="Arial"/>
          <w:sz w:val="18"/>
          <w:szCs w:val="18"/>
          <w:color w:val="3E5588"/>
        </w:rPr>
        <w:t>limit who may call stockholder meetings;</w:t>
      </w:r>
    </w:p>
    <w:p>
      <w:pPr>
        <w:spacing w:after="0" w:line="238"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38"/>
        </w:numPr>
        <w:rPr>
          <w:rFonts w:ascii="Arial" w:cs="Arial" w:eastAsia="Arial" w:hAnsi="Arial"/>
          <w:sz w:val="18"/>
          <w:szCs w:val="18"/>
          <w:color w:val="3E5588"/>
        </w:rPr>
      </w:pPr>
      <w:r>
        <w:rPr>
          <w:rFonts w:ascii="Arial" w:cs="Arial" w:eastAsia="Arial" w:hAnsi="Arial"/>
          <w:sz w:val="18"/>
          <w:szCs w:val="18"/>
          <w:color w:val="3E5588"/>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38"/>
        </w:numPr>
        <w:rPr>
          <w:rFonts w:ascii="Arial" w:cs="Arial" w:eastAsia="Arial" w:hAnsi="Arial"/>
          <w:sz w:val="18"/>
          <w:szCs w:val="18"/>
          <w:color w:val="3E5588"/>
        </w:rPr>
      </w:pPr>
      <w:r>
        <w:rPr>
          <w:rFonts w:ascii="Arial" w:cs="Arial" w:eastAsia="Arial" w:hAnsi="Arial"/>
          <w:sz w:val="18"/>
          <w:szCs w:val="18"/>
          <w:color w:val="3E5588"/>
        </w:rPr>
        <w:t>require the approval of the holders of at least 75% of the votes that all our stockholders would be entitled to cast to amend or repeal specified provisions of our certificate of incorporation or bylaws that will become effective upon the closing of this offering.</w:t>
      </w:r>
    </w:p>
    <w:p>
      <w:pPr>
        <w:spacing w:after="0" w:line="186"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3E5588"/>
        </w:rPr>
        <w:t>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If you purchase shares of common stock in this offering, you will suffer immediate dilution of your investment.</w:t>
      </w:r>
    </w:p>
    <w:p>
      <w:pPr>
        <w:spacing w:after="0" w:line="225"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3E5588"/>
        </w:rPr>
        <w:t>The initial public offering price of our common stock is substantially higher than the pro forma as adjusted net tangible book value per share of our common stock. Therefore, if you purchase shares of our common stock in this offering, you will pay a price per share that substantially exceeds our pro forma as adjusted net tangible book value per share after this offering. To the extent outstanding options are exercised, you will incur further dilution. Based on the initial public offering price of $16.00 per share, you will experience immediate dilution of $10.45 per share, representing the difference between our pro forma as adjusted net tangible book value per share, after giving effect to this offering, and the initial public offering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An active trading market for our common stock may not develop.</w:t>
      </w:r>
    </w:p>
    <w:p>
      <w:pPr>
        <w:spacing w:after="0" w:line="225" w:lineRule="exact"/>
        <w:rPr>
          <w:sz w:val="20"/>
          <w:szCs w:val="20"/>
          <w:color w:val="auto"/>
        </w:rPr>
      </w:pPr>
    </w:p>
    <w:p>
      <w:pPr>
        <w:jc w:val="both"/>
        <w:ind w:firstLine="364"/>
        <w:spacing w:after="0" w:line="298" w:lineRule="auto"/>
        <w:rPr>
          <w:sz w:val="20"/>
          <w:szCs w:val="20"/>
          <w:color w:val="auto"/>
        </w:rPr>
      </w:pPr>
      <w:r>
        <w:rPr>
          <w:rFonts w:ascii="Arial" w:cs="Arial" w:eastAsia="Arial" w:hAnsi="Arial"/>
          <w:sz w:val="16"/>
          <w:szCs w:val="16"/>
          <w:color w:val="3E5588"/>
        </w:rPr>
        <w:t>Prior to this offering, there has been no public market for our common stock. The initial public offering price for our common stock was determined through negotiations with the underwriters. Although our common stock has been approved for listing on the Nasdaq Global Market, an active trading market for our shares may never develop or be sustained following this offering. If an active market for our common stock does not develop, it may be difficult for you to sell shares you purchase in this offering without depressing the market price for the shares or at all.</w:t>
      </w:r>
    </w:p>
    <w:p>
      <w:pPr>
        <w:spacing w:after="0" w:line="16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3E5588"/>
        </w:rPr>
        <w:t>If securities analysts do not publish or cease publishing research or reports or publish misleading, inaccurate or unfavorable research about our business or if they publish negative evaluations of our stock, the price and trading volume of our stock could decline.</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3E5588"/>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jc w:val="both"/>
        <w:ind w:firstLine="393"/>
        <w:spacing w:after="0" w:line="306" w:lineRule="auto"/>
        <w:rPr>
          <w:sz w:val="20"/>
          <w:szCs w:val="20"/>
          <w:color w:val="auto"/>
        </w:rPr>
      </w:pPr>
      <w:r>
        <w:rPr>
          <w:rFonts w:ascii="Arial" w:cs="Arial" w:eastAsia="Arial" w:hAnsi="Arial"/>
          <w:sz w:val="16"/>
          <w:szCs w:val="16"/>
          <w:color w:val="3E5588"/>
        </w:rPr>
        <w:t>Our stock price is likely to be volatile. The stock market in general and the market for smaller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74"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6"/>
          <w:szCs w:val="16"/>
          <w:color w:val="3E5588"/>
        </w:rPr>
      </w:pPr>
      <w:r>
        <w:rPr>
          <w:rFonts w:ascii="Arial" w:cs="Arial" w:eastAsia="Arial" w:hAnsi="Arial"/>
          <w:sz w:val="16"/>
          <w:szCs w:val="16"/>
          <w:color w:val="3E5588"/>
        </w:rPr>
        <w:t>results of or developments in preclinical studies and clinical trials of our product candidates or those of our competitors or potential collaborators;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39"/>
        </w:numPr>
        <w:rPr>
          <w:rFonts w:ascii="Arial" w:cs="Arial" w:eastAsia="Arial" w:hAnsi="Arial"/>
          <w:sz w:val="18"/>
          <w:szCs w:val="18"/>
          <w:color w:val="3E5588"/>
        </w:rPr>
      </w:pPr>
      <w:r>
        <w:rPr>
          <w:rFonts w:ascii="Arial" w:cs="Arial" w:eastAsia="Arial" w:hAnsi="Arial"/>
          <w:sz w:val="18"/>
          <w:szCs w:val="18"/>
          <w:color w:val="3E5588"/>
        </w:rPr>
        <w:t>our success in commercializing our product candidates, if and when approved;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9"/>
        </w:numPr>
        <w:rPr>
          <w:rFonts w:ascii="Arial" w:cs="Arial" w:eastAsia="Arial" w:hAnsi="Arial"/>
          <w:sz w:val="18"/>
          <w:szCs w:val="18"/>
          <w:color w:val="3E5588"/>
        </w:rPr>
      </w:pPr>
      <w:r>
        <w:rPr>
          <w:rFonts w:ascii="Arial" w:cs="Arial" w:eastAsia="Arial" w:hAnsi="Arial"/>
          <w:sz w:val="18"/>
          <w:szCs w:val="18"/>
          <w:color w:val="3E5588"/>
        </w:rPr>
        <w:t>the success of competitive products or technologies;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9"/>
        </w:numPr>
        <w:rPr>
          <w:rFonts w:ascii="Arial" w:cs="Arial" w:eastAsia="Arial" w:hAnsi="Arial"/>
          <w:sz w:val="18"/>
          <w:szCs w:val="18"/>
          <w:color w:val="3E5588"/>
        </w:rPr>
      </w:pPr>
      <w:r>
        <w:rPr>
          <w:rFonts w:ascii="Arial" w:cs="Arial" w:eastAsia="Arial" w:hAnsi="Arial"/>
          <w:sz w:val="18"/>
          <w:szCs w:val="18"/>
          <w:color w:val="3E5588"/>
        </w:rPr>
        <w:t>regulatory or legal developments in the United States and other countries;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39"/>
        </w:numPr>
        <w:rPr>
          <w:rFonts w:ascii="Arial" w:cs="Arial" w:eastAsia="Arial" w:hAnsi="Arial"/>
          <w:sz w:val="18"/>
          <w:szCs w:val="18"/>
          <w:color w:val="3E5588"/>
        </w:rPr>
      </w:pPr>
      <w:r>
        <w:rPr>
          <w:rFonts w:ascii="Arial" w:cs="Arial" w:eastAsia="Arial" w:hAnsi="Arial"/>
          <w:sz w:val="18"/>
          <w:szCs w:val="18"/>
          <w:color w:val="3E5588"/>
        </w:rPr>
        <w:t>developments or disputes concerning patent applications, issued patents or other intellectual property or proprietary rights;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39"/>
        </w:numPr>
        <w:rPr>
          <w:rFonts w:ascii="Arial" w:cs="Arial" w:eastAsia="Arial" w:hAnsi="Arial"/>
          <w:sz w:val="18"/>
          <w:szCs w:val="18"/>
          <w:color w:val="3E5588"/>
        </w:rPr>
      </w:pPr>
      <w:r>
        <w:rPr>
          <w:rFonts w:ascii="Arial" w:cs="Arial" w:eastAsia="Arial" w:hAnsi="Arial"/>
          <w:sz w:val="18"/>
          <w:szCs w:val="18"/>
          <w:color w:val="3E5588"/>
        </w:rPr>
        <w:t>the recruitment or departure of key personnel;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3E5588"/>
        </w:rPr>
      </w:pPr>
      <w:r>
        <w:rPr>
          <w:rFonts w:ascii="Arial" w:cs="Arial" w:eastAsia="Arial" w:hAnsi="Arial"/>
          <w:sz w:val="18"/>
          <w:szCs w:val="18"/>
          <w:color w:val="3E5588"/>
        </w:rPr>
        <w:t>the level of expenses related to any of our product candidates or clinical development programs;</w:t>
      </w:r>
    </w:p>
    <w:p>
      <w:pPr>
        <w:spacing w:after="0" w:line="252" w:lineRule="exact"/>
        <w:rPr>
          <w:rFonts w:ascii="Arial" w:cs="Arial" w:eastAsia="Arial" w:hAnsi="Arial"/>
          <w:sz w:val="18"/>
          <w:szCs w:val="18"/>
          <w:color w:val="3E5588"/>
        </w:rPr>
      </w:pPr>
    </w:p>
    <w:p>
      <w:pPr>
        <w:ind w:left="1080" w:hanging="532"/>
        <w:spacing w:after="0" w:line="332" w:lineRule="auto"/>
        <w:tabs>
          <w:tab w:leader="none" w:pos="1080" w:val="left"/>
        </w:tabs>
        <w:numPr>
          <w:ilvl w:val="0"/>
          <w:numId w:val="40"/>
        </w:numPr>
        <w:rPr>
          <w:rFonts w:ascii="Arial" w:cs="Arial" w:eastAsia="Arial" w:hAnsi="Arial"/>
          <w:sz w:val="16"/>
          <w:szCs w:val="16"/>
          <w:color w:val="3E5588"/>
        </w:rPr>
      </w:pPr>
      <w:r>
        <w:rPr>
          <w:rFonts w:ascii="Arial" w:cs="Arial" w:eastAsia="Arial" w:hAnsi="Arial"/>
          <w:sz w:val="16"/>
          <w:szCs w:val="16"/>
          <w:color w:val="3E5588"/>
        </w:rPr>
        <w:t>the results of our efforts to discover, develop, acquire or in-license products, product candidates, technologies or data referencing rights, the costs of commercializing any such products and the costs of development of any such product candidates or technologies;</w:t>
      </w:r>
    </w:p>
    <w:p>
      <w:pPr>
        <w:spacing w:after="0" w:line="152" w:lineRule="exact"/>
        <w:rPr>
          <w:rFonts w:ascii="Arial" w:cs="Arial" w:eastAsia="Arial" w:hAnsi="Arial"/>
          <w:sz w:val="16"/>
          <w:szCs w:val="16"/>
          <w:color w:val="3E5588"/>
        </w:rPr>
      </w:pPr>
    </w:p>
    <w:p>
      <w:pPr>
        <w:ind w:left="1080" w:hanging="532"/>
        <w:spacing w:after="0"/>
        <w:tabs>
          <w:tab w:leader="none" w:pos="1080" w:val="left"/>
        </w:tabs>
        <w:numPr>
          <w:ilvl w:val="0"/>
          <w:numId w:val="40"/>
        </w:numPr>
        <w:rPr>
          <w:rFonts w:ascii="Arial" w:cs="Arial" w:eastAsia="Arial" w:hAnsi="Arial"/>
          <w:sz w:val="16"/>
          <w:szCs w:val="16"/>
          <w:color w:val="3E5588"/>
        </w:rPr>
      </w:pPr>
      <w:r>
        <w:rPr>
          <w:rFonts w:ascii="Arial" w:cs="Arial" w:eastAsia="Arial" w:hAnsi="Arial"/>
          <w:sz w:val="16"/>
          <w:szCs w:val="16"/>
          <w:color w:val="3E5588"/>
        </w:rPr>
        <w:t>actual or anticipated changes in estimates as to financial results, development timelines or recommendations by securities analysts;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40"/>
        </w:numPr>
        <w:rPr>
          <w:rFonts w:ascii="Arial" w:cs="Arial" w:eastAsia="Arial" w:hAnsi="Arial"/>
          <w:sz w:val="18"/>
          <w:szCs w:val="18"/>
          <w:color w:val="3E5588"/>
        </w:rPr>
      </w:pPr>
      <w:r>
        <w:rPr>
          <w:rFonts w:ascii="Arial" w:cs="Arial" w:eastAsia="Arial" w:hAnsi="Arial"/>
          <w:sz w:val="18"/>
          <w:szCs w:val="18"/>
          <w:color w:val="3E5588"/>
        </w:rPr>
        <w:t>variations in our financial results or the financial results of companies that are perceived to be similar to us;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40"/>
        </w:numPr>
        <w:rPr>
          <w:rFonts w:ascii="Arial" w:cs="Arial" w:eastAsia="Arial" w:hAnsi="Arial"/>
          <w:sz w:val="18"/>
          <w:szCs w:val="18"/>
          <w:color w:val="3E5588"/>
        </w:rPr>
      </w:pPr>
      <w:r>
        <w:rPr>
          <w:rFonts w:ascii="Arial" w:cs="Arial" w:eastAsia="Arial" w:hAnsi="Arial"/>
          <w:sz w:val="18"/>
          <w:szCs w:val="18"/>
          <w:color w:val="3E5588"/>
        </w:rPr>
        <w:t>changes in the structure of healthcare payment systems;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0"/>
        </w:numPr>
        <w:rPr>
          <w:rFonts w:ascii="Arial" w:cs="Arial" w:eastAsia="Arial" w:hAnsi="Arial"/>
          <w:sz w:val="18"/>
          <w:szCs w:val="18"/>
          <w:color w:val="3E5588"/>
        </w:rPr>
      </w:pPr>
      <w:r>
        <w:rPr>
          <w:rFonts w:ascii="Arial" w:cs="Arial" w:eastAsia="Arial" w:hAnsi="Arial"/>
          <w:sz w:val="18"/>
          <w:szCs w:val="18"/>
          <w:color w:val="3E5588"/>
        </w:rPr>
        <w:t>market conditions in the pharmaceutical and biotechnology sectors;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0"/>
        </w:numPr>
        <w:rPr>
          <w:rFonts w:ascii="Arial" w:cs="Arial" w:eastAsia="Arial" w:hAnsi="Arial"/>
          <w:sz w:val="18"/>
          <w:szCs w:val="18"/>
          <w:color w:val="3E5588"/>
        </w:rPr>
      </w:pPr>
      <w:r>
        <w:rPr>
          <w:rFonts w:ascii="Arial" w:cs="Arial" w:eastAsia="Arial" w:hAnsi="Arial"/>
          <w:sz w:val="18"/>
          <w:szCs w:val="18"/>
          <w:color w:val="3E5588"/>
        </w:rPr>
        <w:t>general economic, industry and market conditions; and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40"/>
        </w:numPr>
        <w:rPr>
          <w:rFonts w:ascii="Arial" w:cs="Arial" w:eastAsia="Arial" w:hAnsi="Arial"/>
          <w:sz w:val="18"/>
          <w:szCs w:val="18"/>
          <w:color w:val="3E5588"/>
        </w:rPr>
      </w:pPr>
      <w:r>
        <w:rPr>
          <w:rFonts w:ascii="Arial" w:cs="Arial" w:eastAsia="Arial" w:hAnsi="Arial"/>
          <w:sz w:val="18"/>
          <w:szCs w:val="18"/>
          <w:color w:val="3E5588"/>
        </w:rPr>
        <w:t>the other factors described in this "Risk Factors" section.</w:t>
      </w:r>
    </w:p>
    <w:p>
      <w:pPr>
        <w:spacing w:after="0" w:line="225" w:lineRule="exact"/>
        <w:rPr>
          <w:sz w:val="20"/>
          <w:szCs w:val="20"/>
          <w:color w:val="auto"/>
        </w:rPr>
      </w:pPr>
    </w:p>
    <w:p>
      <w:pPr>
        <w:jc w:val="both"/>
        <w:ind w:firstLine="365"/>
        <w:spacing w:after="0" w:line="254" w:lineRule="auto"/>
        <w:rPr>
          <w:sz w:val="20"/>
          <w:szCs w:val="20"/>
          <w:color w:val="auto"/>
        </w:rPr>
      </w:pPr>
      <w:r>
        <w:rPr>
          <w:rFonts w:ascii="Arial" w:cs="Arial" w:eastAsia="Arial" w:hAnsi="Arial"/>
          <w:sz w:val="18"/>
          <w:szCs w:val="18"/>
          <w:color w:val="3E5588"/>
        </w:rPr>
        <w:t>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We have broad discretion in the use of the net proceeds from this offering and may not use them effectively.</w:t>
      </w:r>
    </w:p>
    <w:p>
      <w:pPr>
        <w:spacing w:after="0" w:line="225" w:lineRule="exact"/>
        <w:rPr>
          <w:sz w:val="20"/>
          <w:szCs w:val="20"/>
          <w:color w:val="auto"/>
        </w:rPr>
      </w:pPr>
    </w:p>
    <w:p>
      <w:pPr>
        <w:jc w:val="both"/>
        <w:ind w:firstLine="485"/>
        <w:spacing w:after="0" w:line="298" w:lineRule="auto"/>
        <w:rPr>
          <w:sz w:val="20"/>
          <w:szCs w:val="20"/>
          <w:color w:val="auto"/>
        </w:rPr>
      </w:pPr>
      <w:r>
        <w:rPr>
          <w:rFonts w:ascii="Arial" w:cs="Arial" w:eastAsia="Arial" w:hAnsi="Arial"/>
          <w:sz w:val="16"/>
          <w:szCs w:val="16"/>
          <w:color w:val="3E5588"/>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3E5588"/>
        </w:rPr>
        <w:t>A significant portion of our total outstanding shares are eligible to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jc w:val="both"/>
        <w:ind w:firstLine="351"/>
        <w:spacing w:after="0" w:line="309" w:lineRule="auto"/>
        <w:rPr>
          <w:sz w:val="20"/>
          <w:szCs w:val="20"/>
          <w:color w:val="auto"/>
        </w:rPr>
      </w:pPr>
      <w:r>
        <w:rPr>
          <w:rFonts w:ascii="Arial" w:cs="Arial" w:eastAsia="Arial" w:hAnsi="Arial"/>
          <w:sz w:val="15"/>
          <w:szCs w:val="15"/>
          <w:color w:val="3E5588"/>
        </w:rPr>
        <w:t>Sales of a substantial number of shares of our common stock in the public market, or the perception in the market that the holders of a large number of shares intend to sell shares, could reduce the market price of our common stock. After this offering, we will have 23,340,014 shares of common stock outstanding based on the number of shares outstanding as of June 30, 2019. This includes the 4,500,000 shares that we are selling in this offering, which may be resold in the public market immediately without restriction, unless purchased by our affiliates or existing stockholders. The remaining shares are currently restricted as a result of securities laws or lock-up agreements but will become eligible to be sold at various times after the offering. Moreover, beginning 180 days after the completion of this offering, holders of an aggregate of 16,357,132 shares of our common stock will have rights, subject to specified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3E5588"/>
        </w:rPr>
        <w:t>We are an "emerging growth company," or EGC, as defined in the Jumpstart Our Business Startups Act of 2012, or the JOBS Act. We may remain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 For so long as we remain an EGC, we are permitted and intend to rely on exemptions from certain disclosure requirements that are applicable to other public companies that are not EGCs. These exemptions include:</w:t>
      </w:r>
    </w:p>
    <w:p>
      <w:pPr>
        <w:spacing w:after="0" w:line="188" w:lineRule="exact"/>
        <w:rPr>
          <w:sz w:val="20"/>
          <w:szCs w:val="20"/>
          <w:color w:val="auto"/>
        </w:rPr>
      </w:pPr>
    </w:p>
    <w:p>
      <w:pPr>
        <w:ind w:left="1080" w:right="20" w:hanging="532"/>
        <w:spacing w:after="0" w:line="332" w:lineRule="auto"/>
        <w:tabs>
          <w:tab w:leader="none" w:pos="1080" w:val="left"/>
        </w:tabs>
        <w:numPr>
          <w:ilvl w:val="0"/>
          <w:numId w:val="41"/>
        </w:numPr>
        <w:rPr>
          <w:rFonts w:ascii="Arial" w:cs="Arial" w:eastAsia="Arial" w:hAnsi="Arial"/>
          <w:sz w:val="16"/>
          <w:szCs w:val="16"/>
          <w:color w:val="3E5588"/>
        </w:rPr>
      </w:pPr>
      <w:r>
        <w:rPr>
          <w:rFonts w:ascii="Arial" w:cs="Arial" w:eastAsia="Arial" w:hAnsi="Arial"/>
          <w:sz w:val="16"/>
          <w:szCs w:val="16"/>
          <w:color w:val="3E5588"/>
        </w:rPr>
        <w:t>being permitted to provide only two years of audited financial statements in this prospectus, in addition to any required unaudited interim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3E5588"/>
        </w:rPr>
      </w:pPr>
    </w:p>
    <w:p>
      <w:pPr>
        <w:ind w:left="1080" w:hanging="532"/>
        <w:spacing w:after="0"/>
        <w:tabs>
          <w:tab w:leader="none" w:pos="1080" w:val="left"/>
        </w:tabs>
        <w:numPr>
          <w:ilvl w:val="0"/>
          <w:numId w:val="41"/>
        </w:numPr>
        <w:rPr>
          <w:rFonts w:ascii="Arial" w:cs="Arial" w:eastAsia="Arial" w:hAnsi="Arial"/>
          <w:sz w:val="16"/>
          <w:szCs w:val="16"/>
          <w:color w:val="3E5588"/>
        </w:rPr>
      </w:pPr>
      <w:r>
        <w:rPr>
          <w:rFonts w:ascii="Arial" w:cs="Arial" w:eastAsia="Arial" w:hAnsi="Arial"/>
          <w:sz w:val="16"/>
          <w:szCs w:val="16"/>
          <w:color w:val="3E5588"/>
        </w:rPr>
        <w:t>not being required to comply with the auditor attestation requirements in the assessment of our internal control over financial reporting;</w:t>
      </w:r>
    </w:p>
    <w:p>
      <w:pPr>
        <w:spacing w:after="0" w:line="261" w:lineRule="exact"/>
        <w:rPr>
          <w:rFonts w:ascii="Arial" w:cs="Arial" w:eastAsia="Arial" w:hAnsi="Arial"/>
          <w:sz w:val="16"/>
          <w:szCs w:val="16"/>
          <w:color w:val="3E5588"/>
        </w:rPr>
      </w:pPr>
    </w:p>
    <w:p>
      <w:pPr>
        <w:ind w:left="1080" w:hanging="532"/>
        <w:spacing w:after="0" w:line="332" w:lineRule="auto"/>
        <w:tabs>
          <w:tab w:leader="none" w:pos="1080" w:val="left"/>
        </w:tabs>
        <w:numPr>
          <w:ilvl w:val="0"/>
          <w:numId w:val="41"/>
        </w:numPr>
        <w:rPr>
          <w:rFonts w:ascii="Arial" w:cs="Arial" w:eastAsia="Arial" w:hAnsi="Arial"/>
          <w:sz w:val="16"/>
          <w:szCs w:val="16"/>
          <w:color w:val="3E5588"/>
        </w:rPr>
      </w:pPr>
      <w:r>
        <w:rPr>
          <w:rFonts w:ascii="Arial" w:cs="Arial" w:eastAsia="Arial" w:hAnsi="Arial"/>
          <w:sz w:val="16"/>
          <w:szCs w:val="16"/>
          <w:color w:val="3E5588"/>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52" w:lineRule="exact"/>
        <w:rPr>
          <w:rFonts w:ascii="Arial" w:cs="Arial" w:eastAsia="Arial" w:hAnsi="Arial"/>
          <w:sz w:val="16"/>
          <w:szCs w:val="16"/>
          <w:color w:val="3E5588"/>
        </w:rPr>
      </w:pPr>
    </w:p>
    <w:p>
      <w:pPr>
        <w:ind w:left="1080" w:hanging="532"/>
        <w:spacing w:after="0"/>
        <w:tabs>
          <w:tab w:leader="none" w:pos="1080" w:val="left"/>
        </w:tabs>
        <w:numPr>
          <w:ilvl w:val="0"/>
          <w:numId w:val="41"/>
        </w:numPr>
        <w:rPr>
          <w:rFonts w:ascii="Arial" w:cs="Arial" w:eastAsia="Arial" w:hAnsi="Arial"/>
          <w:sz w:val="18"/>
          <w:szCs w:val="18"/>
          <w:color w:val="3E5588"/>
        </w:rPr>
      </w:pPr>
      <w:r>
        <w:rPr>
          <w:rFonts w:ascii="Arial" w:cs="Arial" w:eastAsia="Arial" w:hAnsi="Arial"/>
          <w:sz w:val="18"/>
          <w:szCs w:val="18"/>
          <w:color w:val="3E5588"/>
        </w:rPr>
        <w:t>reduced disclosure obligations regarding executive compensation; and</w:t>
      </w:r>
    </w:p>
    <w:p>
      <w:pPr>
        <w:spacing w:after="0" w:line="25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3E5588"/>
        </w:rPr>
      </w:pPr>
      <w:r>
        <w:rPr>
          <w:rFonts w:ascii="Arial" w:cs="Arial" w:eastAsia="Arial" w:hAnsi="Arial"/>
          <w:sz w:val="18"/>
          <w:szCs w:val="18"/>
          <w:color w:val="3E5588"/>
        </w:rPr>
        <w:t>exemptions from the requirements of holding a nonbinding advisory vote on executive compensation and stockholder approval of any golden parachute payments not previously approved.</w:t>
      </w:r>
    </w:p>
    <w:p>
      <w:pPr>
        <w:spacing w:after="0" w:line="186" w:lineRule="exact"/>
        <w:rPr>
          <w:sz w:val="20"/>
          <w:szCs w:val="20"/>
          <w:color w:val="auto"/>
        </w:rPr>
      </w:pPr>
    </w:p>
    <w:p>
      <w:pPr>
        <w:jc w:val="both"/>
        <w:ind w:right="20" w:firstLine="418"/>
        <w:spacing w:after="0" w:line="332" w:lineRule="auto"/>
        <w:rPr>
          <w:sz w:val="20"/>
          <w:szCs w:val="20"/>
          <w:color w:val="auto"/>
        </w:rPr>
      </w:pPr>
      <w:r>
        <w:rPr>
          <w:rFonts w:ascii="Arial" w:cs="Arial" w:eastAsia="Arial" w:hAnsi="Arial"/>
          <w:sz w:val="16"/>
          <w:szCs w:val="16"/>
          <w:color w:val="3E5588"/>
        </w:rPr>
        <w:t>We have taken advantage of reduced reporting obligations in this prospectus. In particular, in this prospectus, we have provided only two years of audited financial statements and have not included all of the executive compensation related information that would be required if we were not an EGC.</w:t>
      </w:r>
    </w:p>
    <w:p>
      <w:pPr>
        <w:spacing w:after="0" w:line="139" w:lineRule="exact"/>
        <w:rPr>
          <w:sz w:val="20"/>
          <w:szCs w:val="20"/>
          <w:color w:val="auto"/>
        </w:rPr>
      </w:pPr>
    </w:p>
    <w:p>
      <w:pPr>
        <w:jc w:val="both"/>
        <w:ind w:firstLine="355"/>
        <w:spacing w:after="0" w:line="332" w:lineRule="auto"/>
        <w:rPr>
          <w:sz w:val="20"/>
          <w:szCs w:val="20"/>
          <w:color w:val="auto"/>
        </w:rPr>
      </w:pPr>
      <w:r>
        <w:rPr>
          <w:rFonts w:ascii="Arial" w:cs="Arial" w:eastAsia="Arial" w:hAnsi="Arial"/>
          <w:sz w:val="16"/>
          <w:szCs w:val="16"/>
          <w:color w:val="3E5588"/>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9"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3E5588"/>
        </w:rPr>
        <w:t>In addition, the JOBS Act permits an EGC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We will incur increased costs as a result of operating as a public company, and our management will be required to devote substantial time to new compliance initiatives and corporate governance practices.</w:t>
      </w:r>
    </w:p>
    <w:p>
      <w:pPr>
        <w:spacing w:after="0" w:line="186" w:lineRule="exact"/>
        <w:rPr>
          <w:sz w:val="20"/>
          <w:szCs w:val="20"/>
          <w:color w:val="auto"/>
        </w:rPr>
      </w:pPr>
    </w:p>
    <w:p>
      <w:pPr>
        <w:jc w:val="both"/>
        <w:ind w:firstLine="363"/>
        <w:spacing w:after="0" w:line="298" w:lineRule="auto"/>
        <w:rPr>
          <w:sz w:val="20"/>
          <w:szCs w:val="20"/>
          <w:color w:val="auto"/>
        </w:rPr>
      </w:pPr>
      <w:r>
        <w:rPr>
          <w:rFonts w:ascii="Arial" w:cs="Arial" w:eastAsia="Arial" w:hAnsi="Arial"/>
          <w:sz w:val="16"/>
          <w:szCs w:val="16"/>
          <w:color w:val="3E5588"/>
        </w:rPr>
        <w:t>As a public company, and particularly after we are no longer an EGC, we will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w:t>
      </w:r>
    </w:p>
    <w:p>
      <w:pPr>
        <w:spacing w:after="0" w:line="197"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3E5588"/>
        </w:rPr>
        <w:t>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67" w:lineRule="exact"/>
        <w:rPr>
          <w:sz w:val="20"/>
          <w:szCs w:val="20"/>
          <w:color w:val="auto"/>
        </w:rPr>
      </w:pPr>
    </w:p>
    <w:p>
      <w:pPr>
        <w:jc w:val="both"/>
        <w:ind w:firstLine="469"/>
        <w:spacing w:after="0" w:line="287" w:lineRule="auto"/>
        <w:rPr>
          <w:sz w:val="20"/>
          <w:szCs w:val="20"/>
          <w:color w:val="auto"/>
        </w:rPr>
      </w:pPr>
      <w:r>
        <w:rPr>
          <w:rFonts w:ascii="Arial" w:cs="Arial" w:eastAsia="Arial" w:hAnsi="Arial"/>
          <w:sz w:val="16"/>
          <w:szCs w:val="16"/>
          <w:color w:val="3E5588"/>
        </w:rPr>
        <w:t>Pursuant to Section 404 of the Sarbanes-Oxley Act of 2002, or Section 404, we will be required to furnish a report by our management on our internal control over financial reporting.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3E5588"/>
        </w:rPr>
        <w:t>Because we do not anticipate paying any cash dividends on our capital stock in the foreseeable future, capital appreciation, if any, will be your sole source of gain.</w:t>
      </w:r>
    </w:p>
    <w:p>
      <w:pPr>
        <w:spacing w:after="0" w:line="186" w:lineRule="exact"/>
        <w:rPr>
          <w:sz w:val="20"/>
          <w:szCs w:val="20"/>
          <w:color w:val="auto"/>
        </w:rPr>
      </w:pPr>
    </w:p>
    <w:p>
      <w:pPr>
        <w:jc w:val="both"/>
        <w:ind w:firstLine="366"/>
        <w:spacing w:after="0" w:line="332" w:lineRule="auto"/>
        <w:rPr>
          <w:sz w:val="20"/>
          <w:szCs w:val="20"/>
          <w:color w:val="auto"/>
        </w:rPr>
      </w:pPr>
      <w:r>
        <w:rPr>
          <w:rFonts w:ascii="Arial" w:cs="Arial" w:eastAsia="Arial" w:hAnsi="Arial"/>
          <w:sz w:val="16"/>
          <w:szCs w:val="16"/>
          <w:color w:val="3E5588"/>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3E5588"/>
        </w:rPr>
        <w:t>Our certificate of incorporation that will become effective upon the closing of this offering designates the state courts in the State of Delaware as the sole and exclusive forum for certain types of actions and proceedings that may be initiated by our stockholders, which could discourage lawsuits against the company and our directors, officers and employees.</w:t>
      </w:r>
    </w:p>
    <w:p>
      <w:pPr>
        <w:spacing w:after="0" w:line="194"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3E5588"/>
        </w:rPr>
        <w:t>Our certificate of incorporation that will become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E5588"/>
        </w:rPr>
        <w:t>exclusive forum provision will not apply to actions arising under the Securities Act of 1933, as amended, or the Securities Exchange Act of 1934, as amended.</w:t>
      </w:r>
    </w:p>
    <w:p>
      <w:pPr>
        <w:spacing w:after="0" w:line="248" w:lineRule="exact"/>
        <w:rPr>
          <w:sz w:val="20"/>
          <w:szCs w:val="20"/>
          <w:color w:val="auto"/>
        </w:rPr>
      </w:pPr>
    </w:p>
    <w:p>
      <w:pPr>
        <w:jc w:val="both"/>
        <w:ind w:firstLine="500"/>
        <w:spacing w:after="0" w:line="255" w:lineRule="auto"/>
        <w:rPr>
          <w:sz w:val="20"/>
          <w:szCs w:val="20"/>
          <w:color w:val="auto"/>
        </w:rPr>
      </w:pPr>
      <w:r>
        <w:rPr>
          <w:rFonts w:ascii="Arial" w:cs="Arial" w:eastAsia="Arial" w:hAnsi="Arial"/>
          <w:sz w:val="18"/>
          <w:szCs w:val="18"/>
          <w:color w:val="3E5588"/>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CAUTIONARY NOTE REGARDING FORWARD-LOOKING STATEMENTS AND INDUSTRY DATA</w:t>
      </w:r>
    </w:p>
    <w:p>
      <w:pPr>
        <w:spacing w:after="0" w:line="231"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3E5588"/>
        </w:rPr>
        <w:t>This prospectus contains forward-looking statements that involve substantial risks and uncertainties. All statements, other than statements of historical fact, contained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forward-looking statements in this prospectus include, among other things, statements about:</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ongoing Phase 1 clinical trial and planned Phase 2b clinical trial and Phase 2 open label clinical trial of losmapimod;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IND-enabling studies and planned Phase 1 clinical trial of FTX-HbF;</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the initiation, timing, progress and results of our drug target discovery screening programs;</w:t>
      </w:r>
    </w:p>
    <w:p>
      <w:pPr>
        <w:spacing w:after="0" w:line="238"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the initiation, timing, progress and results of our current and future preclinical studies and clinical trials and our research and development programs;</w:t>
      </w:r>
    </w:p>
    <w:p>
      <w:pPr>
        <w:spacing w:after="0" w:line="21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plans to develop and, if approved, subsequently commercialize losmapimod and any other product candidates, including in combination with other drugs and therapies;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6"/>
          <w:szCs w:val="16"/>
          <w:color w:val="3E5588"/>
        </w:rPr>
      </w:pPr>
      <w:r>
        <w:rPr>
          <w:rFonts w:ascii="Arial" w:cs="Arial" w:eastAsia="Arial" w:hAnsi="Arial"/>
          <w:sz w:val="16"/>
          <w:szCs w:val="16"/>
          <w:color w:val="3E5588"/>
        </w:rPr>
        <w:t>the timing of and our ability to submit applications for, obtain and maintain regulatory approvals for losmapimod and other product candidates;</w:t>
      </w:r>
    </w:p>
    <w:p>
      <w:pPr>
        <w:spacing w:after="0" w:line="261"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expectations regarding our ability to fund our operating expenses and capital expenditure requirements with our cash and cash equivalents and proceeds of this offering;</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the potential advantages of our product candidates;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the rate and degree of market acceptance and clinical utility of our products;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estimates regarding the potential market opportunity for our product candidates;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commercialization, marketing and manufacturing capabilities and strategy;</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intellectual property position;</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ability to identify additional products, product candidates or technologies with significant commercial potential that are consistent with our commercial objectives;</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expectations related to the use of proceeds from this offering;</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6"/>
          <w:szCs w:val="16"/>
          <w:color w:val="3E5588"/>
        </w:rPr>
      </w:pPr>
      <w:r>
        <w:rPr>
          <w:rFonts w:ascii="Arial" w:cs="Arial" w:eastAsia="Arial" w:hAnsi="Arial"/>
          <w:sz w:val="16"/>
          <w:szCs w:val="16"/>
          <w:color w:val="3E5588"/>
        </w:rPr>
        <w:t>our estimates regarding expenses, future revenue, timing of any future revenue, capital requirements and needs for additional financing;</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the impact of government laws and regulations;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competitive position;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developments relating to our competitors and our industry;</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ability to maintain and establish collaborations or obtain additional funding;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2"/>
        </w:numPr>
        <w:rPr>
          <w:rFonts w:ascii="Arial" w:cs="Arial" w:eastAsia="Arial" w:hAnsi="Arial"/>
          <w:sz w:val="18"/>
          <w:szCs w:val="18"/>
          <w:color w:val="3E5588"/>
        </w:rPr>
      </w:pPr>
      <w:r>
        <w:rPr>
          <w:rFonts w:ascii="Arial" w:cs="Arial" w:eastAsia="Arial" w:hAnsi="Arial"/>
          <w:sz w:val="18"/>
          <w:szCs w:val="18"/>
          <w:color w:val="3E5588"/>
        </w:rPr>
        <w:t>our expectations regarding the time during which we will be an emerging growth company under the JOBS Act.</w:t>
      </w:r>
    </w:p>
    <w:p>
      <w:pPr>
        <w:spacing w:after="0" w:line="225" w:lineRule="exact"/>
        <w:rPr>
          <w:sz w:val="20"/>
          <w:szCs w:val="20"/>
          <w:color w:val="auto"/>
        </w:rPr>
      </w:pPr>
    </w:p>
    <w:p>
      <w:pPr>
        <w:ind w:firstLine="402"/>
        <w:spacing w:after="0" w:line="268" w:lineRule="auto"/>
        <w:rPr>
          <w:sz w:val="20"/>
          <w:szCs w:val="20"/>
          <w:color w:val="auto"/>
        </w:rPr>
      </w:pPr>
      <w:r>
        <w:rPr>
          <w:rFonts w:ascii="Arial" w:cs="Arial" w:eastAsia="Arial" w:hAnsi="Arial"/>
          <w:sz w:val="18"/>
          <w:szCs w:val="18"/>
          <w:color w:val="3E5588"/>
        </w:rPr>
        <w:t>We may not actually achieve the plans, intentions or expectations disclosed in our forward-looking statements, and you should not place undue reliance on our forward-looking statements. Actual results or</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3E5588"/>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E5588"/>
        </w:rPr>
        <w:t>events could differ materially from the plans, intentions and expectations disclosed in the forward-looking statements we make. We have included important factors in the cautionary statements included in this prospectus, particularly in the "Risk Factors" section,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spacing w:after="0" w:line="167"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3E5588"/>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applicable law.</w:t>
      </w:r>
    </w:p>
    <w:p>
      <w:pPr>
        <w:spacing w:after="0" w:line="167" w:lineRule="exact"/>
        <w:rPr>
          <w:sz w:val="20"/>
          <w:szCs w:val="20"/>
          <w:color w:val="auto"/>
        </w:rPr>
      </w:pPr>
    </w:p>
    <w:p>
      <w:pPr>
        <w:jc w:val="both"/>
        <w:ind w:firstLine="529"/>
        <w:spacing w:after="0" w:line="290" w:lineRule="auto"/>
        <w:rPr>
          <w:sz w:val="20"/>
          <w:szCs w:val="20"/>
          <w:color w:val="auto"/>
        </w:rPr>
      </w:pPr>
      <w:r>
        <w:rPr>
          <w:rFonts w:ascii="Arial" w:cs="Arial" w:eastAsia="Arial" w:hAnsi="Arial"/>
          <w:sz w:val="16"/>
          <w:szCs w:val="16"/>
          <w:color w:val="3E5588"/>
        </w:rPr>
        <w:t>This prospectus includes statistical and other industry and market data that we obtained from industry publications and research, surveys and studies conducted by third parties as well as our own estimates of potential market opportunities. All of the market data used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USE OF PROCEEDS</w:t>
      </w:r>
    </w:p>
    <w:p>
      <w:pPr>
        <w:spacing w:after="0" w:line="231" w:lineRule="exact"/>
        <w:rPr>
          <w:sz w:val="20"/>
          <w:szCs w:val="20"/>
          <w:color w:val="auto"/>
        </w:rPr>
      </w:pPr>
    </w:p>
    <w:p>
      <w:pPr>
        <w:jc w:val="both"/>
        <w:ind w:firstLine="381"/>
        <w:spacing w:after="0" w:line="256" w:lineRule="auto"/>
        <w:rPr>
          <w:sz w:val="20"/>
          <w:szCs w:val="20"/>
          <w:color w:val="auto"/>
        </w:rPr>
      </w:pPr>
      <w:r>
        <w:rPr>
          <w:rFonts w:ascii="Arial" w:cs="Arial" w:eastAsia="Arial" w:hAnsi="Arial"/>
          <w:sz w:val="18"/>
          <w:szCs w:val="18"/>
          <w:color w:val="3E5588"/>
        </w:rPr>
        <w:t>We estimate that the net proceeds from our issuance and sale of 4,500,000 shares of our common stock in this offering will be approximately $63.9 million, based on the initial public offering price of $16.00 per share, after deducting underwriting discounts and commissions and estimated offering expenses payable by us. If the underwriters exercise their option to purchase additional shares of our common stock in full, we estimate that the net proceeds from this offering will be approximately $73.9 million.</w:t>
      </w:r>
    </w:p>
    <w:p>
      <w:pPr>
        <w:spacing w:after="0" w:line="197"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8"/>
          <w:szCs w:val="18"/>
          <w:color w:val="3E5588"/>
        </w:rPr>
        <w:t>As of March 31, 2019, we had cash and cash equivalents of $62.5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3E5588"/>
        </w:rPr>
      </w:pPr>
      <w:r>
        <w:rPr>
          <w:rFonts w:ascii="Arial" w:cs="Arial" w:eastAsia="Arial" w:hAnsi="Arial"/>
          <w:sz w:val="18"/>
          <w:szCs w:val="18"/>
          <w:color w:val="3E5588"/>
        </w:rPr>
        <w:t>approximately $45.0 million to advance losmapimod for FSHD;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43"/>
        </w:numPr>
        <w:rPr>
          <w:rFonts w:ascii="Arial" w:cs="Arial" w:eastAsia="Arial" w:hAnsi="Arial"/>
          <w:sz w:val="18"/>
          <w:szCs w:val="18"/>
          <w:color w:val="3E5588"/>
        </w:rPr>
      </w:pPr>
      <w:r>
        <w:rPr>
          <w:rFonts w:ascii="Arial" w:cs="Arial" w:eastAsia="Arial" w:hAnsi="Arial"/>
          <w:sz w:val="18"/>
          <w:szCs w:val="18"/>
          <w:color w:val="3E5588"/>
        </w:rPr>
        <w:t>approximately $15.0 million to advance our hemoglobinopathies program;</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3"/>
        </w:numPr>
        <w:rPr>
          <w:rFonts w:ascii="Arial" w:cs="Arial" w:eastAsia="Arial" w:hAnsi="Arial"/>
          <w:sz w:val="18"/>
          <w:szCs w:val="18"/>
          <w:color w:val="3E5588"/>
        </w:rPr>
      </w:pPr>
      <w:r>
        <w:rPr>
          <w:rFonts w:ascii="Arial" w:cs="Arial" w:eastAsia="Arial" w:hAnsi="Arial"/>
          <w:sz w:val="18"/>
          <w:szCs w:val="18"/>
          <w:color w:val="3E5588"/>
        </w:rPr>
        <w:t>approximately $30.0 million to fund our ongoing product engine and discovery efforts;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3"/>
        </w:numPr>
        <w:rPr>
          <w:rFonts w:ascii="Arial" w:cs="Arial" w:eastAsia="Arial" w:hAnsi="Arial"/>
          <w:sz w:val="18"/>
          <w:szCs w:val="18"/>
          <w:color w:val="3E5588"/>
        </w:rPr>
      </w:pPr>
      <w:r>
        <w:rPr>
          <w:rFonts w:ascii="Arial" w:cs="Arial" w:eastAsia="Arial" w:hAnsi="Arial"/>
          <w:sz w:val="18"/>
          <w:szCs w:val="18"/>
          <w:color w:val="3E5588"/>
        </w:rPr>
        <w:t>the remainder for working capital and other general corporate purposes.</w:t>
      </w:r>
    </w:p>
    <w:p>
      <w:pPr>
        <w:spacing w:after="0" w:line="225"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3E5588"/>
        </w:rPr>
        <w:t>This expected use of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programs,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70" w:lineRule="exact"/>
        <w:rPr>
          <w:sz w:val="20"/>
          <w:szCs w:val="20"/>
          <w:color w:val="auto"/>
        </w:rPr>
      </w:pPr>
    </w:p>
    <w:p>
      <w:pPr>
        <w:jc w:val="both"/>
        <w:ind w:firstLine="418"/>
        <w:spacing w:after="0" w:line="286" w:lineRule="auto"/>
        <w:rPr>
          <w:sz w:val="20"/>
          <w:szCs w:val="20"/>
          <w:color w:val="auto"/>
        </w:rPr>
      </w:pPr>
      <w:r>
        <w:rPr>
          <w:rFonts w:ascii="Arial" w:cs="Arial" w:eastAsia="Arial" w:hAnsi="Arial"/>
          <w:sz w:val="16"/>
          <w:szCs w:val="16"/>
          <w:color w:val="3E5588"/>
        </w:rPr>
        <w:t>Based on our planned use of the net proceeds from this offering, together with our existing cash and cash equivalents, we estimate that such funds will be sufficient to fund our operating expenses and capital expenditure requirements into the third quarter of 2021. We anticipate that the net proceeds from this offering together with our existing cash and cash equivalents will be sufficient to allow us to complete our ongoing clinical trials, including our Phase 2b clinical trial, of losmapimod and conduct IND-enabling studies for and initiate a Phase 1 clinical trial of FTX-HbF. We will require additional capital to advance losmapimod through additional clinical trials, if required, to advance FTX-HbF through necessary clinical trials and to commercialize any of our product candidates, if we receive regulatory approval. We have based these estimates on assumptions that may prove to be wrong, including assumptions regarding the clinical trials necessary for FDA approval of our product candidates, and we could use our capital resources sooner than we currently expect. Due to the numerous risks and uncertainties associated with product development, including the risks and uncertainties with respect to successful enrollment and completion of clinical trials, at this time, we cannot reasonably estimate the amount of additional funding that will be necessary to complete the clinical development of losmapimod or any future product candidates. If we receive regulatory approval for losmapimod or other product candidates, we expect to incur significant commercialization expenses related to product manufacturing, sales, marketing and distribution.</w:t>
      </w:r>
    </w:p>
    <w:p>
      <w:pPr>
        <w:spacing w:after="0" w:line="181" w:lineRule="exact"/>
        <w:rPr>
          <w:sz w:val="20"/>
          <w:szCs w:val="20"/>
          <w:color w:val="auto"/>
        </w:rPr>
      </w:pPr>
    </w:p>
    <w:p>
      <w:pPr>
        <w:jc w:val="both"/>
        <w:ind w:firstLine="381"/>
        <w:spacing w:after="0" w:line="268" w:lineRule="auto"/>
        <w:rPr>
          <w:sz w:val="20"/>
          <w:szCs w:val="20"/>
          <w:color w:val="auto"/>
        </w:rPr>
      </w:pPr>
      <w:r>
        <w:rPr>
          <w:rFonts w:ascii="Arial" w:cs="Arial" w:eastAsia="Arial" w:hAnsi="Arial"/>
          <w:sz w:val="18"/>
          <w:szCs w:val="18"/>
          <w:color w:val="3E5588"/>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DIVIDEND POLICY</w:t>
      </w:r>
    </w:p>
    <w:p>
      <w:pPr>
        <w:spacing w:after="0" w:line="231" w:lineRule="exact"/>
        <w:rPr>
          <w:sz w:val="20"/>
          <w:szCs w:val="20"/>
          <w:color w:val="auto"/>
        </w:rPr>
      </w:pPr>
    </w:p>
    <w:p>
      <w:pPr>
        <w:jc w:val="both"/>
        <w:ind w:firstLine="408"/>
        <w:spacing w:after="0" w:line="298" w:lineRule="auto"/>
        <w:rPr>
          <w:sz w:val="20"/>
          <w:szCs w:val="20"/>
          <w:color w:val="auto"/>
        </w:rPr>
      </w:pPr>
      <w:r>
        <w:rPr>
          <w:rFonts w:ascii="Arial" w:cs="Arial" w:eastAsia="Arial" w:hAnsi="Arial"/>
          <w:sz w:val="16"/>
          <w:szCs w:val="16"/>
          <w:color w:val="3E5588"/>
        </w:rPr>
        <w:t>We have never declared or paid cash dividends on our common stock. We currently intend to retain all available funds and any future earnings to fund the development and expansion of our business and we do not anticipate paying any cash dividends in the foreseeable future. Any future determination to declare and pay dividends will be made at the discretion of our board of directors and will depend on then-existing conditions, including our results of operations, financial condition, contractual restrictions, capital requirements, business prospects and other factors our board of directors may deem relevant.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sets forth our cash and cash equivalents and our capitalization as of March 31, 2019:</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3E5588"/>
        </w:rPr>
      </w:pPr>
      <w:r>
        <w:rPr>
          <w:rFonts w:ascii="Arial" w:cs="Arial" w:eastAsia="Arial" w:hAnsi="Arial"/>
          <w:sz w:val="18"/>
          <w:szCs w:val="18"/>
          <w:color w:val="3E5588"/>
        </w:rPr>
        <w:t>on an actual basis;</w:t>
      </w:r>
    </w:p>
    <w:p>
      <w:pPr>
        <w:spacing w:after="0" w:line="252" w:lineRule="exact"/>
        <w:rPr>
          <w:rFonts w:ascii="Arial" w:cs="Arial" w:eastAsia="Arial" w:hAnsi="Arial"/>
          <w:sz w:val="18"/>
          <w:szCs w:val="18"/>
          <w:color w:val="3E5588"/>
        </w:rPr>
      </w:pPr>
    </w:p>
    <w:p>
      <w:pPr>
        <w:ind w:left="1080" w:hanging="532"/>
        <w:spacing w:after="0" w:line="332" w:lineRule="auto"/>
        <w:tabs>
          <w:tab w:leader="none" w:pos="1080" w:val="left"/>
        </w:tabs>
        <w:numPr>
          <w:ilvl w:val="0"/>
          <w:numId w:val="44"/>
        </w:numPr>
        <w:rPr>
          <w:rFonts w:ascii="Arial" w:cs="Arial" w:eastAsia="Arial" w:hAnsi="Arial"/>
          <w:sz w:val="16"/>
          <w:szCs w:val="16"/>
          <w:color w:val="3E5588"/>
        </w:rPr>
      </w:pPr>
      <w:r>
        <w:rPr>
          <w:rFonts w:ascii="Arial" w:cs="Arial" w:eastAsia="Arial" w:hAnsi="Arial"/>
          <w:sz w:val="16"/>
          <w:szCs w:val="16"/>
          <w:color w:val="3E5588"/>
        </w:rPr>
        <w:t>on a pro forma basis to give effect to (i) the automatic conversion of all outstanding shares of our preferred stock into an aggregate of 16,071,418 shares of common stock upon the closing of this offering and (ii) the filing and effectiveness of our certificate of incorporation; and</w:t>
      </w:r>
    </w:p>
    <w:p>
      <w:pPr>
        <w:spacing w:after="0" w:line="152" w:lineRule="exact"/>
        <w:rPr>
          <w:rFonts w:ascii="Arial" w:cs="Arial" w:eastAsia="Arial" w:hAnsi="Arial"/>
          <w:sz w:val="16"/>
          <w:szCs w:val="16"/>
          <w:color w:val="3E5588"/>
        </w:rPr>
      </w:pPr>
    </w:p>
    <w:p>
      <w:pPr>
        <w:jc w:val="both"/>
        <w:ind w:left="1080" w:hanging="532"/>
        <w:spacing w:after="0" w:line="259" w:lineRule="auto"/>
        <w:tabs>
          <w:tab w:leader="none" w:pos="1080" w:val="left"/>
        </w:tabs>
        <w:numPr>
          <w:ilvl w:val="0"/>
          <w:numId w:val="44"/>
        </w:numPr>
        <w:rPr>
          <w:rFonts w:ascii="Arial" w:cs="Arial" w:eastAsia="Arial" w:hAnsi="Arial"/>
          <w:sz w:val="18"/>
          <w:szCs w:val="18"/>
          <w:color w:val="3E5588"/>
        </w:rPr>
      </w:pPr>
      <w:r>
        <w:rPr>
          <w:rFonts w:ascii="Arial" w:cs="Arial" w:eastAsia="Arial" w:hAnsi="Arial"/>
          <w:sz w:val="18"/>
          <w:szCs w:val="18"/>
          <w:color w:val="3E5588"/>
        </w:rPr>
        <w:t>on a pro forma as adjusted basis to give further effect to our issuance and sale of 4,500,000 shares of our common stock in this offering at the initial public offering price of $16.00 per share, after deducting underwriting discounts and commissions and estimated offering expenses payable by us.</w:t>
      </w:r>
    </w:p>
    <w:p>
      <w:pPr>
        <w:spacing w:after="0" w:line="194"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3E5588"/>
        </w:rPr>
        <w:t>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2040" w:type="dxa"/>
            <w:vAlign w:val="bottom"/>
            <w:tcBorders>
              <w:bottom w:val="single" w:sz="8" w:color="3E5588"/>
            </w:tcBorders>
            <w:gridSpan w:val="8"/>
          </w:tcPr>
          <w:p>
            <w:pPr>
              <w:jc w:val="right"/>
              <w:spacing w:after="0"/>
              <w:rPr>
                <w:sz w:val="20"/>
                <w:szCs w:val="20"/>
                <w:color w:val="auto"/>
              </w:rPr>
            </w:pPr>
            <w:r>
              <w:rPr>
                <w:rFonts w:ascii="Arial" w:cs="Arial" w:eastAsia="Arial" w:hAnsi="Arial"/>
                <w:sz w:val="14"/>
                <w:szCs w:val="14"/>
                <w:b w:val="1"/>
                <w:bCs w:val="1"/>
                <w:color w:val="3E5588"/>
              </w:rPr>
              <w:t>As of March 31, 2019</w:t>
            </w:r>
          </w:p>
        </w:tc>
        <w:tc>
          <w:tcPr>
            <w:tcW w:w="780" w:type="dxa"/>
            <w:vAlign w:val="bottom"/>
            <w:tcBorders>
              <w:bottom w:val="single" w:sz="8" w:color="3E5588"/>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34"/>
              <w:spacing w:after="0" w:line="129" w:lineRule="exact"/>
              <w:rPr>
                <w:sz w:val="20"/>
                <w:szCs w:val="20"/>
                <w:color w:val="auto"/>
              </w:rPr>
            </w:pPr>
            <w:r>
              <w:rPr>
                <w:rFonts w:ascii="Arial" w:cs="Arial" w:eastAsia="Arial" w:hAnsi="Arial"/>
                <w:sz w:val="14"/>
                <w:szCs w:val="14"/>
                <w:b w:val="1"/>
                <w:bCs w:val="1"/>
                <w:color w:val="3E5588"/>
                <w:w w:val="91"/>
              </w:rPr>
              <w:t>Pro Forma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780" w:type="dxa"/>
            <w:vAlign w:val="bottom"/>
            <w:tcBorders>
              <w:bottom w:val="single" w:sz="8" w:color="3E5588"/>
            </w:tcBorders>
          </w:tcPr>
          <w:p>
            <w:pPr>
              <w:jc w:val="right"/>
              <w:ind w:right="178"/>
              <w:spacing w:after="0"/>
              <w:rPr>
                <w:sz w:val="20"/>
                <w:szCs w:val="20"/>
                <w:color w:val="auto"/>
              </w:rPr>
            </w:pPr>
            <w:r>
              <w:rPr>
                <w:rFonts w:ascii="Arial" w:cs="Arial" w:eastAsia="Arial" w:hAnsi="Arial"/>
                <w:sz w:val="14"/>
                <w:szCs w:val="14"/>
                <w:b w:val="1"/>
                <w:bCs w:val="1"/>
                <w:color w:val="3E5588"/>
              </w:rPr>
              <w:t>Actual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760" w:type="dxa"/>
            <w:vAlign w:val="bottom"/>
            <w:tcBorders>
              <w:bottom w:val="single" w:sz="8" w:color="3E5588"/>
            </w:tcBorders>
          </w:tcPr>
          <w:p>
            <w:pPr>
              <w:jc w:val="right"/>
              <w:ind w:right="34"/>
              <w:spacing w:after="0"/>
              <w:rPr>
                <w:sz w:val="20"/>
                <w:szCs w:val="20"/>
                <w:color w:val="auto"/>
              </w:rPr>
            </w:pPr>
            <w:r>
              <w:rPr>
                <w:rFonts w:ascii="Arial" w:cs="Arial" w:eastAsia="Arial" w:hAnsi="Arial"/>
                <w:sz w:val="14"/>
                <w:szCs w:val="14"/>
                <w:b w:val="1"/>
                <w:bCs w:val="1"/>
                <w:color w:val="3E5588"/>
                <w:w w:val="88"/>
              </w:rPr>
              <w:t>Pro Forma</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Borders>
              <w:bottom w:val="single" w:sz="8" w:color="3E5588"/>
            </w:tcBorders>
            <w:gridSpan w:val="2"/>
          </w:tcPr>
          <w:p>
            <w:pPr>
              <w:jc w:val="right"/>
              <w:spacing w:after="0"/>
              <w:rPr>
                <w:sz w:val="20"/>
                <w:szCs w:val="20"/>
                <w:color w:val="auto"/>
              </w:rPr>
            </w:pPr>
            <w:r>
              <w:rPr>
                <w:rFonts w:ascii="Arial" w:cs="Arial" w:eastAsia="Arial" w:hAnsi="Arial"/>
                <w:sz w:val="14"/>
                <w:szCs w:val="14"/>
                <w:b w:val="1"/>
                <w:bCs w:val="1"/>
                <w:color w:val="3E5588"/>
                <w:w w:val="95"/>
              </w:rPr>
              <w:t>As Adjusted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3E5588"/>
                <w:w w:val="79"/>
              </w:rPr>
              <w:t>(in thousands,</w:t>
            </w:r>
          </w:p>
        </w:tc>
        <w:tc>
          <w:tcPr>
            <w:tcW w:w="160" w:type="dxa"/>
            <w:vAlign w:val="bottom"/>
            <w:gridSpan w:val="2"/>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b w:val="1"/>
                <w:bCs w:val="1"/>
                <w:color w:val="3E5588"/>
                <w:w w:val="71"/>
              </w:rPr>
              <w:t>except share and</w:t>
            </w:r>
          </w:p>
        </w:tc>
        <w:tc>
          <w:tcPr>
            <w:tcW w:w="1040" w:type="dxa"/>
            <w:vAlign w:val="bottom"/>
            <w:gridSpan w:val="4"/>
          </w:tcPr>
          <w:p>
            <w:pPr>
              <w:jc w:val="right"/>
              <w:ind w:right="14"/>
              <w:spacing w:after="0" w:line="142" w:lineRule="exact"/>
              <w:rPr>
                <w:sz w:val="20"/>
                <w:szCs w:val="20"/>
                <w:color w:val="auto"/>
              </w:rPr>
            </w:pPr>
            <w:r>
              <w:rPr>
                <w:rFonts w:ascii="Arial" w:cs="Arial" w:eastAsia="Arial" w:hAnsi="Arial"/>
                <w:sz w:val="14"/>
                <w:szCs w:val="14"/>
                <w:b w:val="1"/>
                <w:bCs w:val="1"/>
                <w:color w:val="3E5588"/>
                <w:w w:val="91"/>
              </w:rPr>
              <w:t>per share data)</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3E5588"/>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62,452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126,312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3E5588"/>
                <w:w w:val="89"/>
              </w:rPr>
              <w:t>Convertible preferred stock (Series A and B), $0.001 par value; 112,500,000 shares</w:t>
            </w:r>
          </w:p>
        </w:tc>
        <w:tc>
          <w:tcPr>
            <w:tcW w:w="1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6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7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3E5588"/>
                <w:w w:val="96"/>
              </w:rPr>
              <w:t>authorized, issued and outstanding, actual; no shares authorized, issued or</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3E5588"/>
              </w:rPr>
              <w:t>outstanding, pro forma and pro forma as adjusted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E5588"/>
              </w:rPr>
              <w:t>165,136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Stockholders' (deficit) equity</w:t>
            </w:r>
          </w:p>
        </w:tc>
        <w:tc>
          <w:tcPr>
            <w:tcW w:w="120" w:type="dxa"/>
            <w:vAlign w:val="bottom"/>
            <w:shd w:val="clear" w:color="auto" w:fill="CCEEFF"/>
          </w:tcPr>
          <w:p>
            <w:pPr>
              <w:spacing w:after="0"/>
              <w:rPr>
                <w:sz w:val="18"/>
                <w:szCs w:val="18"/>
                <w:color w:val="auto"/>
              </w:rPr>
            </w:pPr>
          </w:p>
        </w:tc>
        <w:tc>
          <w:tcPr>
            <w:tcW w:w="80" w:type="dxa"/>
            <w:vAlign w:val="bottom"/>
            <w:tcBorders>
              <w:top w:val="single" w:sz="8" w:color="3E5588"/>
            </w:tcBorders>
            <w:shd w:val="clear" w:color="auto" w:fill="CCEEFF"/>
          </w:tcPr>
          <w:p>
            <w:pPr>
              <w:spacing w:after="0"/>
              <w:rPr>
                <w:sz w:val="18"/>
                <w:szCs w:val="18"/>
                <w:color w:val="auto"/>
              </w:rPr>
            </w:pPr>
          </w:p>
        </w:tc>
        <w:tc>
          <w:tcPr>
            <w:tcW w:w="780" w:type="dxa"/>
            <w:vAlign w:val="bottom"/>
            <w:tcBorders>
              <w:top w:val="single" w:sz="8" w:color="3E5588"/>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3E5588"/>
            </w:tcBorders>
            <w:shd w:val="clear" w:color="auto" w:fill="CCEEFF"/>
          </w:tcPr>
          <w:p>
            <w:pPr>
              <w:spacing w:after="0"/>
              <w:rPr>
                <w:sz w:val="18"/>
                <w:szCs w:val="18"/>
                <w:color w:val="auto"/>
              </w:rPr>
            </w:pPr>
          </w:p>
        </w:tc>
        <w:tc>
          <w:tcPr>
            <w:tcW w:w="760" w:type="dxa"/>
            <w:vAlign w:val="bottom"/>
            <w:tcBorders>
              <w:top w:val="single" w:sz="8" w:color="3E5588"/>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3E5588"/>
            </w:tcBorders>
            <w:shd w:val="clear" w:color="auto" w:fill="CCEEFF"/>
          </w:tcPr>
          <w:p>
            <w:pPr>
              <w:spacing w:after="0"/>
              <w:rPr>
                <w:sz w:val="18"/>
                <w:szCs w:val="18"/>
                <w:color w:val="auto"/>
              </w:rPr>
            </w:pPr>
          </w:p>
        </w:tc>
        <w:tc>
          <w:tcPr>
            <w:tcW w:w="78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3E5588"/>
                <w:w w:val="91"/>
              </w:rPr>
              <w:t>Preferred stock, $0.001 par value; no shares authorized, issued or 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E5588"/>
                <w:w w:val="94"/>
              </w:rPr>
              <w:t>actual; 5,000,000 shares authorized, no shares issued or outstanding, pro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E5588"/>
              </w:rPr>
              <w:t>forma and pro forma as adjusted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3E5588"/>
                <w:w w:val="94"/>
              </w:rPr>
              <w:t>Common stock, $0.001 par value; 147,500,000 shares authorized, 2,747,842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E5588"/>
                <w:w w:val="90"/>
              </w:rPr>
              <w:t>shares issued and 1,721,966 shares outstanding, actual; 200,000,000 shares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E5588"/>
                <w:w w:val="89"/>
              </w:rPr>
              <w:t>authorized, 18,819,260 shares issued and 17,793,384 shares outstanding, pro</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E5588"/>
              </w:rPr>
              <w:t>forma; 200,000,000 shares authorized, 23,319,260 shares issued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3E5588"/>
              </w:rPr>
              <w:t>22,293,384 shares outstanding, pro forma as adjusted</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3E5588"/>
              </w:rPr>
              <w:t>Additional paid-in 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E5588"/>
              </w:rPr>
              <w:t>5,278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3E5588"/>
              </w:rPr>
              <w:t>170,398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3E5588"/>
              </w:rPr>
              <w:t>234,254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Accumulated deficit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(104,967)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(104,967)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ind w:left="340"/>
              <w:spacing w:after="0"/>
              <w:rPr>
                <w:sz w:val="20"/>
                <w:szCs w:val="20"/>
                <w:color w:val="auto"/>
              </w:rPr>
            </w:pPr>
            <w:r>
              <w:rPr>
                <w:rFonts w:ascii="Arial" w:cs="Arial" w:eastAsia="Arial" w:hAnsi="Arial"/>
                <w:sz w:val="18"/>
                <w:szCs w:val="18"/>
                <w:color w:val="3E5588"/>
              </w:rPr>
              <w:t>Total stockholders' (deficit) equity</w:t>
            </w:r>
          </w:p>
        </w:tc>
        <w:tc>
          <w:tcPr>
            <w:tcW w:w="120" w:type="dxa"/>
            <w:vAlign w:val="bottom"/>
          </w:tcPr>
          <w:p>
            <w:pPr>
              <w:spacing w:after="0"/>
              <w:rPr>
                <w:sz w:val="18"/>
                <w:szCs w:val="18"/>
                <w:color w:val="auto"/>
              </w:rPr>
            </w:pPr>
          </w:p>
        </w:tc>
        <w:tc>
          <w:tcPr>
            <w:tcW w:w="80" w:type="dxa"/>
            <w:vAlign w:val="bottom"/>
            <w:tcBorders>
              <w:top w:val="single" w:sz="8" w:color="3E5588"/>
              <w:bottom w:val="single" w:sz="8" w:color="3E5588"/>
            </w:tcBorders>
          </w:tcPr>
          <w:p>
            <w:pPr>
              <w:spacing w:after="0"/>
              <w:rPr>
                <w:sz w:val="18"/>
                <w:szCs w:val="18"/>
                <w:color w:val="auto"/>
              </w:rPr>
            </w:pPr>
          </w:p>
        </w:tc>
        <w:tc>
          <w:tcPr>
            <w:tcW w:w="7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3E5588"/>
              <w:bottom w:val="single" w:sz="8" w:color="3E5588"/>
            </w:tcBorders>
          </w:tcPr>
          <w:p>
            <w:pPr>
              <w:spacing w:after="0"/>
              <w:rPr>
                <w:sz w:val="18"/>
                <w:szCs w:val="18"/>
                <w:color w:val="auto"/>
              </w:rPr>
            </w:pPr>
          </w:p>
        </w:tc>
        <w:tc>
          <w:tcPr>
            <w:tcW w:w="7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65,449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3E5588"/>
              <w:bottom w:val="single" w:sz="8" w:color="3E5588"/>
            </w:tcBorders>
          </w:tcPr>
          <w:p>
            <w:pPr>
              <w:spacing w:after="0"/>
              <w:rPr>
                <w:sz w:val="18"/>
                <w:szCs w:val="18"/>
                <w:color w:val="auto"/>
              </w:rPr>
            </w:pPr>
          </w:p>
        </w:tc>
        <w:tc>
          <w:tcPr>
            <w:tcW w:w="7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129,309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Total capitalization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65,449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3E5588"/>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65,449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129,309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6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7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table above does not include: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45"/>
        </w:numPr>
        <w:rPr>
          <w:rFonts w:ascii="Arial" w:cs="Arial" w:eastAsia="Arial" w:hAnsi="Arial"/>
          <w:sz w:val="18"/>
          <w:szCs w:val="18"/>
          <w:color w:val="3E5588"/>
        </w:rPr>
      </w:pPr>
      <w:r>
        <w:rPr>
          <w:rFonts w:ascii="Arial" w:cs="Arial" w:eastAsia="Arial" w:hAnsi="Arial"/>
          <w:sz w:val="18"/>
          <w:szCs w:val="18"/>
          <w:color w:val="3E5588"/>
        </w:rPr>
        <w:t>1,528,387 shares of common stock issuable upon the exercise of stock options outstanding as of March 31, 2019, at a weighted average exercise price of $7.60 per share, and an additional 93,995 shares of common stock issuable upon the exercise of stock options granted subsequent to March 31, 2019, at a weighted average exercise price of $11.06 per share;</w:t>
      </w:r>
    </w:p>
    <w:p>
      <w:pPr>
        <w:spacing w:after="0" w:line="221"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45"/>
        </w:numPr>
        <w:rPr>
          <w:rFonts w:ascii="Arial" w:cs="Arial" w:eastAsia="Arial" w:hAnsi="Arial"/>
          <w:sz w:val="18"/>
          <w:szCs w:val="18"/>
          <w:color w:val="3E5588"/>
        </w:rPr>
      </w:pPr>
      <w:r>
        <w:rPr>
          <w:rFonts w:ascii="Arial" w:cs="Arial" w:eastAsia="Arial" w:hAnsi="Arial"/>
          <w:sz w:val="18"/>
          <w:szCs w:val="18"/>
          <w:color w:val="3E5588"/>
        </w:rPr>
        <w:t>366,623 shares of common stock available for future issuance as of March 31, 2019 under our 2016 Stock Incentive Plan, as amended, or the 2016 Plan;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5" w:lineRule="auto"/>
        <w:tabs>
          <w:tab w:leader="none" w:pos="1080" w:val="left"/>
        </w:tabs>
        <w:numPr>
          <w:ilvl w:val="0"/>
          <w:numId w:val="46"/>
        </w:numPr>
        <w:rPr>
          <w:rFonts w:ascii="Arial" w:cs="Arial" w:eastAsia="Arial" w:hAnsi="Arial"/>
          <w:sz w:val="18"/>
          <w:szCs w:val="18"/>
          <w:color w:val="3E5588"/>
        </w:rPr>
      </w:pPr>
      <w:r>
        <w:rPr>
          <w:rFonts w:ascii="Arial" w:cs="Arial" w:eastAsia="Arial" w:hAnsi="Arial"/>
          <w:sz w:val="18"/>
          <w:szCs w:val="18"/>
          <w:color w:val="3E5588"/>
        </w:rPr>
        <w:t>2,017,142 and 252,142 additional shares of our common stock available for future issuance under our 2019 Stock Incentive Plan, of which our board of directors has granted options to purchase an aggregate of 308,486 shares of common stock to certain of our employees and non-employee directors effective upon the commencement of trading of our common stock on the Nasdaq Global Market, and our 2019 Employee Stock Purchase Plan, respectively, as well as any automatic increases in the number of shares of common stock reserved for future issuance under these plans.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DILUTION</w:t>
      </w:r>
    </w:p>
    <w:p>
      <w:pPr>
        <w:spacing w:after="0" w:line="231"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3E5588"/>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94"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3E5588"/>
        </w:rPr>
        <w:t>Our historical net tangible book value (deficit) as of March 31, 2019 was $(99.9) million, or $(36.36) per share of common stock. Our historical net tangible book value (deficit) is the amount of our total tangible assets less our total liabilities and the carrying value of our preferred stock, which is not included within stockholders' (deficit) equity. Historical net tangible book value (deficit) per share represents historical net tangible book value (deficit) divided by the 2,747,842 shares of common stock outstanding as of March 31, 2019, including 1,025,876 shares of unvested restricted stock subject to repurchase by us.</w:t>
      </w:r>
    </w:p>
    <w:p>
      <w:pPr>
        <w:spacing w:after="0" w:line="167" w:lineRule="exact"/>
        <w:rPr>
          <w:sz w:val="20"/>
          <w:szCs w:val="20"/>
          <w:color w:val="auto"/>
        </w:rPr>
      </w:pPr>
    </w:p>
    <w:p>
      <w:pPr>
        <w:jc w:val="both"/>
        <w:ind w:firstLine="444"/>
        <w:spacing w:after="0" w:line="323" w:lineRule="auto"/>
        <w:rPr>
          <w:sz w:val="20"/>
          <w:szCs w:val="20"/>
          <w:color w:val="auto"/>
        </w:rPr>
      </w:pPr>
      <w:r>
        <w:rPr>
          <w:rFonts w:ascii="Arial" w:cs="Arial" w:eastAsia="Arial" w:hAnsi="Arial"/>
          <w:sz w:val="15"/>
          <w:szCs w:val="15"/>
          <w:color w:val="3E5588"/>
        </w:rPr>
        <w:t>Our pro forma net tangible book value as of March 31, 2019 was $65.3 million, or $3.47 per share of common stock. Pro forma net tangible book value represents the amount of our total tangible assets less our total liabilities, after giving effect to the automatic conversion of all outstanding shares of our preferred stock into an aggregate of 16,071,418 shares of common stock upon the closing of this offering. Pro forma net tangible book value per share represents pro forma net tangible book value divided by the total number of shares outstanding as of March 31, 2019, after giving effect to the pro forma adjustments described above.</w:t>
      </w:r>
    </w:p>
    <w:p>
      <w:pPr>
        <w:spacing w:after="0" w:line="152"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3E5588"/>
        </w:rPr>
        <w:t>After giving further effect to our issuance and sale of 4,500,000 shares of our common stock in this offering at the initial public offering price of $16.00 per share, and after deducting underwriting discounts and commissions and estimated offering expenses payable by us, our pro forma as adjusted net tangible book value as of March 31, 2019 would have been $129.3 million, or $5.55 per share. This represents an immediate increase in pro forma as adjusted net tangible book value per share of $2.08 to existing stockholders and immediate dilution of $10.45 in pro forma as adjusted net tangible book value per share to new investors purchasing shares of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3E5588"/>
              </w:rPr>
              <w:t>Initial public offering price per share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7"/>
              </w:rPr>
              <w:t>16.00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3E5588"/>
              </w:rPr>
              <w:t>Historical net tangible book value (deficit) per share as of March 31, 2019</w:t>
            </w:r>
          </w:p>
        </w:tc>
        <w:tc>
          <w:tcPr>
            <w:tcW w:w="4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700" w:type="dxa"/>
            <w:vAlign w:val="bottom"/>
            <w:gridSpan w:val="2"/>
          </w:tcPr>
          <w:p>
            <w:pPr>
              <w:jc w:val="right"/>
              <w:ind w:right="12"/>
              <w:spacing w:after="0"/>
              <w:rPr>
                <w:sz w:val="20"/>
                <w:szCs w:val="20"/>
                <w:color w:val="auto"/>
              </w:rPr>
            </w:pPr>
            <w:r>
              <w:rPr>
                <w:rFonts w:ascii="Arial" w:cs="Arial" w:eastAsia="Arial" w:hAnsi="Arial"/>
                <w:sz w:val="18"/>
                <w:szCs w:val="18"/>
                <w:color w:val="3E5588"/>
              </w:rPr>
              <w:t>(36.36)</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Increase per share attributable to the pro forma adjustments described above</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5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39.83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tcPr>
          <w:p>
            <w:pPr>
              <w:ind w:left="160"/>
              <w:spacing w:after="0"/>
              <w:rPr>
                <w:sz w:val="20"/>
                <w:szCs w:val="20"/>
                <w:color w:val="auto"/>
              </w:rPr>
            </w:pPr>
            <w:r>
              <w:rPr>
                <w:rFonts w:ascii="Arial" w:cs="Arial" w:eastAsia="Arial" w:hAnsi="Arial"/>
                <w:sz w:val="18"/>
                <w:szCs w:val="18"/>
                <w:color w:val="3E5588"/>
              </w:rPr>
              <w:t>Pro forma net tangible book value per share as of March 31, 2019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540" w:type="dxa"/>
            <w:vAlign w:val="bottom"/>
          </w:tcPr>
          <w:p>
            <w:pPr>
              <w:jc w:val="right"/>
              <w:spacing w:after="0"/>
              <w:rPr>
                <w:sz w:val="20"/>
                <w:szCs w:val="20"/>
                <w:color w:val="auto"/>
              </w:rPr>
            </w:pPr>
            <w:r>
              <w:rPr>
                <w:rFonts w:ascii="Arial" w:cs="Arial" w:eastAsia="Arial" w:hAnsi="Arial"/>
                <w:sz w:val="18"/>
                <w:szCs w:val="18"/>
                <w:color w:val="3E5588"/>
              </w:rPr>
              <w:t>3.47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shd w:val="clear" w:color="auto" w:fill="CCEEFF"/>
          </w:tcPr>
          <w:p>
            <w:pPr>
              <w:ind w:left="160"/>
              <w:spacing w:after="0"/>
              <w:rPr>
                <w:sz w:val="20"/>
                <w:szCs w:val="20"/>
                <w:color w:val="auto"/>
              </w:rPr>
            </w:pPr>
            <w:r>
              <w:rPr>
                <w:rFonts w:ascii="Arial" w:cs="Arial" w:eastAsia="Arial" w:hAnsi="Arial"/>
                <w:sz w:val="18"/>
                <w:szCs w:val="18"/>
                <w:color w:val="3E5588"/>
                <w:w w:val="91"/>
              </w:rPr>
              <w:t>Increase in pro forma as adjusted net tangible book value per share attributable to new investors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3E5588"/>
              </w:rPr>
              <w:t>purchasing shares of common stock in this offering</w:t>
            </w:r>
          </w:p>
        </w:tc>
        <w:tc>
          <w:tcPr>
            <w:tcW w:w="300" w:type="dxa"/>
            <w:vAlign w:val="bottom"/>
            <w:shd w:val="clear" w:color="auto" w:fill="CCEEFF"/>
          </w:tcPr>
          <w:p>
            <w:pPr>
              <w:spacing w:after="0"/>
              <w:rPr>
                <w:sz w:val="19"/>
                <w:szCs w:val="19"/>
                <w:color w:val="auto"/>
              </w:rPr>
            </w:pPr>
          </w:p>
        </w:tc>
        <w:tc>
          <w:tcPr>
            <w:tcW w:w="140" w:type="dxa"/>
            <w:vAlign w:val="bottom"/>
            <w:tcBorders>
              <w:bottom w:val="single" w:sz="8" w:color="3E5588"/>
            </w:tcBorders>
            <w:shd w:val="clear" w:color="auto" w:fill="CCEEFF"/>
          </w:tcPr>
          <w:p>
            <w:pPr>
              <w:spacing w:after="0"/>
              <w:rPr>
                <w:sz w:val="19"/>
                <w:szCs w:val="19"/>
                <w:color w:val="auto"/>
              </w:rPr>
            </w:pPr>
          </w:p>
        </w:tc>
        <w:tc>
          <w:tcPr>
            <w:tcW w:w="5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2.08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220" w:type="dxa"/>
            <w:vAlign w:val="bottom"/>
            <w:gridSpan w:val="2"/>
          </w:tcPr>
          <w:p>
            <w:pPr>
              <w:spacing w:after="0"/>
              <w:rPr>
                <w:sz w:val="20"/>
                <w:szCs w:val="20"/>
                <w:color w:val="auto"/>
              </w:rPr>
            </w:pPr>
            <w:r>
              <w:rPr>
                <w:rFonts w:ascii="Arial" w:cs="Arial" w:eastAsia="Arial" w:hAnsi="Arial"/>
                <w:sz w:val="18"/>
                <w:szCs w:val="18"/>
                <w:color w:val="3E5588"/>
              </w:rPr>
              <w:t>Pro forma as adjusted net tangible book value per share immediately after this offering</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3E5588"/>
              </w:rPr>
              <w:t>$</w:t>
            </w:r>
          </w:p>
        </w:tc>
        <w:tc>
          <w:tcPr>
            <w:tcW w:w="460" w:type="dxa"/>
            <w:vAlign w:val="bottom"/>
          </w:tcPr>
          <w:p>
            <w:pPr>
              <w:jc w:val="right"/>
              <w:spacing w:after="0"/>
              <w:rPr>
                <w:sz w:val="20"/>
                <w:szCs w:val="20"/>
                <w:color w:val="auto"/>
              </w:rPr>
            </w:pPr>
            <w:r>
              <w:rPr>
                <w:rFonts w:ascii="Arial" w:cs="Arial" w:eastAsia="Arial" w:hAnsi="Arial"/>
                <w:sz w:val="18"/>
                <w:szCs w:val="18"/>
                <w:color w:val="3E5588"/>
              </w:rPr>
              <w:t>5.55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4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3E5588"/>
              </w:rPr>
              <w:t>Dilution per share to new investors purchasing shares of common stock in this offering</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7"/>
              </w:rPr>
              <w:t>10.45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4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0"/>
        <w:spacing w:after="0" w:line="298" w:lineRule="auto"/>
        <w:rPr>
          <w:sz w:val="20"/>
          <w:szCs w:val="20"/>
          <w:color w:val="auto"/>
        </w:rPr>
      </w:pPr>
      <w:r>
        <w:rPr>
          <w:rFonts w:ascii="Arial" w:cs="Arial" w:eastAsia="Arial" w:hAnsi="Arial"/>
          <w:sz w:val="16"/>
          <w:szCs w:val="16"/>
          <w:color w:val="3E5588"/>
        </w:rPr>
        <w:t>If the underwriters exercise their option to purchase additional shares in full, our pro forma as adjusted net tangible book value per share after this offering would be $5.81, representing an immediate increase in pro forma as adjusted net tangible book value per share of $2.34 to existing stockholders and immediate dilution in pro forma as adjusted net tangible book value per share of $10.19 to new investors purchasing shares of common stock in this offering, based on the initial public offering price of $16.00 per share, and after deducting underwriting discounts and commissions and estimated offering expenses payable by 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0"/>
        <w:spacing w:after="0" w:line="255" w:lineRule="auto"/>
        <w:rPr>
          <w:sz w:val="20"/>
          <w:szCs w:val="20"/>
          <w:color w:val="auto"/>
        </w:rPr>
      </w:pPr>
      <w:r>
        <w:rPr>
          <w:rFonts w:ascii="Arial" w:cs="Arial" w:eastAsia="Arial" w:hAnsi="Arial"/>
          <w:sz w:val="18"/>
          <w:szCs w:val="18"/>
          <w:color w:val="3E5588"/>
        </w:rPr>
        <w:t>The following table summarizes, as of March 31, 2019, on the pro forma as adjusted basis described above, the total number of shares of common stock purchased from us on an as converted to common stock basis, the total consideration paid or to be paid and the average price per share paid or to be paid by existing stockholders and by new investors in this offering at the initial public offering price of $16.00 per share, before deducting underwriting discounts and commissions and estimated offering expenses payable by us. As the table shows, new investors purchasing shares of common stock in this offering will pay an average price per share substantially higher than our existing stockholders paid.</w:t>
      </w:r>
    </w:p>
    <w:p>
      <w:pPr>
        <w:spacing w:after="0" w:line="3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3E5588"/>
              </w:rPr>
              <w:t>Shares Purchased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3E5588"/>
              </w:rPr>
              <w:t>Total Consideration</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3E5588"/>
              </w:rPr>
              <w:t>Average Price</w:t>
            </w: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920" w:type="dxa"/>
            <w:vAlign w:val="bottom"/>
            <w:tcBorders>
              <w:top w:val="single" w:sz="8" w:color="3E5588"/>
              <w:bottom w:val="single" w:sz="8" w:color="3E5588"/>
            </w:tcBorders>
          </w:tcPr>
          <w:p>
            <w:pPr>
              <w:jc w:val="right"/>
              <w:ind w:right="140"/>
              <w:spacing w:after="0" w:line="142" w:lineRule="exact"/>
              <w:rPr>
                <w:sz w:val="20"/>
                <w:szCs w:val="20"/>
                <w:color w:val="auto"/>
              </w:rPr>
            </w:pPr>
            <w:r>
              <w:rPr>
                <w:rFonts w:ascii="Arial" w:cs="Arial" w:eastAsia="Arial" w:hAnsi="Arial"/>
                <w:sz w:val="14"/>
                <w:szCs w:val="14"/>
                <w:b w:val="1"/>
                <w:bCs w:val="1"/>
                <w:color w:val="3E5588"/>
              </w:rPr>
              <w:t>Number</w:t>
            </w:r>
          </w:p>
        </w:tc>
        <w:tc>
          <w:tcPr>
            <w:tcW w:w="160" w:type="dxa"/>
            <w:vAlign w:val="bottom"/>
            <w:tcBorders>
              <w:top w:val="single" w:sz="8" w:color="3E5588"/>
            </w:tcBorders>
          </w:tcPr>
          <w:p>
            <w:pPr>
              <w:spacing w:after="0"/>
              <w:rPr>
                <w:sz w:val="12"/>
                <w:szCs w:val="12"/>
                <w:color w:val="auto"/>
              </w:rPr>
            </w:pPr>
          </w:p>
        </w:tc>
        <w:tc>
          <w:tcPr>
            <w:tcW w:w="600" w:type="dxa"/>
            <w:vAlign w:val="bottom"/>
            <w:tcBorders>
              <w:top w:val="single" w:sz="8" w:color="3E5588"/>
              <w:bottom w:val="single" w:sz="8" w:color="3E5588"/>
            </w:tcBorders>
          </w:tcPr>
          <w:p>
            <w:pPr>
              <w:jc w:val="right"/>
              <w:spacing w:after="0" w:line="142" w:lineRule="exact"/>
              <w:rPr>
                <w:sz w:val="20"/>
                <w:szCs w:val="20"/>
                <w:color w:val="auto"/>
              </w:rPr>
            </w:pPr>
            <w:r>
              <w:rPr>
                <w:rFonts w:ascii="Arial" w:cs="Arial" w:eastAsia="Arial" w:hAnsi="Arial"/>
                <w:sz w:val="14"/>
                <w:szCs w:val="14"/>
                <w:b w:val="1"/>
                <w:bCs w:val="1"/>
                <w:color w:val="3E5588"/>
                <w:w w:val="97"/>
              </w:rPr>
              <w:t>Percent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960" w:type="dxa"/>
            <w:vAlign w:val="bottom"/>
            <w:tcBorders>
              <w:top w:val="single" w:sz="8" w:color="3E5588"/>
              <w:bottom w:val="single" w:sz="8" w:color="3E5588"/>
            </w:tcBorders>
          </w:tcPr>
          <w:p>
            <w:pPr>
              <w:jc w:val="right"/>
              <w:ind w:right="240"/>
              <w:spacing w:after="0" w:line="142" w:lineRule="exact"/>
              <w:rPr>
                <w:sz w:val="20"/>
                <w:szCs w:val="20"/>
                <w:color w:val="auto"/>
              </w:rPr>
            </w:pPr>
            <w:r>
              <w:rPr>
                <w:rFonts w:ascii="Arial" w:cs="Arial" w:eastAsia="Arial" w:hAnsi="Arial"/>
                <w:sz w:val="14"/>
                <w:szCs w:val="14"/>
                <w:b w:val="1"/>
                <w:bCs w:val="1"/>
                <w:color w:val="3E5588"/>
              </w:rPr>
              <w:t>Amount</w:t>
            </w:r>
          </w:p>
        </w:tc>
        <w:tc>
          <w:tcPr>
            <w:tcW w:w="160" w:type="dxa"/>
            <w:vAlign w:val="bottom"/>
            <w:tcBorders>
              <w:top w:val="single" w:sz="8" w:color="3E5588"/>
            </w:tcBorders>
          </w:tcPr>
          <w:p>
            <w:pPr>
              <w:spacing w:after="0"/>
              <w:rPr>
                <w:sz w:val="12"/>
                <w:szCs w:val="12"/>
                <w:color w:val="auto"/>
              </w:rPr>
            </w:pPr>
          </w:p>
        </w:tc>
        <w:tc>
          <w:tcPr>
            <w:tcW w:w="780" w:type="dxa"/>
            <w:vAlign w:val="bottom"/>
            <w:tcBorders>
              <w:top w:val="single" w:sz="8" w:color="3E5588"/>
              <w:bottom w:val="single" w:sz="8" w:color="3E5588"/>
            </w:tcBorders>
          </w:tcPr>
          <w:p>
            <w:pPr>
              <w:jc w:val="right"/>
              <w:ind w:right="12"/>
              <w:spacing w:after="0" w:line="142" w:lineRule="exact"/>
              <w:rPr>
                <w:sz w:val="20"/>
                <w:szCs w:val="20"/>
                <w:color w:val="auto"/>
              </w:rPr>
            </w:pPr>
            <w:r>
              <w:rPr>
                <w:rFonts w:ascii="Arial" w:cs="Arial" w:eastAsia="Arial" w:hAnsi="Arial"/>
                <w:sz w:val="14"/>
                <w:szCs w:val="14"/>
                <w:b w:val="1"/>
                <w:bCs w:val="1"/>
                <w:color w:val="3E5588"/>
                <w:w w:val="90"/>
              </w:rPr>
              <w:t>Percentage</w:t>
            </w:r>
          </w:p>
        </w:tc>
        <w:tc>
          <w:tcPr>
            <w:tcW w:w="160" w:type="dxa"/>
            <w:vAlign w:val="bottom"/>
          </w:tcPr>
          <w:p>
            <w:pPr>
              <w:spacing w:after="0"/>
              <w:rPr>
                <w:sz w:val="12"/>
                <w:szCs w:val="12"/>
                <w:color w:val="auto"/>
              </w:rPr>
            </w:pPr>
          </w:p>
        </w:tc>
        <w:tc>
          <w:tcPr>
            <w:tcW w:w="140" w:type="dxa"/>
            <w:vAlign w:val="bottom"/>
            <w:tcBorders>
              <w:bottom w:val="single" w:sz="8" w:color="3E5588"/>
            </w:tcBorders>
          </w:tcPr>
          <w:p>
            <w:pPr>
              <w:spacing w:after="0"/>
              <w:rPr>
                <w:sz w:val="12"/>
                <w:szCs w:val="12"/>
                <w:color w:val="auto"/>
              </w:rPr>
            </w:pPr>
          </w:p>
        </w:tc>
        <w:tc>
          <w:tcPr>
            <w:tcW w:w="820" w:type="dxa"/>
            <w:vAlign w:val="bottom"/>
            <w:tcBorders>
              <w:bottom w:val="single" w:sz="8" w:color="3E5588"/>
            </w:tcBorders>
          </w:tcPr>
          <w:p>
            <w:pPr>
              <w:jc w:val="right"/>
              <w:ind w:right="119"/>
              <w:spacing w:after="0" w:line="142" w:lineRule="exact"/>
              <w:rPr>
                <w:sz w:val="20"/>
                <w:szCs w:val="20"/>
                <w:color w:val="auto"/>
              </w:rPr>
            </w:pPr>
            <w:r>
              <w:rPr>
                <w:rFonts w:ascii="Arial" w:cs="Arial" w:eastAsia="Arial" w:hAnsi="Arial"/>
                <w:sz w:val="14"/>
                <w:szCs w:val="14"/>
                <w:b w:val="1"/>
                <w:bCs w:val="1"/>
                <w:color w:val="3E5588"/>
                <w:w w:val="91"/>
              </w:rPr>
              <w:t>Per Share</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3E5588"/>
              </w:rPr>
              <w:t>Existing stockholders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9"/>
              </w:rPr>
              <w:t>18,819,260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3E5588"/>
              </w:rPr>
              <w:t>81%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3"/>
              </w:rPr>
              <w:t>140,076,300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E5588"/>
              </w:rPr>
              <w:t>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7.44</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3E5588"/>
                <w:w w:val="95"/>
              </w:rPr>
              <w:t>Investors purchasing shares of common stock in this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3E5588"/>
              </w:rPr>
              <w:t>offering</w:t>
            </w:r>
          </w:p>
        </w:tc>
        <w:tc>
          <w:tcPr>
            <w:tcW w:w="920" w:type="dxa"/>
            <w:vAlign w:val="bottom"/>
          </w:tcPr>
          <w:p>
            <w:pPr>
              <w:jc w:val="right"/>
              <w:spacing w:after="0"/>
              <w:rPr>
                <w:sz w:val="20"/>
                <w:szCs w:val="20"/>
                <w:color w:val="auto"/>
              </w:rPr>
            </w:pPr>
            <w:r>
              <w:rPr>
                <w:rFonts w:ascii="Arial" w:cs="Arial" w:eastAsia="Arial" w:hAnsi="Arial"/>
                <w:sz w:val="18"/>
                <w:szCs w:val="18"/>
                <w:color w:val="3E5588"/>
              </w:rPr>
              <w:t>4,500,000</w:t>
            </w: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3E5588"/>
              </w:rPr>
              <w:t>19%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3E5588"/>
              </w:rPr>
              <w:t>72,000,000</w:t>
            </w:r>
          </w:p>
        </w:tc>
        <w:tc>
          <w:tcPr>
            <w:tcW w:w="1100" w:type="dxa"/>
            <w:vAlign w:val="bottom"/>
            <w:gridSpan w:val="3"/>
          </w:tcPr>
          <w:p>
            <w:pPr>
              <w:jc w:val="right"/>
              <w:ind w:right="20"/>
              <w:spacing w:after="0"/>
              <w:rPr>
                <w:sz w:val="20"/>
                <w:szCs w:val="20"/>
                <w:color w:val="auto"/>
              </w:rPr>
            </w:pPr>
            <w:r>
              <w:rPr>
                <w:rFonts w:ascii="Arial" w:cs="Arial" w:eastAsia="Arial" w:hAnsi="Arial"/>
                <w:sz w:val="18"/>
                <w:szCs w:val="18"/>
                <w:color w:val="3E5588"/>
              </w:rPr>
              <w:t>34%</w:t>
            </w:r>
          </w:p>
        </w:tc>
        <w:tc>
          <w:tcPr>
            <w:tcW w:w="14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820" w:type="dxa"/>
            <w:vAlign w:val="bottom"/>
          </w:tcPr>
          <w:p>
            <w:pPr>
              <w:jc w:val="right"/>
              <w:spacing w:after="0"/>
              <w:rPr>
                <w:sz w:val="20"/>
                <w:szCs w:val="20"/>
                <w:color w:val="auto"/>
              </w:rPr>
            </w:pPr>
            <w:r>
              <w:rPr>
                <w:rFonts w:ascii="Arial" w:cs="Arial" w:eastAsia="Arial" w:hAnsi="Arial"/>
                <w:sz w:val="18"/>
                <w:szCs w:val="18"/>
                <w:color w:val="3E5588"/>
              </w:rPr>
              <w:t>16.00</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9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9"/>
              </w:rPr>
              <w:t>23,319,260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100%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3"/>
              </w:rPr>
              <w:t>212,076,300</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E5588"/>
              </w:rPr>
              <w:t>100%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9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9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3E5588"/>
        </w:rPr>
        <w:t>The table above assumes no exercise of the underwriters' option to purchase additional shares in this offering. If the underwriters exercise their option to purchase additional shares in full, the number of shares of our common stock held by existing stockholders would be reduced to 78% of the total number of shares of our common stock outstanding after this offering, and the number of shares of common stock held by new investors purchasing shares of common stock in this offering would be increased to 22% of the total number of shares of our common stock outstanding after this offering.</w:t>
      </w:r>
    </w:p>
    <w:p>
      <w:pPr>
        <w:spacing w:after="0" w:line="167" w:lineRule="exact"/>
        <w:rPr>
          <w:sz w:val="20"/>
          <w:szCs w:val="20"/>
          <w:color w:val="auto"/>
        </w:rPr>
      </w:pPr>
    </w:p>
    <w:p>
      <w:pPr>
        <w:jc w:val="both"/>
        <w:ind w:right="20" w:firstLine="484"/>
        <w:spacing w:after="0" w:line="268" w:lineRule="auto"/>
        <w:rPr>
          <w:sz w:val="20"/>
          <w:szCs w:val="20"/>
          <w:color w:val="auto"/>
        </w:rPr>
      </w:pPr>
      <w:r>
        <w:rPr>
          <w:rFonts w:ascii="Arial" w:cs="Arial" w:eastAsia="Arial" w:hAnsi="Arial"/>
          <w:sz w:val="18"/>
          <w:szCs w:val="18"/>
          <w:color w:val="3E5588"/>
        </w:rPr>
        <w:t>The tables and discussion above are based on 2,747,842 shares of our common stock outstanding as of March 31, 2019, including 1,025,876 shares of unvested restricted stock subject to repurchase by us, and exclude:</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47"/>
        </w:numPr>
        <w:rPr>
          <w:rFonts w:ascii="Arial" w:cs="Arial" w:eastAsia="Arial" w:hAnsi="Arial"/>
          <w:sz w:val="18"/>
          <w:szCs w:val="18"/>
          <w:color w:val="3E5588"/>
        </w:rPr>
      </w:pPr>
      <w:r>
        <w:rPr>
          <w:rFonts w:ascii="Arial" w:cs="Arial" w:eastAsia="Arial" w:hAnsi="Arial"/>
          <w:sz w:val="18"/>
          <w:szCs w:val="18"/>
          <w:color w:val="3E5588"/>
        </w:rPr>
        <w:t>1,528,387 shares of common stock issuable upon the exercise of stock options outstanding as of March 31, 2019, at a weighted average exercise price of $7.60 per share, and an additional 93,995 shares of common stock issuable upon the exercise of stock options granted subsequent to March 31, 2019, at a weighted average exercise price of $11.06 per share;</w:t>
      </w:r>
    </w:p>
    <w:p>
      <w:pPr>
        <w:spacing w:after="0" w:line="221" w:lineRule="exact"/>
        <w:rPr>
          <w:rFonts w:ascii="Arial" w:cs="Arial" w:eastAsia="Arial" w:hAnsi="Arial"/>
          <w:sz w:val="18"/>
          <w:szCs w:val="18"/>
          <w:color w:val="3E5588"/>
        </w:rPr>
      </w:pPr>
    </w:p>
    <w:p>
      <w:pPr>
        <w:ind w:left="1080" w:hanging="532"/>
        <w:spacing w:after="0"/>
        <w:tabs>
          <w:tab w:leader="none" w:pos="1080" w:val="left"/>
        </w:tabs>
        <w:numPr>
          <w:ilvl w:val="0"/>
          <w:numId w:val="47"/>
        </w:numPr>
        <w:rPr>
          <w:rFonts w:ascii="Arial" w:cs="Arial" w:eastAsia="Arial" w:hAnsi="Arial"/>
          <w:sz w:val="18"/>
          <w:szCs w:val="18"/>
          <w:color w:val="3E5588"/>
        </w:rPr>
      </w:pPr>
      <w:r>
        <w:rPr>
          <w:rFonts w:ascii="Arial" w:cs="Arial" w:eastAsia="Arial" w:hAnsi="Arial"/>
          <w:sz w:val="18"/>
          <w:szCs w:val="18"/>
          <w:color w:val="3E5588"/>
        </w:rPr>
        <w:t>366,623 shares of common stock available for future issuance as of March 31, 2019 under our 2016 Plan; and</w:t>
      </w:r>
    </w:p>
    <w:p>
      <w:pPr>
        <w:spacing w:after="0" w:line="238" w:lineRule="exact"/>
        <w:rPr>
          <w:rFonts w:ascii="Arial" w:cs="Arial" w:eastAsia="Arial" w:hAnsi="Arial"/>
          <w:sz w:val="18"/>
          <w:szCs w:val="18"/>
          <w:color w:val="3E5588"/>
        </w:rPr>
      </w:pPr>
    </w:p>
    <w:p>
      <w:pPr>
        <w:jc w:val="both"/>
        <w:ind w:left="1080" w:hanging="532"/>
        <w:spacing w:after="0" w:line="255" w:lineRule="auto"/>
        <w:tabs>
          <w:tab w:leader="none" w:pos="1080" w:val="left"/>
        </w:tabs>
        <w:numPr>
          <w:ilvl w:val="0"/>
          <w:numId w:val="47"/>
        </w:numPr>
        <w:rPr>
          <w:rFonts w:ascii="Arial" w:cs="Arial" w:eastAsia="Arial" w:hAnsi="Arial"/>
          <w:sz w:val="18"/>
          <w:szCs w:val="18"/>
          <w:color w:val="3E5588"/>
        </w:rPr>
      </w:pPr>
      <w:r>
        <w:rPr>
          <w:rFonts w:ascii="Arial" w:cs="Arial" w:eastAsia="Arial" w:hAnsi="Arial"/>
          <w:sz w:val="18"/>
          <w:szCs w:val="18"/>
          <w:color w:val="3E5588"/>
        </w:rPr>
        <w:t>2,017,142 and 252,142 additional shares of our common stock available for future issuance under our 2019 Stock Incentive Plan, of which our board of directors has granted options to purchase an aggregate of 308,486 shares of common stock to certain of our employees and non-employee directors effective upon the commencement of trading of our common stock on the Nasdaq Global Market, and our 2019 Employee Stock Purchase Plan, respectively, as well as any automatic increases in the number of shares of common stock reserved for future issuance under these plans.</w:t>
      </w:r>
    </w:p>
    <w:p>
      <w:pPr>
        <w:spacing w:after="0" w:line="197" w:lineRule="exact"/>
        <w:rPr>
          <w:sz w:val="20"/>
          <w:szCs w:val="20"/>
          <w:color w:val="auto"/>
        </w:rPr>
      </w:pPr>
    </w:p>
    <w:p>
      <w:pPr>
        <w:jc w:val="both"/>
        <w:ind w:firstLine="404"/>
        <w:spacing w:after="0" w:line="298" w:lineRule="auto"/>
        <w:rPr>
          <w:sz w:val="20"/>
          <w:szCs w:val="20"/>
          <w:color w:val="auto"/>
        </w:rPr>
      </w:pPr>
      <w:r>
        <w:rPr>
          <w:rFonts w:ascii="Arial" w:cs="Arial" w:eastAsia="Arial" w:hAnsi="Arial"/>
          <w:sz w:val="16"/>
          <w:szCs w:val="16"/>
          <w:color w:val="3E5588"/>
        </w:rPr>
        <w:t>To the extent that outstanding stock options are exercised, new stock options are issued, or we issue additional shares of common stock in the future, there will be further dilution to investors purchasing shares of common stock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SELECTED CONSOLIDATED FINANCIAL DATA</w:t>
      </w:r>
    </w:p>
    <w:p>
      <w:pPr>
        <w:spacing w:after="0" w:line="231"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i w:val="1"/>
          <w:iCs w:val="1"/>
          <w:color w:val="3E5588"/>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years ended December 31, 2017 and 2018 and the consolidated balance sheet data as of December 31, 2017 and 2018 from our annual consolidated financial statements appearing at the end of this prospectus. The consolidated statement of operations data for the three months ended March 31, 2018 and 2019 and the consolidated balance sheet data as of March 31, 2019 have been derived from our interim consolidated financial statements appearing at the end of this prospectus and have been prepared on the same basis as the annual consolidated financial statements. In the opinion of management, the interim data reflect all normal recurring adjustments necessary for the fair presentation of the financial information in those statements. Our historical results are not necessarily indicative of the results that may be expected in the future, and our results for any interim period are not necessarily indicative of the results that should be expected for any full year or any other period.</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582"/>
              <w:spacing w:after="0"/>
              <w:rPr>
                <w:sz w:val="20"/>
                <w:szCs w:val="20"/>
                <w:color w:val="auto"/>
              </w:rPr>
            </w:pPr>
            <w:r>
              <w:rPr>
                <w:rFonts w:ascii="Arial" w:cs="Arial" w:eastAsia="Arial" w:hAnsi="Arial"/>
                <w:sz w:val="14"/>
                <w:szCs w:val="14"/>
                <w:b w:val="1"/>
                <w:bCs w:val="1"/>
                <w:color w:val="3E5588"/>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518"/>
              <w:spacing w:after="0"/>
              <w:rPr>
                <w:sz w:val="20"/>
                <w:szCs w:val="20"/>
                <w:color w:val="auto"/>
              </w:rPr>
            </w:pPr>
            <w:r>
              <w:rPr>
                <w:rFonts w:ascii="Arial" w:cs="Arial" w:eastAsia="Arial" w:hAnsi="Arial"/>
                <w:sz w:val="14"/>
                <w:szCs w:val="14"/>
                <w:b w:val="1"/>
                <w:bCs w:val="1"/>
                <w:color w:val="3E5588"/>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542"/>
              <w:spacing w:after="0"/>
              <w:rPr>
                <w:sz w:val="20"/>
                <w:szCs w:val="20"/>
                <w:color w:val="auto"/>
              </w:rPr>
            </w:pPr>
            <w:r>
              <w:rPr>
                <w:rFonts w:ascii="Arial" w:cs="Arial" w:eastAsia="Arial" w:hAnsi="Arial"/>
                <w:sz w:val="14"/>
                <w:szCs w:val="14"/>
                <w:b w:val="1"/>
                <w:bCs w:val="1"/>
                <w:color w:val="3E5588"/>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tcPr>
          <w:p>
            <w:pPr>
              <w:jc w:val="right"/>
              <w:ind w:right="418"/>
              <w:spacing w:after="0"/>
              <w:rPr>
                <w:sz w:val="20"/>
                <w:szCs w:val="20"/>
                <w:color w:val="auto"/>
              </w:rPr>
            </w:pPr>
            <w:r>
              <w:rPr>
                <w:rFonts w:ascii="Arial" w:cs="Arial" w:eastAsia="Arial" w:hAnsi="Arial"/>
                <w:sz w:val="14"/>
                <w:szCs w:val="14"/>
                <w:b w:val="1"/>
                <w:bCs w:val="1"/>
                <w:color w:val="3E5588"/>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8"/>
              <w:spacing w:after="0" w:line="142" w:lineRule="exact"/>
              <w:rPr>
                <w:sz w:val="20"/>
                <w:szCs w:val="20"/>
                <w:color w:val="auto"/>
              </w:rPr>
            </w:pPr>
            <w:r>
              <w:rPr>
                <w:rFonts w:ascii="Arial" w:cs="Arial" w:eastAsia="Arial" w:hAnsi="Arial"/>
                <w:sz w:val="14"/>
                <w:szCs w:val="14"/>
                <w:b w:val="1"/>
                <w:bCs w:val="1"/>
                <w:color w:val="3E5588"/>
              </w:rPr>
              <w:t>2017</w:t>
            </w:r>
          </w:p>
        </w:tc>
        <w:tc>
          <w:tcPr>
            <w:tcW w:w="100" w:type="dxa"/>
            <w:vAlign w:val="bottom"/>
            <w:tcBorders>
              <w:top w:val="single" w:sz="8" w:color="3E5588"/>
            </w:tcBorders>
          </w:tcPr>
          <w:p>
            <w:pPr>
              <w:spacing w:after="0"/>
              <w:rPr>
                <w:sz w:val="12"/>
                <w:szCs w:val="12"/>
                <w:color w:val="auto"/>
              </w:rPr>
            </w:pPr>
          </w:p>
        </w:tc>
        <w:tc>
          <w:tcPr>
            <w:tcW w:w="60" w:type="dxa"/>
            <w:vAlign w:val="bottom"/>
            <w:tcBorders>
              <w:top w:val="single" w:sz="8" w:color="3E5588"/>
            </w:tcBorders>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4"/>
              <w:spacing w:after="0" w:line="142" w:lineRule="exact"/>
              <w:rPr>
                <w:sz w:val="20"/>
                <w:szCs w:val="20"/>
                <w:color w:val="auto"/>
              </w:rPr>
            </w:pPr>
            <w:r>
              <w:rPr>
                <w:rFonts w:ascii="Arial" w:cs="Arial" w:eastAsia="Arial" w:hAnsi="Arial"/>
                <w:sz w:val="14"/>
                <w:szCs w:val="14"/>
                <w:b w:val="1"/>
                <w:bCs w:val="1"/>
                <w:color w:val="3E5588"/>
              </w:rPr>
              <w:t>2018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540" w:type="dxa"/>
            <w:vAlign w:val="bottom"/>
            <w:tcBorders>
              <w:top w:val="single" w:sz="8" w:color="3E5588"/>
              <w:bottom w:val="single" w:sz="8" w:color="3E5588"/>
            </w:tcBorders>
          </w:tcPr>
          <w:p>
            <w:pPr>
              <w:jc w:val="right"/>
              <w:ind w:right="137"/>
              <w:spacing w:after="0" w:line="142" w:lineRule="exact"/>
              <w:rPr>
                <w:sz w:val="20"/>
                <w:szCs w:val="20"/>
                <w:color w:val="auto"/>
              </w:rPr>
            </w:pPr>
            <w:r>
              <w:rPr>
                <w:rFonts w:ascii="Arial" w:cs="Arial" w:eastAsia="Arial" w:hAnsi="Arial"/>
                <w:sz w:val="14"/>
                <w:szCs w:val="14"/>
                <w:b w:val="1"/>
                <w:bCs w:val="1"/>
                <w:color w:val="3E5588"/>
                <w:w w:val="96"/>
              </w:rPr>
              <w:t>2018</w:t>
            </w:r>
          </w:p>
        </w:tc>
        <w:tc>
          <w:tcPr>
            <w:tcW w:w="140" w:type="dxa"/>
            <w:vAlign w:val="bottom"/>
            <w:tcBorders>
              <w:top w:val="single" w:sz="8" w:color="3E5588"/>
            </w:tcBorders>
          </w:tcPr>
          <w:p>
            <w:pPr>
              <w:spacing w:after="0"/>
              <w:rPr>
                <w:sz w:val="12"/>
                <w:szCs w:val="12"/>
                <w:color w:val="auto"/>
              </w:rPr>
            </w:pPr>
          </w:p>
        </w:tc>
        <w:tc>
          <w:tcPr>
            <w:tcW w:w="100" w:type="dxa"/>
            <w:vAlign w:val="bottom"/>
            <w:tcBorders>
              <w:top w:val="single" w:sz="8" w:color="3E5588"/>
            </w:tcBorders>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4"/>
              <w:spacing w:after="0" w:line="142" w:lineRule="exact"/>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80" w:type="dxa"/>
            <w:vAlign w:val="bottom"/>
            <w:gridSpan w:val="12"/>
          </w:tcPr>
          <w:p>
            <w:pPr>
              <w:jc w:val="right"/>
              <w:ind w:right="23"/>
              <w:spacing w:after="0" w:line="142" w:lineRule="exact"/>
              <w:rPr>
                <w:sz w:val="20"/>
                <w:szCs w:val="20"/>
                <w:color w:val="auto"/>
              </w:rPr>
            </w:pPr>
            <w:r>
              <w:rPr>
                <w:rFonts w:ascii="Arial" w:cs="Arial" w:eastAsia="Arial" w:hAnsi="Arial"/>
                <w:sz w:val="14"/>
                <w:szCs w:val="14"/>
                <w:b w:val="1"/>
                <w:bCs w:val="1"/>
                <w:color w:val="3E5588"/>
              </w:rPr>
              <w:t>(in thousands, except per share data)</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3E5588"/>
              </w:rPr>
              <w:t>Consolidated Statement of Operations Data:</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3E5588"/>
              </w:rPr>
              <w:t>Operating expenses: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Research and development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18,494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3E55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25,184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5,573</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34,629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3E5588"/>
              </w:rPr>
              <w:t>General and administrative</w:t>
            </w:r>
          </w:p>
        </w:tc>
        <w:tc>
          <w:tcPr>
            <w:tcW w:w="20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4,499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8,314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54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2,598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3E5588"/>
              </w:rPr>
              <w:t>Total operating expenses</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22,993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33,498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5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7,310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37,227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3E5588"/>
              </w:rPr>
              <w:t>Loss from operations</w:t>
            </w:r>
          </w:p>
        </w:tc>
        <w:tc>
          <w:tcPr>
            <w:tcW w:w="20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w w:val="89"/>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w w:val="89"/>
              </w:rPr>
              <w:t>(33,498)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54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w w:val="91"/>
              </w:rPr>
              <w:t>(7,310)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w w:val="89"/>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Other income,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ind w:left="160"/>
              <w:spacing w:after="0"/>
              <w:rPr>
                <w:sz w:val="20"/>
                <w:szCs w:val="20"/>
                <w:color w:val="auto"/>
              </w:rPr>
            </w:pPr>
            <w:r>
              <w:rPr>
                <w:rFonts w:ascii="Arial" w:cs="Arial" w:eastAsia="Arial" w:hAnsi="Arial"/>
                <w:sz w:val="18"/>
                <w:szCs w:val="18"/>
                <w:color w:val="3E5588"/>
              </w:rPr>
              <w:t>Interest income, net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58"/>
              <w:spacing w:after="0"/>
              <w:rPr>
                <w:sz w:val="20"/>
                <w:szCs w:val="20"/>
                <w:color w:val="auto"/>
              </w:rPr>
            </w:pPr>
            <w:r>
              <w:rPr>
                <w:rFonts w:ascii="Arial" w:cs="Arial" w:eastAsia="Arial" w:hAnsi="Arial"/>
                <w:sz w:val="18"/>
                <w:szCs w:val="18"/>
                <w:color w:val="3E5588"/>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377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Other income</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392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5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3E5588"/>
              </w:rPr>
              <w:t>Net loss and comprehensive loss</w:t>
            </w:r>
          </w:p>
        </w:tc>
        <w:tc>
          <w:tcPr>
            <w:tcW w:w="200" w:type="dxa"/>
            <w:vAlign w:val="bottom"/>
          </w:tcPr>
          <w:p>
            <w:pPr>
              <w:spacing w:after="0"/>
              <w:rPr>
                <w:sz w:val="18"/>
                <w:szCs w:val="18"/>
                <w:color w:val="auto"/>
              </w:rPr>
            </w:pPr>
          </w:p>
        </w:tc>
        <w:tc>
          <w:tcPr>
            <w:tcW w:w="14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w w:val="98"/>
              </w:rPr>
              <w:t>(22,964</w:t>
            </w:r>
          </w:p>
        </w:tc>
        <w:tc>
          <w:tcPr>
            <w:tcW w:w="100" w:type="dxa"/>
            <w:vAlign w:val="bottom"/>
          </w:tcPr>
          <w:p>
            <w:pPr>
              <w:jc w:val="right"/>
              <w:spacing w:after="0"/>
              <w:rPr>
                <w:sz w:val="20"/>
                <w:szCs w:val="20"/>
                <w:color w:val="auto"/>
              </w:rPr>
            </w:pPr>
            <w:r>
              <w:rPr>
                <w:rFonts w:ascii="Arial" w:cs="Arial" w:eastAsia="Arial" w:hAnsi="Arial"/>
                <w:sz w:val="16"/>
                <w:szCs w:val="16"/>
                <w:color w:val="3E5588"/>
                <w:w w:val="74"/>
              </w:rPr>
              <w:t>)</w:t>
            </w:r>
          </w:p>
        </w:tc>
        <w:tc>
          <w:tcPr>
            <w:tcW w:w="60" w:type="dxa"/>
            <w:vAlign w:val="bottom"/>
          </w:tcPr>
          <w:p>
            <w:pPr>
              <w:spacing w:after="0"/>
              <w:rPr>
                <w:sz w:val="18"/>
                <w:szCs w:val="18"/>
                <w:color w:val="auto"/>
              </w:rPr>
            </w:pPr>
          </w:p>
        </w:tc>
        <w:tc>
          <w:tcPr>
            <w:tcW w:w="160" w:type="dxa"/>
            <w:vAlign w:val="bottom"/>
            <w:tcBorders>
              <w:bottom w:val="single" w:sz="8" w:color="3E5588"/>
            </w:tcBorders>
          </w:tcPr>
          <w:p>
            <w:pPr>
              <w:jc w:val="right"/>
              <w:ind w:right="3"/>
              <w:spacing w:after="0"/>
              <w:rPr>
                <w:sz w:val="20"/>
                <w:szCs w:val="20"/>
                <w:color w:val="auto"/>
              </w:rPr>
            </w:pPr>
            <w:r>
              <w:rPr>
                <w:rFonts w:ascii="Arial" w:cs="Arial" w:eastAsia="Arial" w:hAnsi="Arial"/>
                <w:sz w:val="15"/>
                <w:szCs w:val="15"/>
                <w:color w:val="3E5588"/>
                <w:w w:val="71"/>
              </w:rPr>
              <w:t>$</w:t>
            </w: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w w:val="94"/>
              </w:rPr>
              <w:t>(32,588</w:t>
            </w:r>
          </w:p>
        </w:tc>
        <w:tc>
          <w:tcPr>
            <w:tcW w:w="100" w:type="dxa"/>
            <w:vAlign w:val="bottom"/>
          </w:tcPr>
          <w:p>
            <w:pPr>
              <w:jc w:val="right"/>
              <w:ind w:right="22"/>
              <w:spacing w:after="0"/>
              <w:rPr>
                <w:sz w:val="20"/>
                <w:szCs w:val="20"/>
                <w:color w:val="auto"/>
              </w:rPr>
            </w:pPr>
            <w:r>
              <w:rPr>
                <w:rFonts w:ascii="Arial" w:cs="Arial" w:eastAsia="Arial" w:hAnsi="Arial"/>
                <w:sz w:val="8"/>
                <w:szCs w:val="8"/>
                <w:color w:val="3E5588"/>
                <w:w w:val="73"/>
              </w:rPr>
              <w:t>)</w:t>
            </w:r>
          </w:p>
        </w:tc>
        <w:tc>
          <w:tcPr>
            <w:tcW w:w="60" w:type="dxa"/>
            <w:vAlign w:val="bottom"/>
          </w:tcPr>
          <w:p>
            <w:pPr>
              <w:spacing w:after="0"/>
              <w:rPr>
                <w:sz w:val="18"/>
                <w:szCs w:val="18"/>
                <w:color w:val="auto"/>
              </w:rPr>
            </w:pPr>
          </w:p>
        </w:tc>
        <w:tc>
          <w:tcPr>
            <w:tcW w:w="14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54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(6,940</w:t>
            </w:r>
          </w:p>
        </w:tc>
        <w:tc>
          <w:tcPr>
            <w:tcW w:w="140" w:type="dxa"/>
            <w:vAlign w:val="bottom"/>
          </w:tcPr>
          <w:p>
            <w:pPr>
              <w:jc w:val="right"/>
              <w:spacing w:after="0"/>
              <w:rPr>
                <w:sz w:val="20"/>
                <w:szCs w:val="20"/>
                <w:color w:val="auto"/>
              </w:rPr>
            </w:pPr>
            <w:r>
              <w:rPr>
                <w:rFonts w:ascii="Arial" w:cs="Arial" w:eastAsia="Arial" w:hAnsi="Arial"/>
                <w:sz w:val="16"/>
                <w:szCs w:val="16"/>
                <w:color w:val="3E5588"/>
                <w:w w:val="74"/>
              </w:rPr>
              <w:t>)</w:t>
            </w:r>
          </w:p>
        </w:tc>
        <w:tc>
          <w:tcPr>
            <w:tcW w:w="100" w:type="dxa"/>
            <w:vAlign w:val="bottom"/>
          </w:tcPr>
          <w:p>
            <w:pPr>
              <w:spacing w:after="0"/>
              <w:rPr>
                <w:sz w:val="18"/>
                <w:szCs w:val="18"/>
                <w:color w:val="auto"/>
              </w:rPr>
            </w:pPr>
          </w:p>
        </w:tc>
        <w:tc>
          <w:tcPr>
            <w:tcW w:w="14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w w:val="98"/>
              </w:rPr>
              <w:t>(36,843</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540" w:type="dxa"/>
            <w:vAlign w:val="bottom"/>
            <w:tcBorders>
              <w:bottom w:val="single" w:sz="8" w:color="3E5588"/>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3E5588"/>
              </w:rPr>
              <w:t>Cumulative convertible preferred stock dividends</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3E5588"/>
              </w:rPr>
              <w:t>$</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3E5588"/>
              </w:rPr>
              <w:t>(2,407)</w:t>
            </w: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3E5588"/>
              </w:rPr>
              <w:t>$</w:t>
            </w:r>
          </w:p>
        </w:tc>
        <w:tc>
          <w:tcPr>
            <w:tcW w:w="720" w:type="dxa"/>
            <w:vAlign w:val="bottom"/>
            <w:gridSpan w:val="2"/>
            <w:shd w:val="clear" w:color="auto" w:fill="CCEEFF"/>
          </w:tcPr>
          <w:p>
            <w:pPr>
              <w:jc w:val="right"/>
              <w:ind w:right="22"/>
              <w:spacing w:after="0" w:line="196" w:lineRule="exact"/>
              <w:rPr>
                <w:sz w:val="20"/>
                <w:szCs w:val="20"/>
                <w:color w:val="auto"/>
              </w:rPr>
            </w:pPr>
            <w:r>
              <w:rPr>
                <w:rFonts w:ascii="Arial" w:cs="Arial" w:eastAsia="Arial" w:hAnsi="Arial"/>
                <w:sz w:val="18"/>
                <w:szCs w:val="18"/>
                <w:color w:val="3E5588"/>
              </w:rPr>
              <w:t>(6,559)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3E5588"/>
              </w:rPr>
              <w:t>(828)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
              <w:spacing w:after="0" w:line="196" w:lineRule="exact"/>
              <w:rPr>
                <w:sz w:val="20"/>
                <w:szCs w:val="20"/>
                <w:color w:val="auto"/>
              </w:rPr>
            </w:pPr>
            <w:r>
              <w:rPr>
                <w:rFonts w:ascii="Arial" w:cs="Arial" w:eastAsia="Arial" w:hAnsi="Arial"/>
                <w:sz w:val="18"/>
                <w:szCs w:val="18"/>
                <w:color w:val="3E5588"/>
              </w:rPr>
              <w:t>(3,041)</w:t>
            </w:r>
          </w:p>
        </w:tc>
        <w:tc>
          <w:tcPr>
            <w:tcW w:w="0" w:type="dxa"/>
            <w:vAlign w:val="bottom"/>
          </w:tcPr>
          <w:p>
            <w:pPr>
              <w:spacing w:after="0"/>
              <w:rPr>
                <w:sz w:val="1"/>
                <w:szCs w:val="1"/>
                <w:color w:val="auto"/>
              </w:rPr>
            </w:pPr>
          </w:p>
        </w:tc>
      </w:tr>
      <w:tr>
        <w:trPr>
          <w:trHeight w:val="210"/>
        </w:trPr>
        <w:tc>
          <w:tcPr>
            <w:tcW w:w="5240" w:type="dxa"/>
            <w:vAlign w:val="bottom"/>
            <w:gridSpan w:val="3"/>
          </w:tcPr>
          <w:p>
            <w:pPr>
              <w:spacing w:after="0"/>
              <w:rPr>
                <w:sz w:val="20"/>
                <w:szCs w:val="20"/>
                <w:color w:val="auto"/>
              </w:rPr>
            </w:pPr>
            <w:r>
              <w:rPr>
                <w:rFonts w:ascii="Arial" w:cs="Arial" w:eastAsia="Arial" w:hAnsi="Arial"/>
                <w:sz w:val="18"/>
                <w:szCs w:val="18"/>
                <w:color w:val="3E5588"/>
              </w:rPr>
              <w:t>Net loss attributable to common stockholders</w:t>
            </w:r>
          </w:p>
        </w:tc>
        <w:tc>
          <w:tcPr>
            <w:tcW w:w="200" w:type="dxa"/>
            <w:vAlign w:val="bottom"/>
          </w:tcPr>
          <w:p>
            <w:pPr>
              <w:spacing w:after="0"/>
              <w:rPr>
                <w:sz w:val="18"/>
                <w:szCs w:val="18"/>
                <w:color w:val="auto"/>
              </w:rPr>
            </w:pPr>
          </w:p>
        </w:tc>
        <w:tc>
          <w:tcPr>
            <w:tcW w:w="1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8"/>
              </w:rPr>
              <w:t>(25,371</w:t>
            </w:r>
          </w:p>
        </w:tc>
        <w:tc>
          <w:tcPr>
            <w:tcW w:w="100" w:type="dxa"/>
            <w:vAlign w:val="bottom"/>
          </w:tcPr>
          <w:p>
            <w:pPr>
              <w:jc w:val="right"/>
              <w:spacing w:after="0"/>
              <w:rPr>
                <w:sz w:val="20"/>
                <w:szCs w:val="20"/>
                <w:color w:val="auto"/>
              </w:rPr>
            </w:pPr>
            <w:r>
              <w:rPr>
                <w:rFonts w:ascii="Arial" w:cs="Arial" w:eastAsia="Arial" w:hAnsi="Arial"/>
                <w:sz w:val="16"/>
                <w:szCs w:val="16"/>
                <w:color w:val="3E5588"/>
                <w:w w:val="74"/>
              </w:rPr>
              <w:t>)</w:t>
            </w:r>
          </w:p>
        </w:tc>
        <w:tc>
          <w:tcPr>
            <w:tcW w:w="60" w:type="dxa"/>
            <w:vAlign w:val="bottom"/>
          </w:tcPr>
          <w:p>
            <w:pPr>
              <w:spacing w:after="0"/>
              <w:rPr>
                <w:sz w:val="18"/>
                <w:szCs w:val="18"/>
                <w:color w:val="auto"/>
              </w:rPr>
            </w:pPr>
          </w:p>
        </w:tc>
        <w:tc>
          <w:tcPr>
            <w:tcW w:w="160" w:type="dxa"/>
            <w:vAlign w:val="bottom"/>
            <w:tcBorders>
              <w:top w:val="single" w:sz="8" w:color="3E5588"/>
              <w:bottom w:val="single" w:sz="8" w:color="3E5588"/>
            </w:tcBorders>
          </w:tcPr>
          <w:p>
            <w:pPr>
              <w:jc w:val="right"/>
              <w:ind w:right="3"/>
              <w:spacing w:after="0"/>
              <w:rPr>
                <w:sz w:val="20"/>
                <w:szCs w:val="20"/>
                <w:color w:val="auto"/>
              </w:rPr>
            </w:pPr>
            <w:r>
              <w:rPr>
                <w:rFonts w:ascii="Arial" w:cs="Arial" w:eastAsia="Arial" w:hAnsi="Arial"/>
                <w:sz w:val="15"/>
                <w:szCs w:val="15"/>
                <w:color w:val="3E5588"/>
                <w:w w:val="71"/>
              </w:rPr>
              <w:t>$</w:t>
            </w: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4"/>
              </w:rPr>
              <w:t>(39,147</w:t>
            </w:r>
          </w:p>
        </w:tc>
        <w:tc>
          <w:tcPr>
            <w:tcW w:w="100" w:type="dxa"/>
            <w:vAlign w:val="bottom"/>
          </w:tcPr>
          <w:p>
            <w:pPr>
              <w:jc w:val="right"/>
              <w:ind w:right="22"/>
              <w:spacing w:after="0"/>
              <w:rPr>
                <w:sz w:val="20"/>
                <w:szCs w:val="20"/>
                <w:color w:val="auto"/>
              </w:rPr>
            </w:pPr>
            <w:r>
              <w:rPr>
                <w:rFonts w:ascii="Arial" w:cs="Arial" w:eastAsia="Arial" w:hAnsi="Arial"/>
                <w:sz w:val="8"/>
                <w:szCs w:val="8"/>
                <w:color w:val="3E5588"/>
                <w:w w:val="73"/>
              </w:rPr>
              <w:t>)</w:t>
            </w:r>
          </w:p>
        </w:tc>
        <w:tc>
          <w:tcPr>
            <w:tcW w:w="60" w:type="dxa"/>
            <w:vAlign w:val="bottom"/>
          </w:tcPr>
          <w:p>
            <w:pPr>
              <w:spacing w:after="0"/>
              <w:rPr>
                <w:sz w:val="18"/>
                <w:szCs w:val="18"/>
                <w:color w:val="auto"/>
              </w:rPr>
            </w:pPr>
          </w:p>
        </w:tc>
        <w:tc>
          <w:tcPr>
            <w:tcW w:w="1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5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(7,768</w:t>
            </w:r>
          </w:p>
        </w:tc>
        <w:tc>
          <w:tcPr>
            <w:tcW w:w="140" w:type="dxa"/>
            <w:vAlign w:val="bottom"/>
          </w:tcPr>
          <w:p>
            <w:pPr>
              <w:jc w:val="right"/>
              <w:spacing w:after="0"/>
              <w:rPr>
                <w:sz w:val="20"/>
                <w:szCs w:val="20"/>
                <w:color w:val="auto"/>
              </w:rPr>
            </w:pPr>
            <w:r>
              <w:rPr>
                <w:rFonts w:ascii="Arial" w:cs="Arial" w:eastAsia="Arial" w:hAnsi="Arial"/>
                <w:sz w:val="16"/>
                <w:szCs w:val="16"/>
                <w:color w:val="3E5588"/>
                <w:w w:val="74"/>
              </w:rPr>
              <w:t>)</w:t>
            </w:r>
          </w:p>
        </w:tc>
        <w:tc>
          <w:tcPr>
            <w:tcW w:w="100" w:type="dxa"/>
            <w:vAlign w:val="bottom"/>
          </w:tcPr>
          <w:p>
            <w:pPr>
              <w:spacing w:after="0"/>
              <w:rPr>
                <w:sz w:val="18"/>
                <w:szCs w:val="18"/>
                <w:color w:val="auto"/>
              </w:rPr>
            </w:pPr>
          </w:p>
        </w:tc>
        <w:tc>
          <w:tcPr>
            <w:tcW w:w="1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8"/>
              </w:rPr>
              <w:t>(39,884</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540" w:type="dxa"/>
            <w:vAlign w:val="bottom"/>
            <w:tcBorders>
              <w:bottom w:val="single" w:sz="8" w:color="3E5588"/>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E5588"/>
                <w:w w:val="98"/>
              </w:rPr>
              <w:t>Net loss per share attributable to common stockholders, basic and</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3E5588"/>
              </w:rPr>
              <w:t>diluted</w:t>
            </w:r>
            <w:r>
              <w:rPr>
                <w:rFonts w:ascii="Arial" w:cs="Arial" w:eastAsia="Arial" w:hAnsi="Arial"/>
                <w:sz w:val="29"/>
                <w:szCs w:val="29"/>
                <w:color w:val="3E5588"/>
                <w:vertAlign w:val="superscript"/>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(35.68)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3E5588"/>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rPr>
              <w:t>(31.14)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(7.62)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rPr>
              <w:t>(24.29)</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3E5588"/>
                <w:w w:val="90"/>
              </w:rPr>
              <w:t>Weighted average number of common shares used in net loss per share</w:t>
            </w:r>
          </w:p>
        </w:tc>
        <w:tc>
          <w:tcPr>
            <w:tcW w:w="20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540" w:type="dxa"/>
            <w:vAlign w:val="bottom"/>
            <w:tcBorders>
              <w:top w:val="single" w:sz="8" w:color="3E5588"/>
              <w:bottom w:val="single" w:sz="8" w:color="3E5588"/>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ind w:left="160"/>
              <w:spacing w:after="0" w:line="263" w:lineRule="exact"/>
              <w:rPr>
                <w:sz w:val="20"/>
                <w:szCs w:val="20"/>
                <w:color w:val="auto"/>
              </w:rPr>
            </w:pPr>
            <w:r>
              <w:rPr>
                <w:rFonts w:ascii="Arial" w:cs="Arial" w:eastAsia="Arial" w:hAnsi="Arial"/>
                <w:sz w:val="18"/>
                <w:szCs w:val="18"/>
                <w:color w:val="3E5588"/>
              </w:rPr>
              <w:t>attributable to common stockholders, basic and diluted</w:t>
            </w:r>
            <w:r>
              <w:rPr>
                <w:rFonts w:ascii="Arial" w:cs="Arial" w:eastAsia="Arial" w:hAnsi="Arial"/>
                <w:sz w:val="29"/>
                <w:szCs w:val="29"/>
                <w:color w:val="3E5588"/>
                <w:vertAlign w:val="superscript"/>
              </w:rPr>
              <w:t>(1)</w:t>
            </w:r>
          </w:p>
        </w:tc>
        <w:tc>
          <w:tcPr>
            <w:tcW w:w="200" w:type="dxa"/>
            <w:vAlign w:val="bottom"/>
          </w:tcPr>
          <w:p>
            <w:pPr>
              <w:spacing w:after="0"/>
              <w:rPr>
                <w:sz w:val="22"/>
                <w:szCs w:val="22"/>
                <w:color w:val="auto"/>
              </w:rPr>
            </w:pPr>
          </w:p>
        </w:tc>
        <w:tc>
          <w:tcPr>
            <w:tcW w:w="140" w:type="dxa"/>
            <w:vAlign w:val="bottom"/>
            <w:tcBorders>
              <w:bottom w:val="single" w:sz="8" w:color="3E5588"/>
            </w:tcBorders>
          </w:tcPr>
          <w:p>
            <w:pPr>
              <w:spacing w:after="0"/>
              <w:rPr>
                <w:sz w:val="22"/>
                <w:szCs w:val="22"/>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711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3E5588"/>
            </w:tcBorders>
          </w:tcPr>
          <w:p>
            <w:pPr>
              <w:spacing w:after="0"/>
              <w:rPr>
                <w:sz w:val="22"/>
                <w:szCs w:val="22"/>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1,257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3E5588"/>
            </w:tcBorders>
          </w:tcPr>
          <w:p>
            <w:pPr>
              <w:spacing w:after="0"/>
              <w:rPr>
                <w:sz w:val="22"/>
                <w:szCs w:val="22"/>
                <w:color w:val="auto"/>
              </w:rPr>
            </w:pPr>
          </w:p>
        </w:tc>
        <w:tc>
          <w:tcPr>
            <w:tcW w:w="54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1,019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3E5588"/>
            </w:tcBorders>
          </w:tcPr>
          <w:p>
            <w:pPr>
              <w:spacing w:after="0"/>
              <w:rPr>
                <w:sz w:val="22"/>
                <w:szCs w:val="22"/>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1,642</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540" w:type="dxa"/>
            <w:vAlign w:val="bottom"/>
            <w:tcBorders>
              <w:bottom w:val="single" w:sz="8" w:color="3E5588"/>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3E5588"/>
                <w:w w:val="90"/>
              </w:rPr>
              <w:t>Pro forma net loss per share attributable to common stockholders, basic</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3E5588"/>
              </w:rPr>
              <w:t>and diluted</w:t>
            </w:r>
            <w:r>
              <w:rPr>
                <w:rFonts w:ascii="Arial" w:cs="Arial" w:eastAsia="Arial" w:hAnsi="Arial"/>
                <w:sz w:val="29"/>
                <w:szCs w:val="29"/>
                <w:color w:val="3E5588"/>
                <w:vertAlign w:val="superscript"/>
              </w:rPr>
              <w:t>(1)</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3E5588"/>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rPr>
              <w:t>(2.98)</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rPr>
              <w:t>(2.17)</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3E5588"/>
                <w:w w:val="90"/>
              </w:rPr>
              <w:t>Pro forma weighted average number of common shares used in net loss</w:t>
            </w: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4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20" w:type="dxa"/>
            <w:vAlign w:val="bottom"/>
            <w:gridSpan w:val="2"/>
          </w:tcPr>
          <w:p>
            <w:pPr>
              <w:ind w:left="160"/>
              <w:spacing w:after="0" w:line="263" w:lineRule="exact"/>
              <w:rPr>
                <w:sz w:val="20"/>
                <w:szCs w:val="20"/>
                <w:color w:val="auto"/>
              </w:rPr>
            </w:pPr>
            <w:r>
              <w:rPr>
                <w:rFonts w:ascii="Arial" w:cs="Arial" w:eastAsia="Arial" w:hAnsi="Arial"/>
                <w:sz w:val="18"/>
                <w:szCs w:val="18"/>
                <w:color w:val="3E5588"/>
                <w:w w:val="93"/>
              </w:rPr>
              <w:t>per share attributable to common stockholders, basic and diluted</w:t>
            </w:r>
            <w:r>
              <w:rPr>
                <w:rFonts w:ascii="Arial" w:cs="Arial" w:eastAsia="Arial" w:hAnsi="Arial"/>
                <w:sz w:val="29"/>
                <w:szCs w:val="29"/>
                <w:color w:val="3E5588"/>
                <w:w w:val="93"/>
                <w:vertAlign w:val="superscript"/>
              </w:rPr>
              <w:t>(1)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3E5588"/>
            </w:tcBorders>
          </w:tcPr>
          <w:p>
            <w:pPr>
              <w:spacing w:after="0"/>
              <w:rPr>
                <w:sz w:val="22"/>
                <w:szCs w:val="22"/>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10,951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3E5588"/>
            </w:tcBorders>
          </w:tcPr>
          <w:p>
            <w:pPr>
              <w:spacing w:after="0"/>
              <w:rPr>
                <w:sz w:val="22"/>
                <w:szCs w:val="22"/>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16,940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3E5588"/>
            </w:tcBorders>
          </w:tcPr>
          <w:p>
            <w:pPr>
              <w:spacing w:after="0"/>
              <w:rPr>
                <w:sz w:val="7"/>
                <w:szCs w:val="7"/>
                <w:color w:val="auto"/>
              </w:rPr>
            </w:pPr>
          </w:p>
        </w:tc>
        <w:tc>
          <w:tcPr>
            <w:tcW w:w="4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48"/>
        </w:numPr>
        <w:rPr>
          <w:rFonts w:ascii="Arial" w:cs="Arial" w:eastAsia="Arial" w:hAnsi="Arial"/>
          <w:sz w:val="18"/>
          <w:szCs w:val="18"/>
          <w:color w:val="3E5588"/>
        </w:rPr>
      </w:pPr>
      <w:r>
        <w:rPr>
          <w:rFonts w:ascii="Arial" w:cs="Arial" w:eastAsia="Arial" w:hAnsi="Arial"/>
          <w:sz w:val="18"/>
          <w:szCs w:val="18"/>
          <w:color w:val="3E5588"/>
        </w:rPr>
        <w:t>See Note 12 to our annual and interim consolidated financial statements appearing at the end of this prospectus for details on the calculation of basic and diluted net loss per share attributable to common stockholders and unaudited basic and diluted pro forma net loss per share attributable to common stockholders.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3E5588"/>
                <w:w w:val="95"/>
              </w:rPr>
              <w:t>As of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jc w:val="center"/>
              <w:ind w:right="1380"/>
              <w:spacing w:after="0"/>
              <w:rPr>
                <w:sz w:val="20"/>
                <w:szCs w:val="20"/>
                <w:color w:val="auto"/>
              </w:rPr>
            </w:pPr>
            <w:r>
              <w:rPr>
                <w:rFonts w:ascii="Arial" w:cs="Arial" w:eastAsia="Arial" w:hAnsi="Arial"/>
                <w:sz w:val="14"/>
                <w:szCs w:val="14"/>
                <w:b w:val="1"/>
                <w:bCs w:val="1"/>
                <w:color w:val="3E5588"/>
                <w:w w:val="85"/>
              </w:rPr>
              <w:t>As of</w:t>
            </w: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restart"/>
          </w:tcPr>
          <w:p>
            <w:pPr>
              <w:jc w:val="center"/>
              <w:ind w:right="1380"/>
              <w:spacing w:after="0" w:line="149" w:lineRule="exact"/>
              <w:rPr>
                <w:sz w:val="20"/>
                <w:szCs w:val="20"/>
                <w:color w:val="auto"/>
              </w:rPr>
            </w:pPr>
            <w:r>
              <w:rPr>
                <w:rFonts w:ascii="Arial" w:cs="Arial" w:eastAsia="Arial" w:hAnsi="Arial"/>
                <w:sz w:val="14"/>
                <w:szCs w:val="14"/>
                <w:b w:val="1"/>
                <w:bCs w:val="1"/>
                <w:color w:val="3E5588"/>
                <w:w w:val="89"/>
              </w:rPr>
              <w:t>March 31,</w:t>
            </w:r>
          </w:p>
        </w:tc>
        <w:tc>
          <w:tcPr>
            <w:tcW w:w="0" w:type="dxa"/>
            <w:vAlign w:val="bottom"/>
          </w:tcPr>
          <w:p>
            <w:pPr>
              <w:spacing w:after="0"/>
              <w:rPr>
                <w:sz w:val="1"/>
                <w:szCs w:val="1"/>
                <w:color w:val="auto"/>
              </w:rPr>
            </w:pPr>
          </w:p>
        </w:tc>
      </w:tr>
      <w:tr>
        <w:trPr>
          <w:trHeight w:val="62"/>
        </w:trPr>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3E5588"/>
            </w:tcBorders>
          </w:tcPr>
          <w:p>
            <w:pPr>
              <w:spacing w:after="0"/>
              <w:rPr>
                <w:sz w:val="5"/>
                <w:szCs w:val="5"/>
                <w:color w:val="auto"/>
              </w:rPr>
            </w:pPr>
          </w:p>
        </w:tc>
        <w:tc>
          <w:tcPr>
            <w:tcW w:w="620" w:type="dxa"/>
            <w:vAlign w:val="bottom"/>
            <w:tcBorders>
              <w:top w:val="single" w:sz="8" w:color="3E5588"/>
            </w:tcBorders>
          </w:tcPr>
          <w:p>
            <w:pPr>
              <w:spacing w:after="0"/>
              <w:rPr>
                <w:sz w:val="5"/>
                <w:szCs w:val="5"/>
                <w:color w:val="auto"/>
              </w:rPr>
            </w:pPr>
          </w:p>
        </w:tc>
        <w:tc>
          <w:tcPr>
            <w:tcW w:w="80" w:type="dxa"/>
            <w:vAlign w:val="bottom"/>
            <w:tcBorders>
              <w:top w:val="single" w:sz="8" w:color="3E5588"/>
            </w:tcBorders>
          </w:tcPr>
          <w:p>
            <w:pPr>
              <w:spacing w:after="0"/>
              <w:rPr>
                <w:sz w:val="5"/>
                <w:szCs w:val="5"/>
                <w:color w:val="auto"/>
              </w:rPr>
            </w:pPr>
          </w:p>
        </w:tc>
        <w:tc>
          <w:tcPr>
            <w:tcW w:w="80" w:type="dxa"/>
            <w:vAlign w:val="bottom"/>
            <w:tcBorders>
              <w:top w:val="single" w:sz="8" w:color="3E5588"/>
            </w:tcBorders>
          </w:tcPr>
          <w:p>
            <w:pPr>
              <w:spacing w:after="0"/>
              <w:rPr>
                <w:sz w:val="5"/>
                <w:szCs w:val="5"/>
                <w:color w:val="auto"/>
              </w:rPr>
            </w:pPr>
          </w:p>
        </w:tc>
        <w:tc>
          <w:tcPr>
            <w:tcW w:w="780" w:type="dxa"/>
            <w:vAlign w:val="bottom"/>
            <w:tcBorders>
              <w:top w:val="single" w:sz="8" w:color="3E5588"/>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8"/>
              <w:spacing w:after="0"/>
              <w:rPr>
                <w:sz w:val="20"/>
                <w:szCs w:val="20"/>
                <w:color w:val="auto"/>
              </w:rPr>
            </w:pPr>
            <w:r>
              <w:rPr>
                <w:rFonts w:ascii="Arial" w:cs="Arial" w:eastAsia="Arial" w:hAnsi="Arial"/>
                <w:sz w:val="14"/>
                <w:szCs w:val="14"/>
                <w:b w:val="1"/>
                <w:bCs w:val="1"/>
                <w:color w:val="3E5588"/>
              </w:rPr>
              <w:t>2017</w:t>
            </w:r>
          </w:p>
        </w:tc>
        <w:tc>
          <w:tcPr>
            <w:tcW w:w="80" w:type="dxa"/>
            <w:vAlign w:val="bottom"/>
          </w:tcPr>
          <w:p>
            <w:pPr>
              <w:spacing w:after="0"/>
              <w:rPr>
                <w:sz w:val="14"/>
                <w:szCs w:val="14"/>
                <w:color w:val="auto"/>
              </w:rPr>
            </w:pPr>
          </w:p>
        </w:tc>
        <w:tc>
          <w:tcPr>
            <w:tcW w:w="8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3E5588"/>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3E5588"/>
                <w:w w:val="83"/>
              </w:rPr>
              <w:t>2019</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3E5588"/>
            </w:tcBorders>
          </w:tcPr>
          <w:p>
            <w:pPr>
              <w:spacing w:after="0"/>
              <w:rPr>
                <w:sz w:val="12"/>
                <w:szCs w:val="12"/>
                <w:color w:val="auto"/>
              </w:rPr>
            </w:pPr>
          </w:p>
        </w:tc>
        <w:tc>
          <w:tcPr>
            <w:tcW w:w="620" w:type="dxa"/>
            <w:vAlign w:val="bottom"/>
            <w:tcBorders>
              <w:top w:val="single" w:sz="8" w:color="3E5588"/>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3E5588"/>
            </w:tcBorders>
          </w:tcPr>
          <w:p>
            <w:pPr>
              <w:jc w:val="right"/>
              <w:spacing w:after="0" w:line="142" w:lineRule="exact"/>
              <w:rPr>
                <w:sz w:val="20"/>
                <w:szCs w:val="20"/>
                <w:color w:val="auto"/>
              </w:rPr>
            </w:pPr>
            <w:r>
              <w:rPr>
                <w:rFonts w:ascii="Arial" w:cs="Arial" w:eastAsia="Arial" w:hAnsi="Arial"/>
                <w:sz w:val="14"/>
                <w:szCs w:val="14"/>
                <w:b w:val="1"/>
                <w:bCs w:val="1"/>
                <w:color w:val="3E5588"/>
                <w:w w:val="78"/>
              </w:rPr>
              <w:t>(in 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3E5588"/>
            </w:tcBorders>
          </w:tcPr>
          <w:p>
            <w:pPr>
              <w:spacing w:after="0"/>
              <w:rPr>
                <w:sz w:val="12"/>
                <w:szCs w:val="12"/>
                <w:color w:val="auto"/>
              </w:rPr>
            </w:pPr>
          </w:p>
        </w:tc>
        <w:tc>
          <w:tcPr>
            <w:tcW w:w="700" w:type="dxa"/>
            <w:vAlign w:val="bottom"/>
            <w:tcBorders>
              <w:top w:val="single" w:sz="8" w:color="3E5588"/>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3E5588"/>
              </w:rPr>
              <w:t>Consolidated Balance Sheet Data:</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3E5588"/>
              </w:rPr>
              <w:t>Cash and cash equivalents</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407</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3E5588"/>
              </w:rPr>
              <w:t>$   72,797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700" w:type="dxa"/>
            <w:vAlign w:val="bottom"/>
          </w:tcPr>
          <w:p>
            <w:pPr>
              <w:jc w:val="right"/>
              <w:spacing w:after="0"/>
              <w:rPr>
                <w:sz w:val="20"/>
                <w:szCs w:val="20"/>
                <w:color w:val="auto"/>
              </w:rPr>
            </w:pPr>
            <w:r>
              <w:rPr>
                <w:rFonts w:ascii="Arial" w:cs="Arial" w:eastAsia="Arial" w:hAnsi="Arial"/>
                <w:sz w:val="18"/>
                <w:szCs w:val="18"/>
                <w:color w:val="3E5588"/>
              </w:rPr>
              <w:t>62,452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4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3E5588"/>
              </w:rPr>
              <w:t>Working (deficit) capital</w:t>
            </w:r>
            <w:r>
              <w:rPr>
                <w:rFonts w:ascii="Arial" w:cs="Arial" w:eastAsia="Arial" w:hAnsi="Arial"/>
                <w:sz w:val="29"/>
                <w:szCs w:val="29"/>
                <w:color w:val="3E5588"/>
                <w:vertAlign w:val="superscript"/>
              </w:rPr>
              <w:t>(1)</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(1,447)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69,866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59,306</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3E5588"/>
              </w:rPr>
              <w:t>Total assets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4,340</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3E5588"/>
              </w:rPr>
              <w:t>85,771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75,588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Convertible preferred stock</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34,587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139,670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165,136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3E5588"/>
              </w:rPr>
              <w:t>Total stockholders' deficit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3E5588"/>
                <w:w w:val="95"/>
              </w:rPr>
              <w:t>(33,265)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3E5588"/>
              </w:rPr>
              <w:t>(63,670)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3E5588"/>
              </w:rPr>
              <w:t>(99,687)</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40" w:type="dxa"/>
            <w:vAlign w:val="bottom"/>
          </w:tcPr>
          <w:p>
            <w:pPr>
              <w:spacing w:after="0"/>
              <w:rPr>
                <w:sz w:val="8"/>
                <w:szCs w:val="8"/>
                <w:color w:val="auto"/>
              </w:rPr>
            </w:pPr>
          </w:p>
        </w:tc>
        <w:tc>
          <w:tcPr>
            <w:tcW w:w="380" w:type="dxa"/>
            <w:vAlign w:val="bottom"/>
            <w:tcBorders>
              <w:bottom w:val="single" w:sz="8" w:color="3E5588"/>
            </w:tcBorders>
            <w:gridSpan w:val="2"/>
          </w:tcPr>
          <w:p>
            <w:pPr>
              <w:spacing w:after="0"/>
              <w:rPr>
                <w:sz w:val="8"/>
                <w:szCs w:val="8"/>
                <w:color w:val="auto"/>
              </w:rPr>
            </w:pPr>
          </w:p>
        </w:tc>
        <w:tc>
          <w:tcPr>
            <w:tcW w:w="560" w:type="dxa"/>
            <w:vAlign w:val="bottom"/>
            <w:tcBorders>
              <w:bottom w:val="single" w:sz="8" w:color="3E5588"/>
            </w:tcBorders>
          </w:tcPr>
          <w:p>
            <w:pPr>
              <w:spacing w:after="0"/>
              <w:rPr>
                <w:sz w:val="8"/>
                <w:szCs w:val="8"/>
                <w:color w:val="auto"/>
              </w:rPr>
            </w:pPr>
          </w:p>
        </w:tc>
        <w:tc>
          <w:tcPr>
            <w:tcW w:w="5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7"/>
        </w:trPr>
        <w:tc>
          <w:tcPr>
            <w:tcW w:w="1520" w:type="dxa"/>
            <w:vAlign w:val="bottom"/>
            <w:gridSpan w:val="3"/>
          </w:tcPr>
          <w:p>
            <w:pPr>
              <w:ind w:left="1140"/>
              <w:spacing w:after="0"/>
              <w:rPr>
                <w:sz w:val="20"/>
                <w:szCs w:val="20"/>
                <w:color w:val="auto"/>
              </w:rPr>
            </w:pPr>
            <w:r>
              <w:rPr>
                <w:rFonts w:ascii="Arial" w:cs="Arial" w:eastAsia="Arial" w:hAnsi="Arial"/>
                <w:sz w:val="18"/>
                <w:szCs w:val="18"/>
                <w:color w:val="3E5588"/>
              </w:rPr>
              <w:t>(1)</w:t>
            </w:r>
          </w:p>
        </w:tc>
        <w:tc>
          <w:tcPr>
            <w:tcW w:w="5680" w:type="dxa"/>
            <w:vAlign w:val="bottom"/>
            <w:gridSpan w:val="2"/>
          </w:tcPr>
          <w:p>
            <w:pPr>
              <w:jc w:val="right"/>
              <w:ind w:right="280"/>
              <w:spacing w:after="0"/>
              <w:rPr>
                <w:sz w:val="20"/>
                <w:szCs w:val="20"/>
                <w:color w:val="auto"/>
              </w:rPr>
            </w:pPr>
            <w:r>
              <w:rPr>
                <w:rFonts w:ascii="Arial" w:cs="Arial" w:eastAsia="Arial" w:hAnsi="Arial"/>
                <w:sz w:val="18"/>
                <w:szCs w:val="18"/>
                <w:color w:val="3E5588"/>
                <w:w w:val="91"/>
              </w:rPr>
              <w:t>We define working (deficit) capital as current assets less current liabilities.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80" w:type="dxa"/>
            <w:vAlign w:val="bottom"/>
            <w:gridSpan w:val="2"/>
          </w:tcPr>
          <w:p>
            <w:pPr>
              <w:jc w:val="right"/>
              <w:ind w:right="1400"/>
              <w:spacing w:after="0"/>
              <w:rPr>
                <w:sz w:val="20"/>
                <w:szCs w:val="20"/>
                <w:color w:val="auto"/>
              </w:rPr>
            </w:pPr>
            <w:r>
              <w:rPr>
                <w:rFonts w:ascii="Arial" w:cs="Arial" w:eastAsia="Arial" w:hAnsi="Arial"/>
                <w:sz w:val="18"/>
                <w:szCs w:val="18"/>
                <w:color w:val="3E5588"/>
              </w:rPr>
              <w:t>76</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3E5588"/>
            </w:tcBorders>
          </w:tcPr>
          <w:p>
            <w:pPr>
              <w:spacing w:after="0"/>
              <w:rPr>
                <w:sz w:val="19"/>
                <w:szCs w:val="19"/>
                <w:color w:val="auto"/>
              </w:rPr>
            </w:pPr>
          </w:p>
        </w:tc>
        <w:tc>
          <w:tcPr>
            <w:tcW w:w="20" w:type="dxa"/>
            <w:vAlign w:val="bottom"/>
            <w:tcBorders>
              <w:bottom w:val="single" w:sz="8" w:color="3E5588"/>
            </w:tcBorders>
          </w:tcPr>
          <w:p>
            <w:pPr>
              <w:spacing w:after="0"/>
              <w:rPr>
                <w:sz w:val="19"/>
                <w:szCs w:val="19"/>
                <w:color w:val="auto"/>
              </w:rPr>
            </w:pPr>
          </w:p>
        </w:tc>
        <w:tc>
          <w:tcPr>
            <w:tcW w:w="360" w:type="dxa"/>
            <w:vAlign w:val="bottom"/>
            <w:tcBorders>
              <w:bottom w:val="single" w:sz="8" w:color="3E5588"/>
            </w:tcBorders>
          </w:tcPr>
          <w:p>
            <w:pPr>
              <w:spacing w:after="0"/>
              <w:rPr>
                <w:sz w:val="19"/>
                <w:szCs w:val="19"/>
                <w:color w:val="auto"/>
              </w:rPr>
            </w:pPr>
          </w:p>
        </w:tc>
        <w:tc>
          <w:tcPr>
            <w:tcW w:w="560" w:type="dxa"/>
            <w:vAlign w:val="bottom"/>
            <w:tcBorders>
              <w:bottom w:val="single" w:sz="8" w:color="3E5588"/>
            </w:tcBorders>
          </w:tcPr>
          <w:p>
            <w:pPr>
              <w:spacing w:after="0"/>
              <w:rPr>
                <w:sz w:val="19"/>
                <w:szCs w:val="19"/>
                <w:color w:val="auto"/>
              </w:rPr>
            </w:pPr>
          </w:p>
        </w:tc>
        <w:tc>
          <w:tcPr>
            <w:tcW w:w="5120" w:type="dxa"/>
            <w:vAlign w:val="bottom"/>
            <w:tcBorders>
              <w:bottom w:val="single" w:sz="8" w:color="3E5588"/>
            </w:tcBorders>
          </w:tcPr>
          <w:p>
            <w:pPr>
              <w:spacing w:after="0"/>
              <w:rPr>
                <w:sz w:val="19"/>
                <w:szCs w:val="19"/>
                <w:color w:val="auto"/>
              </w:rPr>
            </w:pPr>
          </w:p>
        </w:tc>
        <w:tc>
          <w:tcPr>
            <w:tcW w:w="26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620" w:type="dxa"/>
            <w:vAlign w:val="bottom"/>
            <w:tcBorders>
              <w:bottom w:val="single" w:sz="8" w:color="3E5588"/>
            </w:tcBorders>
          </w:tcPr>
          <w:p>
            <w:pPr>
              <w:spacing w:after="0"/>
              <w:rPr>
                <w:sz w:val="19"/>
                <w:szCs w:val="19"/>
                <w:color w:val="auto"/>
              </w:rPr>
            </w:pPr>
          </w:p>
        </w:tc>
        <w:tc>
          <w:tcPr>
            <w:tcW w:w="80" w:type="dxa"/>
            <w:vAlign w:val="bottom"/>
            <w:tcBorders>
              <w:bottom w:val="single" w:sz="8" w:color="3E5588"/>
            </w:tcBorders>
          </w:tcPr>
          <w:p>
            <w:pPr>
              <w:spacing w:after="0"/>
              <w:rPr>
                <w:sz w:val="19"/>
                <w:szCs w:val="19"/>
                <w:color w:val="auto"/>
              </w:rPr>
            </w:pPr>
          </w:p>
        </w:tc>
        <w:tc>
          <w:tcPr>
            <w:tcW w:w="80" w:type="dxa"/>
            <w:vAlign w:val="bottom"/>
            <w:tcBorders>
              <w:bottom w:val="single" w:sz="8" w:color="3E5588"/>
            </w:tcBorders>
          </w:tcPr>
          <w:p>
            <w:pPr>
              <w:spacing w:after="0"/>
              <w:rPr>
                <w:sz w:val="19"/>
                <w:szCs w:val="19"/>
                <w:color w:val="auto"/>
              </w:rPr>
            </w:pPr>
          </w:p>
        </w:tc>
        <w:tc>
          <w:tcPr>
            <w:tcW w:w="780" w:type="dxa"/>
            <w:vAlign w:val="bottom"/>
            <w:tcBorders>
              <w:bottom w:val="single" w:sz="8" w:color="3E5588"/>
            </w:tcBorders>
          </w:tcPr>
          <w:p>
            <w:pPr>
              <w:spacing w:after="0"/>
              <w:rPr>
                <w:sz w:val="19"/>
                <w:szCs w:val="19"/>
                <w:color w:val="auto"/>
              </w:rPr>
            </w:pPr>
          </w:p>
        </w:tc>
        <w:tc>
          <w:tcPr>
            <w:tcW w:w="100" w:type="dxa"/>
            <w:vAlign w:val="bottom"/>
            <w:tcBorders>
              <w:bottom w:val="single" w:sz="8" w:color="3E5588"/>
            </w:tcBorders>
          </w:tcPr>
          <w:p>
            <w:pPr>
              <w:spacing w:after="0"/>
              <w:rPr>
                <w:sz w:val="19"/>
                <w:szCs w:val="19"/>
                <w:color w:val="auto"/>
              </w:rPr>
            </w:pPr>
          </w:p>
        </w:tc>
        <w:tc>
          <w:tcPr>
            <w:tcW w:w="60" w:type="dxa"/>
            <w:vAlign w:val="bottom"/>
            <w:tcBorders>
              <w:bottom w:val="single" w:sz="8" w:color="3E5588"/>
            </w:tcBorders>
          </w:tcPr>
          <w:p>
            <w:pPr>
              <w:spacing w:after="0"/>
              <w:rPr>
                <w:sz w:val="19"/>
                <w:szCs w:val="19"/>
                <w:color w:val="auto"/>
              </w:rPr>
            </w:pPr>
          </w:p>
        </w:tc>
        <w:tc>
          <w:tcPr>
            <w:tcW w:w="80" w:type="dxa"/>
            <w:vAlign w:val="bottom"/>
            <w:tcBorders>
              <w:bottom w:val="single" w:sz="8" w:color="3E5588"/>
            </w:tcBorders>
          </w:tcPr>
          <w:p>
            <w:pPr>
              <w:spacing w:after="0"/>
              <w:rPr>
                <w:sz w:val="19"/>
                <w:szCs w:val="19"/>
                <w:color w:val="auto"/>
              </w:rPr>
            </w:pPr>
          </w:p>
        </w:tc>
        <w:tc>
          <w:tcPr>
            <w:tcW w:w="70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1140" w:type="dxa"/>
            <w:vAlign w:val="bottom"/>
            <w:tcBorders>
              <w:bottom w:val="single" w:sz="8" w:color="3E558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MANAGEMENT'S DISCUSSION AND ANALYSIS OF FINANCIAL CONDITION AND RESULTS OF OPERATIONS</w:t>
      </w:r>
    </w:p>
    <w:p>
      <w:pPr>
        <w:spacing w:after="0" w:line="231" w:lineRule="exact"/>
        <w:rPr>
          <w:sz w:val="20"/>
          <w:szCs w:val="20"/>
          <w:color w:val="auto"/>
        </w:rPr>
      </w:pPr>
    </w:p>
    <w:p>
      <w:pPr>
        <w:jc w:val="both"/>
        <w:ind w:firstLine="554"/>
        <w:spacing w:after="0" w:line="291" w:lineRule="auto"/>
        <w:rPr>
          <w:sz w:val="20"/>
          <w:szCs w:val="20"/>
          <w:color w:val="auto"/>
        </w:rPr>
      </w:pPr>
      <w:r>
        <w:rPr>
          <w:rFonts w:ascii="Arial" w:cs="Arial" w:eastAsia="Arial" w:hAnsi="Arial"/>
          <w:sz w:val="16"/>
          <w:szCs w:val="16"/>
          <w:i w:val="1"/>
          <w:iCs w:val="1"/>
          <w:color w:val="3E5588"/>
        </w:rPr>
        <w:t>You should read the following discussion and analysis of our financial condition and results of operations together with the "Selected Consolidated Financial Data" section of this prospectus and our consolidated financial statements and related notes appearing at the end of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3E5588"/>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542"/>
        <w:spacing w:after="0" w:line="294" w:lineRule="auto"/>
        <w:rPr>
          <w:sz w:val="20"/>
          <w:szCs w:val="20"/>
          <w:color w:val="auto"/>
        </w:rPr>
      </w:pPr>
      <w:r>
        <w:rPr>
          <w:rFonts w:ascii="Arial" w:cs="Arial" w:eastAsia="Arial" w:hAnsi="Arial"/>
          <w:sz w:val="16"/>
          <w:szCs w:val="16"/>
          <w:color w:val="3E5588"/>
        </w:rPr>
        <w:t>Since inception, our operations have focused on organizing and staffing our company, business planning, raising capital, establishing our intellectual property, building our discovery platform, including our proprietary compound library and product engine, identifying drug targets and potential product candidates, in-licensings, producing drug substance and drug product material for use in clinical trials and conducting pre-clinical studies and early clinical trials. To date, we have funded our operations primarily through the issuance of convertible notes and convertible preferred stock. Since inception, we have raised an aggregate of $140.0 million of gross proceeds to fund our operations through the issuance of convertible notes and convertible preferred stock.</w:t>
      </w:r>
    </w:p>
    <w:p>
      <w:pPr>
        <w:spacing w:after="0" w:line="170" w:lineRule="exact"/>
        <w:rPr>
          <w:sz w:val="20"/>
          <w:szCs w:val="20"/>
          <w:color w:val="auto"/>
        </w:rPr>
      </w:pPr>
    </w:p>
    <w:p>
      <w:pPr>
        <w:jc w:val="both"/>
        <w:ind w:firstLine="406"/>
        <w:spacing w:after="0" w:line="294" w:lineRule="auto"/>
        <w:rPr>
          <w:sz w:val="20"/>
          <w:szCs w:val="20"/>
          <w:color w:val="auto"/>
        </w:rPr>
      </w:pPr>
      <w:r>
        <w:rPr>
          <w:rFonts w:ascii="Arial" w:cs="Arial" w:eastAsia="Arial" w:hAnsi="Arial"/>
          <w:sz w:val="16"/>
          <w:szCs w:val="16"/>
          <w:color w:val="3E5588"/>
        </w:rPr>
        <w:t>We have incurred significant operating losses since our inception and we expect to continue to incur significant operating losses for the foreseeable future. Our ability to generate product revenue sufficient to achieve profitability, if ever, will depend heavily on the successful development and eventual commercialization of one or more of our product candidates. Our net losses were $23.0 million and $32.6 million for the years ended December 31, 2017 and 2018, respectively, and $36.8 million for the three months ended March 31, 2019. As of March 31, 2019, we had an accumulated deficit of $105.0 million. We expect our expenses and operating losses will increase substantially over the next several years in connection with our ongoing activities, as we:</w:t>
      </w:r>
    </w:p>
    <w:p>
      <w:pPr>
        <w:spacing w:after="0" w:line="183" w:lineRule="exact"/>
        <w:rPr>
          <w:sz w:val="20"/>
          <w:szCs w:val="20"/>
          <w:color w:val="auto"/>
        </w:rPr>
      </w:pPr>
    </w:p>
    <w:p>
      <w:pPr>
        <w:ind w:left="1080" w:right="20" w:hanging="532"/>
        <w:spacing w:after="0" w:line="268" w:lineRule="auto"/>
        <w:tabs>
          <w:tab w:leader="none" w:pos="1080" w:val="left"/>
        </w:tabs>
        <w:numPr>
          <w:ilvl w:val="0"/>
          <w:numId w:val="49"/>
        </w:numPr>
        <w:rPr>
          <w:rFonts w:ascii="Arial" w:cs="Arial" w:eastAsia="Arial" w:hAnsi="Arial"/>
          <w:sz w:val="18"/>
          <w:szCs w:val="18"/>
          <w:color w:val="3E5588"/>
        </w:rPr>
      </w:pPr>
      <w:r>
        <w:rPr>
          <w:rFonts w:ascii="Arial" w:cs="Arial" w:eastAsia="Arial" w:hAnsi="Arial"/>
          <w:sz w:val="18"/>
          <w:szCs w:val="18"/>
          <w:color w:val="3E5588"/>
        </w:rPr>
        <w:t>continue our clinical development of losmapimod, including our ongoing Phase 1 clinical trial and planned Phase 2b clinical trial and Phase 2 open label clinical trial;</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49"/>
        </w:numPr>
        <w:rPr>
          <w:rFonts w:ascii="Arial" w:cs="Arial" w:eastAsia="Arial" w:hAnsi="Arial"/>
          <w:sz w:val="18"/>
          <w:szCs w:val="18"/>
          <w:color w:val="3E5588"/>
        </w:rPr>
      </w:pPr>
      <w:r>
        <w:rPr>
          <w:rFonts w:ascii="Arial" w:cs="Arial" w:eastAsia="Arial" w:hAnsi="Arial"/>
          <w:sz w:val="18"/>
          <w:szCs w:val="18"/>
          <w:color w:val="3E5588"/>
        </w:rPr>
        <w:t>continue IND-enabling studies and prepare for a planned Phase 1 clinical trial of FTX-HbF;</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9"/>
        </w:numPr>
        <w:rPr>
          <w:rFonts w:ascii="Arial" w:cs="Arial" w:eastAsia="Arial" w:hAnsi="Arial"/>
          <w:sz w:val="18"/>
          <w:szCs w:val="18"/>
          <w:color w:val="3E5588"/>
        </w:rPr>
      </w:pPr>
      <w:r>
        <w:rPr>
          <w:rFonts w:ascii="Arial" w:cs="Arial" w:eastAsia="Arial" w:hAnsi="Arial"/>
          <w:sz w:val="18"/>
          <w:szCs w:val="18"/>
          <w:color w:val="3E5588"/>
        </w:rPr>
        <w:t>advance clinical-stage product candidates into later stage trials;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49"/>
        </w:numPr>
        <w:rPr>
          <w:rFonts w:ascii="Arial" w:cs="Arial" w:eastAsia="Arial" w:hAnsi="Arial"/>
          <w:sz w:val="18"/>
          <w:szCs w:val="18"/>
          <w:color w:val="3E5588"/>
        </w:rPr>
      </w:pPr>
      <w:r>
        <w:rPr>
          <w:rFonts w:ascii="Arial" w:cs="Arial" w:eastAsia="Arial" w:hAnsi="Arial"/>
          <w:sz w:val="18"/>
          <w:szCs w:val="18"/>
          <w:color w:val="3E5588"/>
        </w:rPr>
        <w:t>pursue the discovery of drug targets for other rare diseases and the subsequent development of any resulting product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3E5588"/>
        </w:rPr>
      </w:pPr>
      <w:r>
        <w:rPr>
          <w:rFonts w:ascii="Arial" w:cs="Arial" w:eastAsia="Arial" w:hAnsi="Arial"/>
          <w:sz w:val="18"/>
          <w:szCs w:val="18"/>
          <w:color w:val="3E5588"/>
        </w:rPr>
        <w:t>seek regulatory approvals for any product candidates that successfully complete clinical trials;</w:t>
      </w:r>
    </w:p>
    <w:p>
      <w:pPr>
        <w:spacing w:after="0" w:line="25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0"/>
        </w:numPr>
        <w:rPr>
          <w:rFonts w:ascii="Arial" w:cs="Arial" w:eastAsia="Arial" w:hAnsi="Arial"/>
          <w:sz w:val="18"/>
          <w:szCs w:val="18"/>
          <w:color w:val="3E5588"/>
        </w:rPr>
      </w:pPr>
      <w:r>
        <w:rPr>
          <w:rFonts w:ascii="Arial" w:cs="Arial" w:eastAsia="Arial" w:hAnsi="Arial"/>
          <w:sz w:val="18"/>
          <w:szCs w:val="18"/>
          <w:color w:val="3E5588"/>
        </w:rPr>
        <w:t>scale up our manufacturing processes and capabilities, or arrange for a third party to do so on our behalf, to support our clinical trials of our product candidates and commercialization of any of our product candidates for which we obtain marketing approval;</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50"/>
        </w:numPr>
        <w:rPr>
          <w:rFonts w:ascii="Arial" w:cs="Arial" w:eastAsia="Arial" w:hAnsi="Arial"/>
          <w:sz w:val="16"/>
          <w:szCs w:val="16"/>
          <w:color w:val="3E5588"/>
        </w:rPr>
      </w:pPr>
      <w:r>
        <w:rPr>
          <w:rFonts w:ascii="Arial" w:cs="Arial" w:eastAsia="Arial" w:hAnsi="Arial"/>
          <w:sz w:val="16"/>
          <w:szCs w:val="16"/>
          <w:color w:val="3E5588"/>
        </w:rPr>
        <w:t>establish a sales, marketing and distribution infrastructure to commercialize any products for which we may obtain regulatory approval;</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50"/>
        </w:numPr>
        <w:rPr>
          <w:rFonts w:ascii="Arial" w:cs="Arial" w:eastAsia="Arial" w:hAnsi="Arial"/>
          <w:sz w:val="18"/>
          <w:szCs w:val="18"/>
          <w:color w:val="3E5588"/>
        </w:rPr>
      </w:pPr>
      <w:r>
        <w:rPr>
          <w:rFonts w:ascii="Arial" w:cs="Arial" w:eastAsia="Arial" w:hAnsi="Arial"/>
          <w:sz w:val="18"/>
          <w:szCs w:val="18"/>
          <w:color w:val="3E5588"/>
        </w:rPr>
        <w:t>acquire or in-license products, product candidates, technologies and/or data referencing rights;</w:t>
      </w:r>
    </w:p>
    <w:p>
      <w:pPr>
        <w:spacing w:after="0" w:line="25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0"/>
        </w:numPr>
        <w:rPr>
          <w:rFonts w:ascii="Arial" w:cs="Arial" w:eastAsia="Arial" w:hAnsi="Arial"/>
          <w:sz w:val="18"/>
          <w:szCs w:val="18"/>
          <w:color w:val="3E5588"/>
        </w:rPr>
      </w:pPr>
      <w:r>
        <w:rPr>
          <w:rFonts w:ascii="Arial" w:cs="Arial" w:eastAsia="Arial" w:hAnsi="Arial"/>
          <w:sz w:val="18"/>
          <w:szCs w:val="18"/>
          <w:color w:val="3E5588"/>
        </w:rPr>
        <w:t>make any milestone payments to affiliates of GlaxoSmithKline plc, or GSK, under our right of reference and license agreement with GSK upon the achievement of specified clinical or regulatory milestones;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50"/>
        </w:numPr>
        <w:rPr>
          <w:rFonts w:ascii="Arial" w:cs="Arial" w:eastAsia="Arial" w:hAnsi="Arial"/>
          <w:sz w:val="18"/>
          <w:szCs w:val="18"/>
          <w:color w:val="3E5588"/>
        </w:rPr>
      </w:pPr>
      <w:r>
        <w:rPr>
          <w:rFonts w:ascii="Arial" w:cs="Arial" w:eastAsia="Arial" w:hAnsi="Arial"/>
          <w:sz w:val="18"/>
          <w:szCs w:val="18"/>
          <w:color w:val="3E5588"/>
        </w:rPr>
        <w:t>maintain, expand, enforce, defend and protect our intellectual property;</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0"/>
        </w:numPr>
        <w:rPr>
          <w:rFonts w:ascii="Arial" w:cs="Arial" w:eastAsia="Arial" w:hAnsi="Arial"/>
          <w:sz w:val="18"/>
          <w:szCs w:val="18"/>
          <w:color w:val="3E5588"/>
        </w:rPr>
      </w:pPr>
      <w:r>
        <w:rPr>
          <w:rFonts w:ascii="Arial" w:cs="Arial" w:eastAsia="Arial" w:hAnsi="Arial"/>
          <w:sz w:val="18"/>
          <w:szCs w:val="18"/>
          <w:color w:val="3E5588"/>
        </w:rPr>
        <w:t>hire additional clinical, quality control and scientific personnel; and</w:t>
      </w:r>
    </w:p>
    <w:p>
      <w:pPr>
        <w:spacing w:after="0" w:line="25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0"/>
        </w:numPr>
        <w:rPr>
          <w:rFonts w:ascii="Arial" w:cs="Arial" w:eastAsia="Arial" w:hAnsi="Arial"/>
          <w:sz w:val="18"/>
          <w:szCs w:val="18"/>
          <w:color w:val="3E5588"/>
        </w:rPr>
      </w:pPr>
      <w:r>
        <w:rPr>
          <w:rFonts w:ascii="Arial" w:cs="Arial" w:eastAsia="Arial" w:hAnsi="Arial"/>
          <w:sz w:val="18"/>
          <w:szCs w:val="18"/>
          <w:color w:val="3E5588"/>
        </w:rPr>
        <w:t>add operational, financial and management information systems and personnel, including personnel to support our product development and planned future commercialization efforts and our operations as a public company.</w:t>
      </w:r>
    </w:p>
    <w:p>
      <w:pPr>
        <w:spacing w:after="0" w:line="186"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3E5588"/>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74" w:lineRule="exact"/>
        <w:rPr>
          <w:sz w:val="20"/>
          <w:szCs w:val="20"/>
          <w:color w:val="auto"/>
        </w:rPr>
      </w:pPr>
    </w:p>
    <w:p>
      <w:pPr>
        <w:jc w:val="both"/>
        <w:ind w:firstLine="396"/>
        <w:spacing w:after="0" w:line="256" w:lineRule="auto"/>
        <w:rPr>
          <w:sz w:val="20"/>
          <w:szCs w:val="20"/>
          <w:color w:val="auto"/>
        </w:rPr>
      </w:pPr>
      <w:r>
        <w:rPr>
          <w:rFonts w:ascii="Arial" w:cs="Arial" w:eastAsia="Arial" w:hAnsi="Arial"/>
          <w:sz w:val="18"/>
          <w:szCs w:val="18"/>
          <w:color w:val="3E5588"/>
        </w:rPr>
        <w:t>Because of the numerous risks and uncertainties associated with drug development, we are unable to predict the timing or amount of increased expenses or the timing of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97"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8"/>
          <w:szCs w:val="18"/>
          <w:color w:val="3E5588"/>
        </w:rPr>
        <w:t>As of March 31, 2019, we had $62.5 million in cash and cash equivalents. We believe that the anticipated net proceeds from this offering, together with our existing cash and cash equivalents, will enable us to fund our operating expenses and capital expenditure requirements into the third quarter of 2021. We have based this estimate on assumptions that may prove to be wrong, and we could exhaust our available capital resources sooner than we expect. See "—Liquidity and Capital Resources."</w:t>
      </w:r>
    </w:p>
    <w:p>
      <w:pPr>
        <w:spacing w:after="0" w:line="197"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3E5588"/>
        </w:rPr>
        <w:t>Without giving effect to the anticipated net proceeds from this offering, based on our current operating plan, we expect that our existing cash and cash equivalents will be sufficient to fund our operating expenses and capital expenditure requirements into the first quarter of 2020. To finance our operations beyond that point we will need to raise additional capital, which cannot be assured. We have concluded that this circumstance raises substantial doubt about our ability to continue as a going concern for at least one year from the date that our consolidated financial statements for the year ended December 31, 2018 and our consolidated financial statements for the three months ended March 31, 2019 were issued. See Note 1 to our annual and interim consolidated financial statements appearing at the end of this prospectus for additional information on our assessment.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Revenue</w:t>
      </w:r>
    </w:p>
    <w:p>
      <w:pPr>
        <w:spacing w:after="0" w:line="225"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3E5588"/>
        </w:rPr>
        <w:t>We have not generated any revenue from product sales and do not expect to generate any revenue from the sale of products for several years, if at all. If our development efforts for our current or future product candidates are successful and result in marketing approval, we may generate revenue in the future from product sales. We cannot predict if, when or to what extent we will generate revenue from the commercialization and sale of our product candidates. We may never succeed in obtaining regulatory approval for any of our product candidates.</w:t>
      </w:r>
    </w:p>
    <w:p>
      <w:pPr>
        <w:spacing w:after="0" w:line="167"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3E5588"/>
        </w:rPr>
        <w:t>We may also in the future enter into license or collaboration agreements for our product candidates or intellectual property, and we may generate revenue in the future from payments as a result of such license or collaboration agreements.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Research and Development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3E5588"/>
        </w:rPr>
        <w:t>Research and development expenses represent costs incurred by us for the discovery, development, and manufacture of our product candidates and include:</w:t>
      </w:r>
    </w:p>
    <w:p>
      <w:pPr>
        <w:spacing w:after="0" w:line="273" w:lineRule="exact"/>
        <w:rPr>
          <w:sz w:val="20"/>
          <w:szCs w:val="20"/>
          <w:color w:val="auto"/>
        </w:rPr>
      </w:pPr>
    </w:p>
    <w:p>
      <w:pPr>
        <w:ind w:left="1080" w:hanging="532"/>
        <w:spacing w:after="0" w:line="268" w:lineRule="auto"/>
        <w:tabs>
          <w:tab w:leader="none" w:pos="1080" w:val="left"/>
        </w:tabs>
        <w:numPr>
          <w:ilvl w:val="0"/>
          <w:numId w:val="51"/>
        </w:numPr>
        <w:rPr>
          <w:rFonts w:ascii="Arial" w:cs="Arial" w:eastAsia="Arial" w:hAnsi="Arial"/>
          <w:sz w:val="18"/>
          <w:szCs w:val="18"/>
          <w:color w:val="3E5588"/>
        </w:rPr>
      </w:pPr>
      <w:r>
        <w:rPr>
          <w:rFonts w:ascii="Arial" w:cs="Arial" w:eastAsia="Arial" w:hAnsi="Arial"/>
          <w:sz w:val="18"/>
          <w:szCs w:val="18"/>
          <w:color w:val="3E5588"/>
        </w:rPr>
        <w:t>external research and development expenses incurred under agreements with contract research organizations, or CROs, contract manufacturing organizations, or CMOs, and consultants;</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51"/>
        </w:numPr>
        <w:rPr>
          <w:rFonts w:ascii="Arial" w:cs="Arial" w:eastAsia="Arial" w:hAnsi="Arial"/>
          <w:sz w:val="16"/>
          <w:szCs w:val="16"/>
          <w:color w:val="3E5588"/>
        </w:rPr>
      </w:pPr>
      <w:r>
        <w:rPr>
          <w:rFonts w:ascii="Arial" w:cs="Arial" w:eastAsia="Arial" w:hAnsi="Arial"/>
          <w:sz w:val="16"/>
          <w:szCs w:val="16"/>
          <w:color w:val="3E5588"/>
        </w:rPr>
        <w:t>salaries, payroll taxes, employee benefits and stock-based compensation expenses for individuals involved in research and development efforts;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51"/>
        </w:numPr>
        <w:rPr>
          <w:rFonts w:ascii="Arial" w:cs="Arial" w:eastAsia="Arial" w:hAnsi="Arial"/>
          <w:sz w:val="18"/>
          <w:szCs w:val="18"/>
          <w:color w:val="3E5588"/>
        </w:rPr>
      </w:pPr>
      <w:r>
        <w:rPr>
          <w:rFonts w:ascii="Arial" w:cs="Arial" w:eastAsia="Arial" w:hAnsi="Arial"/>
          <w:sz w:val="18"/>
          <w:szCs w:val="18"/>
          <w:color w:val="3E5588"/>
        </w:rPr>
        <w:t>laboratory supplies;</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1"/>
        </w:numPr>
        <w:rPr>
          <w:rFonts w:ascii="Arial" w:cs="Arial" w:eastAsia="Arial" w:hAnsi="Arial"/>
          <w:sz w:val="18"/>
          <w:szCs w:val="18"/>
          <w:color w:val="3E5588"/>
        </w:rPr>
      </w:pPr>
      <w:r>
        <w:rPr>
          <w:rFonts w:ascii="Arial" w:cs="Arial" w:eastAsia="Arial" w:hAnsi="Arial"/>
          <w:sz w:val="18"/>
          <w:szCs w:val="18"/>
          <w:color w:val="3E5588"/>
        </w:rPr>
        <w:t>in-process research and development, or IPR&amp;D, expenses, which relate to IPR&amp;D acquired as part of an asset acquisition for which there is no alternative future use;</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51"/>
        </w:numPr>
        <w:rPr>
          <w:rFonts w:ascii="Arial" w:cs="Arial" w:eastAsia="Arial" w:hAnsi="Arial"/>
          <w:sz w:val="18"/>
          <w:szCs w:val="18"/>
          <w:color w:val="3E5588"/>
        </w:rPr>
      </w:pPr>
      <w:r>
        <w:rPr>
          <w:rFonts w:ascii="Arial" w:cs="Arial" w:eastAsia="Arial" w:hAnsi="Arial"/>
          <w:sz w:val="18"/>
          <w:szCs w:val="18"/>
          <w:color w:val="3E5588"/>
        </w:rPr>
        <w:t>costs related to compliance with regulatory requirements; and</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1"/>
        </w:numPr>
        <w:rPr>
          <w:rFonts w:ascii="Arial" w:cs="Arial" w:eastAsia="Arial" w:hAnsi="Arial"/>
          <w:sz w:val="18"/>
          <w:szCs w:val="18"/>
          <w:color w:val="3E5588"/>
        </w:rPr>
      </w:pPr>
      <w:r>
        <w:rPr>
          <w:rFonts w:ascii="Arial" w:cs="Arial" w:eastAsia="Arial" w:hAnsi="Arial"/>
          <w:sz w:val="18"/>
          <w:szCs w:val="18"/>
          <w:color w:val="3E5588"/>
        </w:rPr>
        <w:t>facilities, depreciation and other allocated expenses, which include direct and allocated expenses for rent, maintenance of facilities, insurance and other operating costs.</w:t>
      </w:r>
    </w:p>
    <w:p>
      <w:pPr>
        <w:spacing w:after="0" w:line="186"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3E5588"/>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98"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3E5588"/>
        </w:rPr>
        <w:t>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w:t>
      </w:r>
    </w:p>
    <w:p>
      <w:pPr>
        <w:spacing w:after="0" w:line="197"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3E5588"/>
        </w:rPr>
        <w:t>The following table summarizes our external research and development expenses by program following nomination as a development candidate for the years ended December 31, 2017 and 2018, and for the three months ended March 31, 2018 and 2019. Pre-development candidate expenses, unallocated expenses and internal research and development expenses are classified separately. We nominated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losmapimod as a development candidate in December 2017. FSHD external expenses include IPR&amp;D expenses.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22"/>
              <w:spacing w:after="0"/>
              <w:rPr>
                <w:sz w:val="20"/>
                <w:szCs w:val="20"/>
                <w:color w:val="auto"/>
              </w:rPr>
            </w:pPr>
            <w:r>
              <w:rPr>
                <w:rFonts w:ascii="Arial" w:cs="Arial" w:eastAsia="Arial" w:hAnsi="Arial"/>
                <w:sz w:val="14"/>
                <w:szCs w:val="14"/>
                <w:b w:val="1"/>
                <w:bCs w:val="1"/>
                <w:color w:val="3E5588"/>
                <w:w w:val="89"/>
              </w:rPr>
              <w:t>Three Months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E5588"/>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3E5588"/>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3E5588"/>
                <w:w w:val="88"/>
              </w:rPr>
              <w:t>Year 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3E5588"/>
                <w:w w:val="88"/>
              </w:rPr>
              <w:t>Ended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3E5588"/>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3E5588"/>
                <w:w w:val="85"/>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3E5588"/>
                <w:w w:val="92"/>
              </w:rPr>
              <w:t>March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E5588"/>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3E5588"/>
              </w:rPr>
              <w:t>(in thousands)</w:t>
            </w:r>
          </w:p>
        </w:tc>
        <w:tc>
          <w:tcPr>
            <w:tcW w:w="20" w:type="dxa"/>
            <w:vAlign w:val="bottom"/>
          </w:tcPr>
          <w:p>
            <w:pPr>
              <w:spacing w:after="0"/>
              <w:rPr>
                <w:sz w:val="14"/>
                <w:szCs w:val="14"/>
                <w:color w:val="auto"/>
              </w:rPr>
            </w:pPr>
          </w:p>
        </w:tc>
        <w:tc>
          <w:tcPr>
            <w:tcW w:w="60" w:type="dxa"/>
            <w:vAlign w:val="bottom"/>
            <w:tcBorders>
              <w:bottom w:val="single" w:sz="8" w:color="3E5588"/>
            </w:tcBorders>
          </w:tcPr>
          <w:p>
            <w:pPr>
              <w:spacing w:after="0"/>
              <w:rPr>
                <w:sz w:val="14"/>
                <w:szCs w:val="14"/>
                <w:color w:val="auto"/>
              </w:rPr>
            </w:pPr>
          </w:p>
        </w:tc>
        <w:tc>
          <w:tcPr>
            <w:tcW w:w="880" w:type="dxa"/>
            <w:vAlign w:val="bottom"/>
            <w:tcBorders>
              <w:bottom w:val="single" w:sz="8" w:color="3E5588"/>
            </w:tcBorders>
          </w:tcPr>
          <w:p>
            <w:pPr>
              <w:jc w:val="center"/>
              <w:ind w:right="21"/>
              <w:spacing w:after="0"/>
              <w:rPr>
                <w:sz w:val="20"/>
                <w:szCs w:val="20"/>
                <w:color w:val="auto"/>
              </w:rPr>
            </w:pPr>
            <w:r>
              <w:rPr>
                <w:rFonts w:ascii="Arial" w:cs="Arial" w:eastAsia="Arial" w:hAnsi="Arial"/>
                <w:sz w:val="14"/>
                <w:szCs w:val="14"/>
                <w:b w:val="1"/>
                <w:bCs w:val="1"/>
                <w:color w:val="3E5588"/>
                <w:w w:val="83"/>
              </w:rPr>
              <w:t>2017</w:t>
            </w:r>
          </w:p>
        </w:tc>
        <w:tc>
          <w:tcPr>
            <w:tcW w:w="1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880" w:type="dxa"/>
            <w:vAlign w:val="bottom"/>
            <w:tcBorders>
              <w:bottom w:val="single" w:sz="8" w:color="3E5588"/>
            </w:tcBorders>
          </w:tcPr>
          <w:p>
            <w:pPr>
              <w:jc w:val="center"/>
              <w:ind w:right="21"/>
              <w:spacing w:after="0"/>
              <w:rPr>
                <w:sz w:val="20"/>
                <w:szCs w:val="20"/>
                <w:color w:val="auto"/>
              </w:rPr>
            </w:pPr>
            <w:r>
              <w:rPr>
                <w:rFonts w:ascii="Arial" w:cs="Arial" w:eastAsia="Arial" w:hAnsi="Arial"/>
                <w:sz w:val="14"/>
                <w:szCs w:val="14"/>
                <w:b w:val="1"/>
                <w:bCs w:val="1"/>
                <w:color w:val="3E5588"/>
                <w:w w:val="83"/>
              </w:rPr>
              <w:t>2018</w:t>
            </w:r>
          </w:p>
        </w:tc>
        <w:tc>
          <w:tcPr>
            <w:tcW w:w="1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920" w:type="dxa"/>
            <w:vAlign w:val="bottom"/>
            <w:tcBorders>
              <w:bottom w:val="single" w:sz="8" w:color="3E5588"/>
            </w:tcBorders>
          </w:tcPr>
          <w:p>
            <w:pPr>
              <w:jc w:val="center"/>
              <w:ind w:right="2"/>
              <w:spacing w:after="0"/>
              <w:rPr>
                <w:sz w:val="20"/>
                <w:szCs w:val="20"/>
                <w:color w:val="auto"/>
              </w:rPr>
            </w:pPr>
            <w:r>
              <w:rPr>
                <w:rFonts w:ascii="Arial" w:cs="Arial" w:eastAsia="Arial" w:hAnsi="Arial"/>
                <w:sz w:val="14"/>
                <w:szCs w:val="14"/>
                <w:b w:val="1"/>
                <w:bCs w:val="1"/>
                <w:color w:val="3E5588"/>
                <w:w w:val="89"/>
              </w:rPr>
              <w:t>2018</w:t>
            </w:r>
          </w:p>
        </w:tc>
        <w:tc>
          <w:tcPr>
            <w:tcW w:w="1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920" w:type="dxa"/>
            <w:vAlign w:val="bottom"/>
            <w:tcBorders>
              <w:bottom w:val="single" w:sz="8" w:color="3E5588"/>
            </w:tcBorders>
          </w:tcPr>
          <w:p>
            <w:pPr>
              <w:jc w:val="center"/>
              <w:ind w:right="2"/>
              <w:spacing w:after="0"/>
              <w:rPr>
                <w:sz w:val="20"/>
                <w:szCs w:val="20"/>
                <w:color w:val="auto"/>
              </w:rPr>
            </w:pPr>
            <w:r>
              <w:rPr>
                <w:rFonts w:ascii="Arial" w:cs="Arial" w:eastAsia="Arial" w:hAnsi="Arial"/>
                <w:sz w:val="14"/>
                <w:szCs w:val="14"/>
                <w:b w:val="1"/>
                <w:bCs w:val="1"/>
                <w:color w:val="3E5588"/>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3E5588"/>
              </w:rPr>
              <w:t>FSHD external expenses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27,802</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3E5588"/>
              </w:rPr>
              <w:t>Pre-development candidate expenses and unallocated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3E5588"/>
              </w:rPr>
              <w:t>expenses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E5588"/>
              </w:rPr>
              <w:t>11,143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E5588"/>
              </w:rPr>
              <w:t>13,534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E5588"/>
              </w:rPr>
              <w:t>3,058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E5588"/>
              </w:rPr>
              <w:t>4,029</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3E5588"/>
              </w:rPr>
              <w:t>Internal research and development expenses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3E5588"/>
            </w:tcBorders>
            <w:shd w:val="clear" w:color="auto" w:fill="CCEEFF"/>
          </w:tcPr>
          <w:p>
            <w:pPr>
              <w:spacing w:after="0"/>
              <w:rPr>
                <w:sz w:val="18"/>
                <w:szCs w:val="18"/>
                <w:color w:val="auto"/>
              </w:rPr>
            </w:pPr>
          </w:p>
        </w:tc>
        <w:tc>
          <w:tcPr>
            <w:tcW w:w="88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7,217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3E5588"/>
            </w:tcBorders>
            <w:shd w:val="clear" w:color="auto" w:fill="CCEEFF"/>
          </w:tcPr>
          <w:p>
            <w:pPr>
              <w:spacing w:after="0"/>
              <w:rPr>
                <w:sz w:val="18"/>
                <w:szCs w:val="18"/>
                <w:color w:val="auto"/>
              </w:rPr>
            </w:pPr>
          </w:p>
        </w:tc>
        <w:tc>
          <w:tcPr>
            <w:tcW w:w="88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8,542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3E5588"/>
            </w:tcBorders>
            <w:shd w:val="clear" w:color="auto" w:fill="CCEEFF"/>
          </w:tcPr>
          <w:p>
            <w:pPr>
              <w:spacing w:after="0"/>
              <w:rPr>
                <w:sz w:val="18"/>
                <w:szCs w:val="18"/>
                <w:color w:val="auto"/>
              </w:rPr>
            </w:pPr>
          </w:p>
        </w:tc>
        <w:tc>
          <w:tcPr>
            <w:tcW w:w="9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2,061</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3E5588"/>
            </w:tcBorders>
            <w:shd w:val="clear" w:color="auto" w:fill="CCEEFF"/>
          </w:tcPr>
          <w:p>
            <w:pPr>
              <w:spacing w:after="0"/>
              <w:rPr>
                <w:sz w:val="18"/>
                <w:szCs w:val="18"/>
                <w:color w:val="auto"/>
              </w:rPr>
            </w:pPr>
          </w:p>
        </w:tc>
        <w:tc>
          <w:tcPr>
            <w:tcW w:w="9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2,798</w:t>
            </w:r>
          </w:p>
        </w:tc>
        <w:tc>
          <w:tcPr>
            <w:tcW w:w="160" w:type="dxa"/>
            <w:vAlign w:val="bottom"/>
            <w:shd w:val="clear" w:color="auto" w:fill="CCEEFF"/>
          </w:tcPr>
          <w:p>
            <w:pPr>
              <w:spacing w:after="0"/>
              <w:rPr>
                <w:sz w:val="18"/>
                <w:szCs w:val="18"/>
                <w:color w:val="auto"/>
              </w:rPr>
            </w:pPr>
          </w:p>
        </w:tc>
      </w:tr>
      <w:tr>
        <w:trPr>
          <w:trHeight w:val="210"/>
        </w:trPr>
        <w:tc>
          <w:tcPr>
            <w:tcW w:w="4580" w:type="dxa"/>
            <w:vAlign w:val="bottom"/>
            <w:gridSpan w:val="2"/>
          </w:tcPr>
          <w:p>
            <w:pPr>
              <w:spacing w:after="0"/>
              <w:rPr>
                <w:sz w:val="20"/>
                <w:szCs w:val="20"/>
                <w:color w:val="auto"/>
              </w:rPr>
            </w:pPr>
            <w:r>
              <w:rPr>
                <w:rFonts w:ascii="Arial" w:cs="Arial" w:eastAsia="Arial" w:hAnsi="Arial"/>
                <w:sz w:val="18"/>
                <w:szCs w:val="18"/>
                <w:color w:val="3E5588"/>
              </w:rPr>
              <w:t>Total research and development expenses</w:t>
            </w:r>
          </w:p>
        </w:tc>
        <w:tc>
          <w:tcPr>
            <w:tcW w:w="20" w:type="dxa"/>
            <w:vAlign w:val="bottom"/>
            <w:tcBorders>
              <w:bottom w:val="single" w:sz="8" w:color="3E5588"/>
            </w:tcBorders>
          </w:tcPr>
          <w:p>
            <w:pPr>
              <w:spacing w:after="0"/>
              <w:rPr>
                <w:sz w:val="18"/>
                <w:szCs w:val="18"/>
                <w:color w:val="auto"/>
              </w:rPr>
            </w:pPr>
          </w:p>
        </w:tc>
        <w:tc>
          <w:tcPr>
            <w:tcW w:w="60" w:type="dxa"/>
            <w:vAlign w:val="bottom"/>
            <w:tcBorders>
              <w:bottom w:val="single" w:sz="8" w:color="3E5588"/>
            </w:tcBorders>
          </w:tcPr>
          <w:p>
            <w:pPr>
              <w:jc w:val="right"/>
              <w:spacing w:after="0"/>
              <w:rPr>
                <w:sz w:val="20"/>
                <w:szCs w:val="20"/>
                <w:color w:val="auto"/>
              </w:rPr>
            </w:pPr>
            <w:r>
              <w:rPr>
                <w:rFonts w:ascii="Arial" w:cs="Arial" w:eastAsia="Arial" w:hAnsi="Arial"/>
                <w:sz w:val="10"/>
                <w:szCs w:val="10"/>
                <w:color w:val="3E5588"/>
                <w:w w:val="71"/>
              </w:rPr>
              <w:t>$</w:t>
            </w:r>
          </w:p>
        </w:tc>
        <w:tc>
          <w:tcPr>
            <w:tcW w:w="8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18,494</w:t>
            </w:r>
          </w:p>
        </w:tc>
        <w:tc>
          <w:tcPr>
            <w:tcW w:w="160" w:type="dxa"/>
            <w:vAlign w:val="bottom"/>
          </w:tcPr>
          <w:p>
            <w:pPr>
              <w:spacing w:after="0"/>
              <w:rPr>
                <w:sz w:val="18"/>
                <w:szCs w:val="18"/>
                <w:color w:val="auto"/>
              </w:rPr>
            </w:pPr>
          </w:p>
        </w:tc>
        <w:tc>
          <w:tcPr>
            <w:tcW w:w="8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8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25,184</w:t>
            </w:r>
          </w:p>
        </w:tc>
        <w:tc>
          <w:tcPr>
            <w:tcW w:w="160" w:type="dxa"/>
            <w:vAlign w:val="bottom"/>
          </w:tcPr>
          <w:p>
            <w:pPr>
              <w:spacing w:after="0"/>
              <w:rPr>
                <w:sz w:val="18"/>
                <w:szCs w:val="18"/>
                <w:color w:val="auto"/>
              </w:rPr>
            </w:pPr>
          </w:p>
        </w:tc>
        <w:tc>
          <w:tcPr>
            <w:tcW w:w="8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9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5,573</w:t>
            </w:r>
          </w:p>
        </w:tc>
        <w:tc>
          <w:tcPr>
            <w:tcW w:w="160" w:type="dxa"/>
            <w:vAlign w:val="bottom"/>
          </w:tcPr>
          <w:p>
            <w:pPr>
              <w:spacing w:after="0"/>
              <w:rPr>
                <w:sz w:val="18"/>
                <w:szCs w:val="18"/>
                <w:color w:val="auto"/>
              </w:rPr>
            </w:pPr>
          </w:p>
        </w:tc>
        <w:tc>
          <w:tcPr>
            <w:tcW w:w="8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9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34,629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3E5588"/>
            </w:tcBorders>
          </w:tcPr>
          <w:p>
            <w:pPr>
              <w:spacing w:after="0" w:line="20" w:lineRule="exact"/>
              <w:rPr>
                <w:sz w:val="1"/>
                <w:szCs w:val="1"/>
                <w:color w:val="auto"/>
              </w:rPr>
            </w:pPr>
          </w:p>
        </w:tc>
        <w:tc>
          <w:tcPr>
            <w:tcW w:w="88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3E5588"/>
            </w:tcBorders>
          </w:tcPr>
          <w:p>
            <w:pPr>
              <w:spacing w:after="0" w:line="20" w:lineRule="exact"/>
              <w:rPr>
                <w:sz w:val="1"/>
                <w:szCs w:val="1"/>
                <w:color w:val="auto"/>
              </w:rPr>
            </w:pPr>
          </w:p>
        </w:tc>
        <w:tc>
          <w:tcPr>
            <w:tcW w:w="88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3E5588"/>
            </w:tcBorders>
          </w:tcPr>
          <w:p>
            <w:pPr>
              <w:spacing w:after="0" w:line="20" w:lineRule="exact"/>
              <w:rPr>
                <w:sz w:val="1"/>
                <w:szCs w:val="1"/>
                <w:color w:val="auto"/>
              </w:rPr>
            </w:pPr>
          </w:p>
        </w:tc>
        <w:tc>
          <w:tcPr>
            <w:tcW w:w="9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3E5588"/>
            </w:tcBorders>
          </w:tcPr>
          <w:p>
            <w:pPr>
              <w:spacing w:after="0" w:line="20" w:lineRule="exact"/>
              <w:rPr>
                <w:sz w:val="1"/>
                <w:szCs w:val="1"/>
                <w:color w:val="auto"/>
              </w:rPr>
            </w:pPr>
          </w:p>
        </w:tc>
        <w:tc>
          <w:tcPr>
            <w:tcW w:w="9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4"/>
        <w:spacing w:after="0" w:line="256" w:lineRule="auto"/>
        <w:rPr>
          <w:sz w:val="20"/>
          <w:szCs w:val="20"/>
          <w:color w:val="auto"/>
        </w:rPr>
      </w:pPr>
      <w:r>
        <w:rPr>
          <w:rFonts w:ascii="Arial" w:cs="Arial" w:eastAsia="Arial" w:hAnsi="Arial"/>
          <w:sz w:val="18"/>
          <w:szCs w:val="18"/>
          <w:color w:val="3E5588"/>
        </w:rPr>
        <w:t>The successful development of our product candidates is highly uncertain. At this time, we cannot reasonably estimate or know the nature, timing, and estimated costs of the efforts that will be necessary to complete the remainder of the development of our product candidates. We are also unable to predict when, if ever, material net cash inflows will commence from our product candidates, if approved. This is due to the numerous risks and uncertainties associated with developing our product candidates, including the uncertainty related to:</w:t>
      </w:r>
    </w:p>
    <w:p>
      <w:pPr>
        <w:spacing w:after="0" w:line="21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timing and progress of preclinical and clinical development activities;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number and scope of preclinical and clinical programs we decide to pursue;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our ability to raise additional funds necessary to complete clinical development of and commercialize our product candidates;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our ability to maintain our current research and development programs and to establish new ones;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our ability to establish new licensing or collaboration arrangements;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progress of the development efforts of parties with whom we may enter into collaboration arrangements;</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successful initiation and completion of clinical trials with safety, tolerability and efficacy profiles that are satisfactory to the U.S. Food and Drug Administration, or FDA, or any comparable foreign regulatory authority;</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receipt and related terms of regulatory approvals from applicable regulatory authorities;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availability of raw materials and active pharmaceutical ingredient, or API, for use in production of our product candidates;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6"/>
          <w:szCs w:val="16"/>
          <w:color w:val="3E5588"/>
        </w:rPr>
      </w:pPr>
      <w:r>
        <w:rPr>
          <w:rFonts w:ascii="Arial" w:cs="Arial" w:eastAsia="Arial" w:hAnsi="Arial"/>
          <w:sz w:val="16"/>
          <w:szCs w:val="16"/>
          <w:color w:val="3E5588"/>
        </w:rPr>
        <w:t>our ability to establish and operate a manufacturing facility, or secure manufacturing supply through relationships with third parties;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our ability to consistently manufacture our product candidates in quantities sufficient for use in clinical trials;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6"/>
          <w:szCs w:val="16"/>
          <w:color w:val="3E5588"/>
        </w:rPr>
      </w:pPr>
      <w:r>
        <w:rPr>
          <w:rFonts w:ascii="Arial" w:cs="Arial" w:eastAsia="Arial" w:hAnsi="Arial"/>
          <w:sz w:val="16"/>
          <w:szCs w:val="16"/>
          <w:color w:val="3E5588"/>
        </w:rPr>
        <w:t>our ability to obtain and maintain intellectual property protection and regulatory exclusivity, both in the United States and internationally;</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our ability to maintain, enforce, defend and protect our rights in our intellectual property portfolio;</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commercialization of our product candidates, if and when approved;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our ability to obtain and maintain third-party coverage and adequate reimbursement for our product candidates, if approved;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the acceptance of our product candidates, if approved, by patients, the medical community and third-party payors;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competition with other products;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2"/>
        </w:numPr>
        <w:rPr>
          <w:rFonts w:ascii="Arial" w:cs="Arial" w:eastAsia="Arial" w:hAnsi="Arial"/>
          <w:sz w:val="18"/>
          <w:szCs w:val="18"/>
          <w:color w:val="3E5588"/>
        </w:rPr>
      </w:pPr>
      <w:r>
        <w:rPr>
          <w:rFonts w:ascii="Arial" w:cs="Arial" w:eastAsia="Arial" w:hAnsi="Arial"/>
          <w:sz w:val="18"/>
          <w:szCs w:val="18"/>
          <w:color w:val="3E5588"/>
        </w:rPr>
        <w:t>a continued acceptable safety profile of our products following receipt of any regulatory approvals.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3E5588"/>
        </w:rPr>
        <w:t>A change in the outcome of any of these variables with respect to the development of any of our product candidates would significantly change the costs and timing associated with the development of that product candidate, and potentially other candidates.</w:t>
      </w:r>
    </w:p>
    <w:p>
      <w:pPr>
        <w:spacing w:after="0" w:line="186" w:lineRule="exact"/>
        <w:rPr>
          <w:sz w:val="20"/>
          <w:szCs w:val="20"/>
          <w:color w:val="auto"/>
        </w:rPr>
      </w:pPr>
    </w:p>
    <w:p>
      <w:pPr>
        <w:jc w:val="both"/>
        <w:ind w:firstLine="494"/>
        <w:spacing w:after="0" w:line="288" w:lineRule="auto"/>
        <w:rPr>
          <w:sz w:val="20"/>
          <w:szCs w:val="20"/>
          <w:color w:val="auto"/>
        </w:rPr>
      </w:pPr>
      <w:r>
        <w:rPr>
          <w:rFonts w:ascii="Arial" w:cs="Arial" w:eastAsia="Arial" w:hAnsi="Arial"/>
          <w:sz w:val="16"/>
          <w:szCs w:val="16"/>
          <w:color w:val="3E5588"/>
        </w:rPr>
        <w:t>Research and development activities account for a significant portion of our operating expenses. We expect our research and development expenses to increase significantly in future periods as we continue to implement our business strategy, which includes advancing losmapimod and FTX-HbF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General and Administrative Expenses</w:t>
      </w:r>
    </w:p>
    <w:p>
      <w:pPr>
        <w:spacing w:after="0" w:line="225"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3E5588"/>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spacing w:after="0" w:line="19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3E5588"/>
        </w:rPr>
        <w:t>We expect our general and administrative expenses will increase for the foreseeable future to support our expanded infrastructure and increased costs of expanding our operations and operating as a public company. These increases will likely include increased expenses related to accounting,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Other Income, Net</w:t>
      </w:r>
    </w:p>
    <w:p>
      <w:pPr>
        <w:spacing w:after="0" w:line="225" w:lineRule="exact"/>
        <w:rPr>
          <w:sz w:val="20"/>
          <w:szCs w:val="20"/>
          <w:color w:val="auto"/>
        </w:rPr>
      </w:pPr>
    </w:p>
    <w:p>
      <w:pPr>
        <w:jc w:val="both"/>
        <w:ind w:firstLine="390"/>
        <w:spacing w:after="0" w:line="268" w:lineRule="auto"/>
        <w:rPr>
          <w:sz w:val="20"/>
          <w:szCs w:val="20"/>
          <w:color w:val="auto"/>
        </w:rPr>
      </w:pPr>
      <w:r>
        <w:rPr>
          <w:rFonts w:ascii="Arial" w:cs="Arial" w:eastAsia="Arial" w:hAnsi="Arial"/>
          <w:sz w:val="18"/>
          <w:szCs w:val="18"/>
          <w:color w:val="3E5588"/>
        </w:rPr>
        <w:t>Other income, net consists primarily of interest income related to our investments in cash equivalents and proceeds from the sale of drug material to a third party during February 2018.</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Comparison of the Three Months Ended March 31, 2018 and 2019</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The following summarizes our results of operations for the three months ended March 31, 2018 and 2019,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3E5588"/>
                <w:w w:val="90"/>
              </w:rPr>
              <w:t>Three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gridSpan w:val="3"/>
            <w:vMerge w:val="restart"/>
          </w:tcPr>
          <w:p>
            <w:pPr>
              <w:spacing w:after="0"/>
              <w:rPr>
                <w:sz w:val="20"/>
                <w:szCs w:val="20"/>
                <w:color w:val="auto"/>
              </w:rPr>
            </w:pPr>
            <w:r>
              <w:rPr>
                <w:rFonts w:ascii="Arial" w:cs="Arial" w:eastAsia="Arial" w:hAnsi="Arial"/>
                <w:sz w:val="14"/>
                <w:szCs w:val="14"/>
                <w:b w:val="1"/>
                <w:bCs w:val="1"/>
                <w:color w:val="3E5588"/>
              </w:rPr>
              <w:t>(in thousands)</w:t>
            </w: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3E5588"/>
              </w:rPr>
              <w:t>March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E5588"/>
                <w:w w:val="89"/>
              </w:rPr>
              <w:t>Change</w:t>
            </w:r>
          </w:p>
        </w:tc>
        <w:tc>
          <w:tcPr>
            <w:tcW w:w="0" w:type="dxa"/>
            <w:vAlign w:val="bottom"/>
          </w:tcPr>
          <w:p>
            <w:pPr>
              <w:spacing w:after="0"/>
              <w:rPr>
                <w:sz w:val="1"/>
                <w:szCs w:val="1"/>
                <w:color w:val="auto"/>
              </w:rPr>
            </w:pPr>
          </w:p>
        </w:tc>
      </w:tr>
      <w:tr>
        <w:trPr>
          <w:trHeight w:val="142"/>
        </w:trPr>
        <w:tc>
          <w:tcPr>
            <w:tcW w:w="368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3E5588"/>
            </w:tcBorders>
          </w:tcPr>
          <w:p>
            <w:pPr>
              <w:spacing w:after="0"/>
              <w:rPr>
                <w:sz w:val="12"/>
                <w:szCs w:val="12"/>
                <w:color w:val="auto"/>
              </w:rPr>
            </w:pPr>
          </w:p>
        </w:tc>
        <w:tc>
          <w:tcPr>
            <w:tcW w:w="540" w:type="dxa"/>
            <w:vAlign w:val="bottom"/>
            <w:tcBorders>
              <w:top w:val="single" w:sz="8" w:color="3E5588"/>
            </w:tcBorders>
          </w:tcPr>
          <w:p>
            <w:pPr>
              <w:jc w:val="right"/>
              <w:ind w:right="139"/>
              <w:spacing w:after="0" w:line="142" w:lineRule="exact"/>
              <w:rPr>
                <w:sz w:val="20"/>
                <w:szCs w:val="20"/>
                <w:color w:val="auto"/>
              </w:rPr>
            </w:pPr>
            <w:r>
              <w:rPr>
                <w:rFonts w:ascii="Arial" w:cs="Arial" w:eastAsia="Arial" w:hAnsi="Arial"/>
                <w:sz w:val="14"/>
                <w:szCs w:val="14"/>
                <w:b w:val="1"/>
                <w:bCs w:val="1"/>
                <w:color w:val="3E5588"/>
                <w:w w:val="96"/>
              </w:rPr>
              <w:t>2018</w:t>
            </w:r>
          </w:p>
        </w:tc>
        <w:tc>
          <w:tcPr>
            <w:tcW w:w="100" w:type="dxa"/>
            <w:vAlign w:val="bottom"/>
            <w:tcBorders>
              <w:top w:val="single" w:sz="8" w:color="3E5588"/>
            </w:tcBorders>
          </w:tcPr>
          <w:p>
            <w:pPr>
              <w:spacing w:after="0"/>
              <w:rPr>
                <w:sz w:val="12"/>
                <w:szCs w:val="12"/>
                <w:color w:val="auto"/>
              </w:rPr>
            </w:pPr>
          </w:p>
        </w:tc>
        <w:tc>
          <w:tcPr>
            <w:tcW w:w="60" w:type="dxa"/>
            <w:vAlign w:val="bottom"/>
            <w:tcBorders>
              <w:top w:val="single" w:sz="8" w:color="3E5588"/>
            </w:tcBorders>
          </w:tcPr>
          <w:p>
            <w:pPr>
              <w:spacing w:after="0"/>
              <w:rPr>
                <w:sz w:val="12"/>
                <w:szCs w:val="12"/>
                <w:color w:val="auto"/>
              </w:rPr>
            </w:pPr>
          </w:p>
        </w:tc>
        <w:tc>
          <w:tcPr>
            <w:tcW w:w="160" w:type="dxa"/>
            <w:vAlign w:val="bottom"/>
            <w:tcBorders>
              <w:top w:val="single" w:sz="8" w:color="3E5588"/>
            </w:tcBorders>
          </w:tcPr>
          <w:p>
            <w:pPr>
              <w:spacing w:after="0"/>
              <w:rPr>
                <w:sz w:val="12"/>
                <w:szCs w:val="12"/>
                <w:color w:val="auto"/>
              </w:rPr>
            </w:pPr>
          </w:p>
        </w:tc>
        <w:tc>
          <w:tcPr>
            <w:tcW w:w="620" w:type="dxa"/>
            <w:vAlign w:val="bottom"/>
            <w:tcBorders>
              <w:top w:val="single" w:sz="8" w:color="3E5588"/>
            </w:tcBorders>
          </w:tcPr>
          <w:p>
            <w:pPr>
              <w:jc w:val="right"/>
              <w:ind w:right="175"/>
              <w:spacing w:after="0" w:line="142" w:lineRule="exact"/>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2"/>
                <w:szCs w:val="12"/>
                <w:color w:val="auto"/>
              </w:rPr>
            </w:pPr>
          </w:p>
        </w:tc>
        <w:tc>
          <w:tcPr>
            <w:tcW w:w="120" w:type="dxa"/>
            <w:vAlign w:val="bottom"/>
            <w:tcBorders>
              <w:top w:val="single" w:sz="8" w:color="3E5588"/>
            </w:tcBorders>
          </w:tcPr>
          <w:p>
            <w:pPr>
              <w:spacing w:after="0"/>
              <w:rPr>
                <w:sz w:val="12"/>
                <w:szCs w:val="12"/>
                <w:color w:val="auto"/>
              </w:rPr>
            </w:pPr>
          </w:p>
        </w:tc>
        <w:tc>
          <w:tcPr>
            <w:tcW w:w="640" w:type="dxa"/>
            <w:vAlign w:val="bottom"/>
            <w:tcBorders>
              <w:top w:val="single" w:sz="8" w:color="3E5588"/>
            </w:tcBorders>
          </w:tcPr>
          <w:p>
            <w:pPr>
              <w:jc w:val="right"/>
              <w:ind w:right="257"/>
              <w:spacing w:after="0" w:line="142" w:lineRule="exact"/>
              <w:rPr>
                <w:sz w:val="20"/>
                <w:szCs w:val="20"/>
                <w:color w:val="auto"/>
              </w:rPr>
            </w:pPr>
            <w:r>
              <w:rPr>
                <w:rFonts w:ascii="Arial" w:cs="Arial" w:eastAsia="Arial" w:hAnsi="Arial"/>
                <w:sz w:val="14"/>
                <w:szCs w:val="14"/>
                <w:b w:val="1"/>
                <w:bCs w:val="1"/>
                <w:color w:val="3E5588"/>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3E5588"/>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Operating expenses: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3E5588"/>
              </w:rPr>
              <w:t>Research and development</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3E5588"/>
              </w:rPr>
              <w:t>$</w:t>
            </w:r>
          </w:p>
        </w:tc>
        <w:tc>
          <w:tcPr>
            <w:tcW w:w="540" w:type="dxa"/>
            <w:vAlign w:val="bottom"/>
          </w:tcPr>
          <w:p>
            <w:pPr>
              <w:jc w:val="right"/>
              <w:spacing w:after="0"/>
              <w:rPr>
                <w:sz w:val="20"/>
                <w:szCs w:val="20"/>
                <w:color w:val="auto"/>
              </w:rPr>
            </w:pPr>
            <w:r>
              <w:rPr>
                <w:rFonts w:ascii="Arial" w:cs="Arial" w:eastAsia="Arial" w:hAnsi="Arial"/>
                <w:sz w:val="18"/>
                <w:szCs w:val="18"/>
                <w:color w:val="3E5588"/>
              </w:rPr>
              <w:t>5,573</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34,629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E5588"/>
              </w:rPr>
              <w:t>29,056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General and administrative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2,598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861</w:t>
            </w:r>
          </w:p>
        </w:tc>
        <w:tc>
          <w:tcPr>
            <w:tcW w:w="0" w:type="dxa"/>
            <w:vAlign w:val="bottom"/>
          </w:tcPr>
          <w:p>
            <w:pPr>
              <w:spacing w:after="0"/>
              <w:rPr>
                <w:sz w:val="1"/>
                <w:szCs w:val="1"/>
                <w:color w:val="auto"/>
              </w:rPr>
            </w:pPr>
          </w:p>
        </w:tc>
      </w:tr>
      <w:tr>
        <w:trPr>
          <w:trHeight w:val="210"/>
        </w:trPr>
        <w:tc>
          <w:tcPr>
            <w:tcW w:w="3680" w:type="dxa"/>
            <w:vAlign w:val="bottom"/>
            <w:gridSpan w:val="3"/>
          </w:tcPr>
          <w:p>
            <w:pPr>
              <w:spacing w:after="0"/>
              <w:rPr>
                <w:sz w:val="20"/>
                <w:szCs w:val="20"/>
                <w:color w:val="auto"/>
              </w:rPr>
            </w:pPr>
            <w:r>
              <w:rPr>
                <w:rFonts w:ascii="Arial" w:cs="Arial" w:eastAsia="Arial" w:hAnsi="Arial"/>
                <w:sz w:val="18"/>
                <w:szCs w:val="18"/>
                <w:color w:val="3E5588"/>
              </w:rPr>
              <w:t>Total operating expenses</w:t>
            </w:r>
          </w:p>
        </w:tc>
        <w:tc>
          <w:tcPr>
            <w:tcW w:w="1600" w:type="dxa"/>
            <w:vAlign w:val="bottom"/>
          </w:tcPr>
          <w:p>
            <w:pPr>
              <w:spacing w:after="0"/>
              <w:rPr>
                <w:sz w:val="18"/>
                <w:szCs w:val="18"/>
                <w:color w:val="auto"/>
              </w:rPr>
            </w:pPr>
          </w:p>
        </w:tc>
        <w:tc>
          <w:tcPr>
            <w:tcW w:w="140" w:type="dxa"/>
            <w:vAlign w:val="bottom"/>
            <w:tcBorders>
              <w:top w:val="single" w:sz="8" w:color="3E5588"/>
              <w:bottom w:val="single" w:sz="8" w:color="3E5588"/>
            </w:tcBorders>
          </w:tcPr>
          <w:p>
            <w:pPr>
              <w:spacing w:after="0"/>
              <w:rPr>
                <w:sz w:val="18"/>
                <w:szCs w:val="18"/>
                <w:color w:val="auto"/>
              </w:rPr>
            </w:pPr>
          </w:p>
        </w:tc>
        <w:tc>
          <w:tcPr>
            <w:tcW w:w="5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3E5588"/>
              <w:bottom w:val="single" w:sz="8" w:color="3E5588"/>
            </w:tcBorders>
          </w:tcPr>
          <w:p>
            <w:pPr>
              <w:spacing w:after="0"/>
              <w:rPr>
                <w:sz w:val="18"/>
                <w:szCs w:val="18"/>
                <w:color w:val="auto"/>
              </w:rPr>
            </w:pP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37,227</w:t>
            </w:r>
          </w:p>
        </w:tc>
        <w:tc>
          <w:tcPr>
            <w:tcW w:w="160" w:type="dxa"/>
            <w:vAlign w:val="bottom"/>
          </w:tcPr>
          <w:p>
            <w:pPr>
              <w:spacing w:after="0"/>
              <w:rPr>
                <w:sz w:val="18"/>
                <w:szCs w:val="18"/>
                <w:color w:val="auto"/>
              </w:rPr>
            </w:pPr>
          </w:p>
        </w:tc>
        <w:tc>
          <w:tcPr>
            <w:tcW w:w="120" w:type="dxa"/>
            <w:vAlign w:val="bottom"/>
            <w:tcBorders>
              <w:top w:val="single" w:sz="8" w:color="3E5588"/>
              <w:bottom w:val="single" w:sz="8" w:color="3E5588"/>
            </w:tcBorders>
          </w:tcPr>
          <w:p>
            <w:pPr>
              <w:spacing w:after="0"/>
              <w:rPr>
                <w:sz w:val="18"/>
                <w:szCs w:val="18"/>
                <w:color w:val="auto"/>
              </w:rPr>
            </w:pPr>
          </w:p>
        </w:tc>
        <w:tc>
          <w:tcPr>
            <w:tcW w:w="6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29,917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Loss from operations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(7,310)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w w:val="95"/>
              </w:rPr>
              <w:t>(37,227)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(29,917)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3E5588"/>
              </w:rPr>
              <w:t>Other income,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3E5588"/>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384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E5588"/>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Net loss</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(6,940)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w w:val="95"/>
              </w:rPr>
              <w:t>(36,843)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(29,903)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Research and Development Expenses</w:t>
      </w:r>
    </w:p>
    <w:p>
      <w:pPr>
        <w:spacing w:after="0" w:line="225" w:lineRule="exact"/>
        <w:rPr>
          <w:sz w:val="20"/>
          <w:szCs w:val="20"/>
          <w:color w:val="auto"/>
        </w:rPr>
      </w:pPr>
    </w:p>
    <w:p>
      <w:pPr>
        <w:ind w:firstLine="398"/>
        <w:spacing w:after="0" w:line="332" w:lineRule="auto"/>
        <w:rPr>
          <w:sz w:val="20"/>
          <w:szCs w:val="20"/>
          <w:color w:val="auto"/>
        </w:rPr>
      </w:pPr>
      <w:r>
        <w:rPr>
          <w:rFonts w:ascii="Arial" w:cs="Arial" w:eastAsia="Arial" w:hAnsi="Arial"/>
          <w:sz w:val="16"/>
          <w:szCs w:val="16"/>
          <w:color w:val="3E5588"/>
        </w:rPr>
        <w:t>Research and development expense increased by $29.0 million from $5.6 million for the three months ended March 31, 2018 to $34.6 million for the three months ended March 31, 2019. The increase in research and development expense was primarily attributable to the following:</w:t>
      </w:r>
    </w:p>
    <w:p>
      <w:pPr>
        <w:spacing w:after="0" w:line="153" w:lineRule="exact"/>
        <w:rPr>
          <w:sz w:val="20"/>
          <w:szCs w:val="20"/>
          <w:color w:val="auto"/>
        </w:rPr>
      </w:pPr>
    </w:p>
    <w:p>
      <w:pPr>
        <w:ind w:left="1080" w:right="20" w:hanging="532"/>
        <w:spacing w:after="0" w:line="268" w:lineRule="auto"/>
        <w:tabs>
          <w:tab w:leader="none" w:pos="1080" w:val="left"/>
        </w:tabs>
        <w:numPr>
          <w:ilvl w:val="0"/>
          <w:numId w:val="53"/>
        </w:numPr>
        <w:rPr>
          <w:rFonts w:ascii="Arial" w:cs="Arial" w:eastAsia="Arial" w:hAnsi="Arial"/>
          <w:sz w:val="18"/>
          <w:szCs w:val="18"/>
          <w:color w:val="3E5588"/>
        </w:rPr>
      </w:pPr>
      <w:r>
        <w:rPr>
          <w:rFonts w:ascii="Arial" w:cs="Arial" w:eastAsia="Arial" w:hAnsi="Arial"/>
          <w:sz w:val="18"/>
          <w:szCs w:val="18"/>
          <w:color w:val="3E5588"/>
        </w:rPr>
        <w:t>$25.6 million in increased IPR&amp;D expenses associated with the recognition of the fair value attributable to the right of reference and license agreement with GSK during the three months ended March 31, 2019;</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3"/>
        </w:numPr>
        <w:rPr>
          <w:rFonts w:ascii="Arial" w:cs="Arial" w:eastAsia="Arial" w:hAnsi="Arial"/>
          <w:sz w:val="18"/>
          <w:szCs w:val="18"/>
          <w:color w:val="3E5588"/>
        </w:rPr>
      </w:pPr>
      <w:r>
        <w:rPr>
          <w:rFonts w:ascii="Arial" w:cs="Arial" w:eastAsia="Arial" w:hAnsi="Arial"/>
          <w:sz w:val="18"/>
          <w:szCs w:val="18"/>
          <w:color w:val="3E5588"/>
        </w:rPr>
        <w:t>$1.8 million in increased costs for external clinical activities as we advanced losmapimod into a Phase 1 clinical trial and conducted preparatory studies in anticipation of initiating Phase 2 clinical trials in mid-2019;</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3"/>
        </w:numPr>
        <w:rPr>
          <w:rFonts w:ascii="Arial" w:cs="Arial" w:eastAsia="Arial" w:hAnsi="Arial"/>
          <w:sz w:val="18"/>
          <w:szCs w:val="18"/>
          <w:color w:val="3E5588"/>
        </w:rPr>
      </w:pPr>
      <w:r>
        <w:rPr>
          <w:rFonts w:ascii="Arial" w:cs="Arial" w:eastAsia="Arial" w:hAnsi="Arial"/>
          <w:sz w:val="18"/>
          <w:szCs w:val="18"/>
          <w:color w:val="3E5588"/>
        </w:rPr>
        <w:t>$0.8 million in increased personnel-related costs due to increased headcount, including $0.2 million of increased stock-based compensation expense; and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53"/>
        </w:numPr>
        <w:rPr>
          <w:rFonts w:ascii="Arial" w:cs="Arial" w:eastAsia="Arial" w:hAnsi="Arial"/>
          <w:sz w:val="18"/>
          <w:szCs w:val="18"/>
          <w:color w:val="3E5588"/>
        </w:rPr>
      </w:pPr>
      <w:r>
        <w:rPr>
          <w:rFonts w:ascii="Arial" w:cs="Arial" w:eastAsia="Arial" w:hAnsi="Arial"/>
          <w:sz w:val="18"/>
          <w:szCs w:val="18"/>
          <w:color w:val="3E5588"/>
        </w:rPr>
        <w:t>$0.3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General and Administrative Expenses</w:t>
      </w:r>
    </w:p>
    <w:p>
      <w:pPr>
        <w:spacing w:after="0" w:line="225" w:lineRule="exact"/>
        <w:rPr>
          <w:sz w:val="20"/>
          <w:szCs w:val="20"/>
          <w:color w:val="auto"/>
        </w:rPr>
      </w:pPr>
    </w:p>
    <w:p>
      <w:pPr>
        <w:ind w:right="20" w:firstLine="422"/>
        <w:spacing w:after="0" w:line="332" w:lineRule="auto"/>
        <w:rPr>
          <w:sz w:val="20"/>
          <w:szCs w:val="20"/>
          <w:color w:val="auto"/>
        </w:rPr>
      </w:pPr>
      <w:r>
        <w:rPr>
          <w:rFonts w:ascii="Arial" w:cs="Arial" w:eastAsia="Arial" w:hAnsi="Arial"/>
          <w:sz w:val="16"/>
          <w:szCs w:val="16"/>
          <w:color w:val="3E5588"/>
        </w:rPr>
        <w:t>General and administrative expenses increased by $0.9 million from $1.7 million for the three months ended March 31, 2018 to $2.6 million for the three months ended March 31, 2019. The increase in general and administrative expenses was primarily attributable to the following:</w:t>
      </w:r>
    </w:p>
    <w:p>
      <w:pPr>
        <w:spacing w:after="0" w:line="166" w:lineRule="exact"/>
        <w:rPr>
          <w:sz w:val="20"/>
          <w:szCs w:val="20"/>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3E5588"/>
        </w:rPr>
      </w:pPr>
      <w:r>
        <w:rPr>
          <w:rFonts w:ascii="Arial" w:cs="Arial" w:eastAsia="Arial" w:hAnsi="Arial"/>
          <w:sz w:val="16"/>
          <w:szCs w:val="16"/>
          <w:color w:val="3E5588"/>
        </w:rPr>
        <w:t>$0.6 million in increased personnel-related costs, primarily due to increased general and administrative headcount to support the growth of our research and development organization, including $0.2 million of increased stock-based compensation expense; and</w:t>
      </w:r>
    </w:p>
    <w:p>
      <w:pPr>
        <w:spacing w:after="0" w:line="152" w:lineRule="exact"/>
        <w:rPr>
          <w:rFonts w:ascii="Arial" w:cs="Arial" w:eastAsia="Arial" w:hAnsi="Arial"/>
          <w:sz w:val="16"/>
          <w:szCs w:val="16"/>
          <w:color w:val="3E5588"/>
        </w:rPr>
      </w:pPr>
    </w:p>
    <w:p>
      <w:pPr>
        <w:ind w:left="1080" w:hanging="532"/>
        <w:spacing w:after="0"/>
        <w:tabs>
          <w:tab w:leader="none" w:pos="1080" w:val="left"/>
        </w:tabs>
        <w:numPr>
          <w:ilvl w:val="0"/>
          <w:numId w:val="54"/>
        </w:numPr>
        <w:rPr>
          <w:rFonts w:ascii="Arial" w:cs="Arial" w:eastAsia="Arial" w:hAnsi="Arial"/>
          <w:sz w:val="16"/>
          <w:szCs w:val="16"/>
          <w:color w:val="3E5588"/>
        </w:rPr>
      </w:pPr>
      <w:r>
        <w:rPr>
          <w:rFonts w:ascii="Arial" w:cs="Arial" w:eastAsia="Arial" w:hAnsi="Arial"/>
          <w:sz w:val="16"/>
          <w:szCs w:val="16"/>
          <w:color w:val="3E5588"/>
        </w:rPr>
        <w:t>$0.2 million in increased consulting and professional fees, including for legal services, market research, recruiting, accounting, and tax.</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Other Income, Net</w:t>
      </w:r>
    </w:p>
    <w:p>
      <w:pPr>
        <w:spacing w:after="0" w:line="225" w:lineRule="exact"/>
        <w:rPr>
          <w:sz w:val="20"/>
          <w:szCs w:val="20"/>
          <w:color w:val="auto"/>
        </w:rPr>
      </w:pPr>
    </w:p>
    <w:p>
      <w:pPr>
        <w:jc w:val="both"/>
        <w:ind w:firstLine="443"/>
        <w:spacing w:after="0" w:line="306" w:lineRule="auto"/>
        <w:rPr>
          <w:sz w:val="20"/>
          <w:szCs w:val="20"/>
          <w:color w:val="auto"/>
        </w:rPr>
      </w:pPr>
      <w:r>
        <w:rPr>
          <w:rFonts w:ascii="Arial" w:cs="Arial" w:eastAsia="Arial" w:hAnsi="Arial"/>
          <w:sz w:val="16"/>
          <w:szCs w:val="16"/>
          <w:color w:val="3E5588"/>
        </w:rPr>
        <w:t>Other income, net increased by less than $0.1 million from $0.4 million for the three months ended March 31, 2018 to $0.4 million for the three months ended March 31, 2019. Other income, net during the three months ended March 31, 2019 was primarily attributable to investment income of $0.4 million from cash equivalents. During the three months ended March 31, 2018, other income, net related primarily to the sale of drug material to a third party for $0.4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Comparison of the Years Ended December 31, 2017 and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The following summarizes our results of operations for the years ended December 31, 2017 and 2018, along with the changes in those items in dollars: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3E5588"/>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3E5588"/>
              </w:rPr>
              <w:t>December 31,</w:t>
            </w:r>
          </w:p>
        </w:tc>
        <w:tc>
          <w:tcPr>
            <w:tcW w:w="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E5588"/>
                <w:w w:val="89"/>
              </w:rPr>
              <w:t>Change</w:t>
            </w: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3E5588"/>
              </w:rPr>
              <w:t>(in thousands)</w:t>
            </w:r>
          </w:p>
        </w:tc>
        <w:tc>
          <w:tcPr>
            <w:tcW w:w="1540" w:type="dxa"/>
            <w:vAlign w:val="bottom"/>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9"/>
              <w:spacing w:after="0" w:line="142" w:lineRule="exact"/>
              <w:rPr>
                <w:sz w:val="20"/>
                <w:szCs w:val="20"/>
                <w:color w:val="auto"/>
              </w:rPr>
            </w:pPr>
            <w:r>
              <w:rPr>
                <w:rFonts w:ascii="Arial" w:cs="Arial" w:eastAsia="Arial" w:hAnsi="Arial"/>
                <w:sz w:val="14"/>
                <w:szCs w:val="14"/>
                <w:b w:val="1"/>
                <w:bCs w:val="1"/>
                <w:color w:val="3E5588"/>
              </w:rPr>
              <w:t>2017</w:t>
            </w:r>
          </w:p>
        </w:tc>
        <w:tc>
          <w:tcPr>
            <w:tcW w:w="100" w:type="dxa"/>
            <w:vAlign w:val="bottom"/>
            <w:tcBorders>
              <w:top w:val="single" w:sz="8" w:color="3E5588"/>
            </w:tcBorders>
          </w:tcPr>
          <w:p>
            <w:pPr>
              <w:spacing w:after="0"/>
              <w:rPr>
                <w:sz w:val="12"/>
                <w:szCs w:val="12"/>
                <w:color w:val="auto"/>
              </w:rPr>
            </w:pPr>
          </w:p>
        </w:tc>
        <w:tc>
          <w:tcPr>
            <w:tcW w:w="60" w:type="dxa"/>
            <w:vAlign w:val="bottom"/>
            <w:tcBorders>
              <w:top w:val="single" w:sz="8" w:color="3E5588"/>
            </w:tcBorders>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5"/>
              <w:spacing w:after="0" w:line="142" w:lineRule="exact"/>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2"/>
                <w:szCs w:val="12"/>
                <w:color w:val="auto"/>
              </w:rPr>
            </w:pPr>
          </w:p>
        </w:tc>
        <w:tc>
          <w:tcPr>
            <w:tcW w:w="120" w:type="dxa"/>
            <w:vAlign w:val="bottom"/>
            <w:tcBorders>
              <w:top w:val="single" w:sz="8" w:color="3E5588"/>
              <w:bottom w:val="single" w:sz="8" w:color="3E5588"/>
            </w:tcBorders>
          </w:tcPr>
          <w:p>
            <w:pPr>
              <w:spacing w:after="0"/>
              <w:rPr>
                <w:sz w:val="12"/>
                <w:szCs w:val="12"/>
                <w:color w:val="auto"/>
              </w:rPr>
            </w:pPr>
          </w:p>
        </w:tc>
        <w:tc>
          <w:tcPr>
            <w:tcW w:w="640" w:type="dxa"/>
            <w:vAlign w:val="bottom"/>
            <w:tcBorders>
              <w:top w:val="single" w:sz="8" w:color="3E5588"/>
              <w:bottom w:val="single" w:sz="8" w:color="3E5588"/>
            </w:tcBorders>
          </w:tcPr>
          <w:p>
            <w:pPr>
              <w:jc w:val="right"/>
              <w:ind w:right="257"/>
              <w:spacing w:after="0" w:line="142" w:lineRule="exact"/>
              <w:rPr>
                <w:sz w:val="20"/>
                <w:szCs w:val="20"/>
                <w:color w:val="auto"/>
              </w:rPr>
            </w:pPr>
            <w:r>
              <w:rPr>
                <w:rFonts w:ascii="Arial" w:cs="Arial" w:eastAsia="Arial" w:hAnsi="Arial"/>
                <w:sz w:val="14"/>
                <w:szCs w:val="14"/>
                <w:b w:val="1"/>
                <w:bCs w:val="1"/>
                <w:color w:val="3E5588"/>
              </w:rPr>
              <w:t>$</w:t>
            </w:r>
          </w:p>
        </w:tc>
        <w:tc>
          <w:tcPr>
            <w:tcW w:w="160" w:type="dxa"/>
            <w:vAlign w:val="bottom"/>
          </w:tcPr>
          <w:p>
            <w:pPr>
              <w:spacing w:after="0"/>
              <w:rPr>
                <w:sz w:val="12"/>
                <w:szCs w:val="12"/>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3E5588"/>
              </w:rPr>
              <w:t>Operating expenses: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3E5588"/>
              </w:rPr>
              <w:t>Research and development</w:t>
            </w:r>
          </w:p>
        </w:tc>
        <w:tc>
          <w:tcPr>
            <w:tcW w:w="17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18,494</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25,184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E5588"/>
              </w:rPr>
              <w:t>6,690</w:t>
            </w:r>
          </w:p>
        </w:tc>
      </w:tr>
      <w:tr>
        <w:trPr>
          <w:trHeight w:val="216"/>
        </w:trPr>
        <w:tc>
          <w:tcPr>
            <w:tcW w:w="364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General and administrative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8,314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3,815</w:t>
            </w:r>
          </w:p>
        </w:tc>
      </w:tr>
      <w:tr>
        <w:trPr>
          <w:trHeight w:val="210"/>
        </w:trPr>
        <w:tc>
          <w:tcPr>
            <w:tcW w:w="3640" w:type="dxa"/>
            <w:vAlign w:val="bottom"/>
          </w:tcPr>
          <w:p>
            <w:pPr>
              <w:spacing w:after="0"/>
              <w:rPr>
                <w:sz w:val="20"/>
                <w:szCs w:val="20"/>
                <w:color w:val="auto"/>
              </w:rPr>
            </w:pPr>
            <w:r>
              <w:rPr>
                <w:rFonts w:ascii="Arial" w:cs="Arial" w:eastAsia="Arial" w:hAnsi="Arial"/>
                <w:sz w:val="18"/>
                <w:szCs w:val="18"/>
                <w:color w:val="3E5588"/>
              </w:rPr>
              <w:t>Total operating expenses</w:t>
            </w:r>
          </w:p>
        </w:tc>
        <w:tc>
          <w:tcPr>
            <w:tcW w:w="1540" w:type="dxa"/>
            <w:vAlign w:val="bottom"/>
          </w:tcPr>
          <w:p>
            <w:pPr>
              <w:spacing w:after="0"/>
              <w:rPr>
                <w:sz w:val="18"/>
                <w:szCs w:val="18"/>
                <w:color w:val="auto"/>
              </w:rPr>
            </w:pPr>
          </w:p>
        </w:tc>
        <w:tc>
          <w:tcPr>
            <w:tcW w:w="160" w:type="dxa"/>
            <w:vAlign w:val="bottom"/>
            <w:tcBorders>
              <w:top w:val="single" w:sz="8" w:color="3E5588"/>
              <w:bottom w:val="single" w:sz="8" w:color="3E5588"/>
            </w:tcBorders>
          </w:tcPr>
          <w:p>
            <w:pPr>
              <w:spacing w:after="0"/>
              <w:rPr>
                <w:sz w:val="18"/>
                <w:szCs w:val="18"/>
                <w:color w:val="auto"/>
              </w:rPr>
            </w:pP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3E5588"/>
              <w:bottom w:val="single" w:sz="8" w:color="3E5588"/>
            </w:tcBorders>
          </w:tcPr>
          <w:p>
            <w:pPr>
              <w:spacing w:after="0"/>
              <w:rPr>
                <w:sz w:val="18"/>
                <w:szCs w:val="18"/>
                <w:color w:val="auto"/>
              </w:rPr>
            </w:pPr>
          </w:p>
        </w:tc>
        <w:tc>
          <w:tcPr>
            <w:tcW w:w="6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33,498</w:t>
            </w:r>
          </w:p>
        </w:tc>
        <w:tc>
          <w:tcPr>
            <w:tcW w:w="160" w:type="dxa"/>
            <w:vAlign w:val="bottom"/>
          </w:tcPr>
          <w:p>
            <w:pPr>
              <w:spacing w:after="0"/>
              <w:rPr>
                <w:sz w:val="18"/>
                <w:szCs w:val="18"/>
                <w:color w:val="auto"/>
              </w:rPr>
            </w:pPr>
          </w:p>
        </w:tc>
        <w:tc>
          <w:tcPr>
            <w:tcW w:w="120" w:type="dxa"/>
            <w:vAlign w:val="bottom"/>
            <w:tcBorders>
              <w:top w:val="single" w:sz="8" w:color="3E5588"/>
              <w:bottom w:val="single" w:sz="8" w:color="3E5588"/>
            </w:tcBorders>
          </w:tcPr>
          <w:p>
            <w:pPr>
              <w:spacing w:after="0"/>
              <w:rPr>
                <w:sz w:val="18"/>
                <w:szCs w:val="18"/>
                <w:color w:val="auto"/>
              </w:rPr>
            </w:pPr>
          </w:p>
        </w:tc>
        <w:tc>
          <w:tcPr>
            <w:tcW w:w="6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10,505</w:t>
            </w:r>
          </w:p>
        </w:tc>
        <w:tc>
          <w:tcPr>
            <w:tcW w:w="160" w:type="dxa"/>
            <w:vAlign w:val="bottom"/>
          </w:tcPr>
          <w:p>
            <w:pPr>
              <w:spacing w:after="0"/>
              <w:rPr>
                <w:sz w:val="18"/>
                <w:szCs w:val="18"/>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3E5588"/>
              </w:rPr>
              <w:t>Loss from operations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w w:val="98"/>
              </w:rPr>
              <w:t>(22,993)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w w:val="95"/>
              </w:rPr>
              <w:t>(33,498)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(10,505)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3E5588"/>
              </w:rPr>
              <w:t>Other income, net</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910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3E5588"/>
              </w:rPr>
              <w:t>881</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3E5588"/>
              </w:rPr>
              <w:t>Net loss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w w:val="98"/>
              </w:rPr>
              <w:t>(22,964)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w w:val="95"/>
              </w:rPr>
              <w:t>(32,588)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(9,624)</w:t>
            </w:r>
          </w:p>
        </w:tc>
      </w:tr>
      <w:tr>
        <w:trPr>
          <w:trHeight w:val="20"/>
        </w:trPr>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3E5588"/>
              <w:bottom w:val="single" w:sz="8" w:color="3E5588"/>
            </w:tcBorders>
          </w:tcPr>
          <w:p>
            <w:pPr>
              <w:spacing w:after="0" w:line="20" w:lineRule="exact"/>
              <w:rPr>
                <w:sz w:val="1"/>
                <w:szCs w:val="1"/>
                <w:color w:val="auto"/>
              </w:rPr>
            </w:pPr>
          </w:p>
        </w:tc>
        <w:tc>
          <w:tcPr>
            <w:tcW w:w="64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Research and Development Expenses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3E5588"/>
        </w:rPr>
        <w:t>Research and development expense increased by $6.7 million from $18.5 million for the year ended December 31, 2017 to $25.2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E5588"/>
        </w:rPr>
        <w:t>December 31, 2018. The increase in research and development expense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3E5588"/>
        </w:rPr>
      </w:pPr>
      <w:r>
        <w:rPr>
          <w:rFonts w:ascii="Arial" w:cs="Arial" w:eastAsia="Arial" w:hAnsi="Arial"/>
          <w:sz w:val="18"/>
          <w:szCs w:val="18"/>
          <w:color w:val="3E5588"/>
        </w:rPr>
        <w:t>$2.4 million in increased facility-related costs, including rent and other costs related to our new facility lease that commenced in December 2017, depreciation and other utility and maintenance costs;</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5"/>
        </w:numPr>
        <w:rPr>
          <w:rFonts w:ascii="Arial" w:cs="Arial" w:eastAsia="Arial" w:hAnsi="Arial"/>
          <w:sz w:val="18"/>
          <w:szCs w:val="18"/>
          <w:color w:val="3E5588"/>
        </w:rPr>
      </w:pPr>
      <w:r>
        <w:rPr>
          <w:rFonts w:ascii="Arial" w:cs="Arial" w:eastAsia="Arial" w:hAnsi="Arial"/>
          <w:sz w:val="18"/>
          <w:szCs w:val="18"/>
          <w:color w:val="3E5588"/>
        </w:rPr>
        <w:t>$1.6 million in increased external manufacturing costs related to losmapimod and increased chemistry efforts for our hemoglobinopathies program;</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5"/>
        </w:numPr>
        <w:rPr>
          <w:rFonts w:ascii="Arial" w:cs="Arial" w:eastAsia="Arial" w:hAnsi="Arial"/>
          <w:sz w:val="18"/>
          <w:szCs w:val="18"/>
          <w:color w:val="3E5588"/>
        </w:rPr>
      </w:pPr>
      <w:r>
        <w:rPr>
          <w:rFonts w:ascii="Arial" w:cs="Arial" w:eastAsia="Arial" w:hAnsi="Arial"/>
          <w:sz w:val="18"/>
          <w:szCs w:val="18"/>
          <w:color w:val="3E5588"/>
        </w:rPr>
        <w:t>$1.3 million in increased personnel-related costs due to increased headcount, including $0.3 million of increased stock-based compensation expense;</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55"/>
        </w:numPr>
        <w:rPr>
          <w:rFonts w:ascii="Arial" w:cs="Arial" w:eastAsia="Arial" w:hAnsi="Arial"/>
          <w:sz w:val="18"/>
          <w:szCs w:val="18"/>
          <w:color w:val="3E5588"/>
        </w:rPr>
      </w:pPr>
      <w:r>
        <w:rPr>
          <w:rFonts w:ascii="Arial" w:cs="Arial" w:eastAsia="Arial" w:hAnsi="Arial"/>
          <w:sz w:val="18"/>
          <w:szCs w:val="18"/>
          <w:color w:val="3E5588"/>
        </w:rPr>
        <w:t>$0.9 million in increased costs for preparatory studies in anticipation of initiating losmapimod clinical trials in 2019; and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55"/>
        </w:numPr>
        <w:rPr>
          <w:rFonts w:ascii="Arial" w:cs="Arial" w:eastAsia="Arial" w:hAnsi="Arial"/>
          <w:sz w:val="18"/>
          <w:szCs w:val="18"/>
          <w:color w:val="3E5588"/>
        </w:rPr>
      </w:pPr>
      <w:r>
        <w:rPr>
          <w:rFonts w:ascii="Arial" w:cs="Arial" w:eastAsia="Arial" w:hAnsi="Arial"/>
          <w:sz w:val="18"/>
          <w:szCs w:val="18"/>
          <w:color w:val="3E5588"/>
        </w:rPr>
        <w:t>$0.4 million in increased laboratory supplies to support our expanding research efforts.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General and Administrative Expenses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3E5588"/>
        </w:rPr>
        <w:t>General and administrative expenses increased by $3.8 million from $4.5 million for the year ended December 31, 2017 to $8.3 million for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E5588"/>
        </w:rPr>
        <w:t>December 31, 2018. The increase in general and administrative expenses was primarily attributable to the following:</w:t>
      </w:r>
    </w:p>
    <w:p>
      <w:pPr>
        <w:spacing w:after="0" w:line="232" w:lineRule="exact"/>
        <w:rPr>
          <w:sz w:val="20"/>
          <w:szCs w:val="20"/>
          <w:color w:val="auto"/>
        </w:rPr>
      </w:pPr>
    </w:p>
    <w:p>
      <w:pPr>
        <w:ind w:left="1080" w:hanging="532"/>
        <w:spacing w:after="0" w:line="268" w:lineRule="auto"/>
        <w:tabs>
          <w:tab w:leader="none" w:pos="1080" w:val="left"/>
        </w:tabs>
        <w:numPr>
          <w:ilvl w:val="0"/>
          <w:numId w:val="56"/>
        </w:numPr>
        <w:rPr>
          <w:rFonts w:ascii="Arial" w:cs="Arial" w:eastAsia="Arial" w:hAnsi="Arial"/>
          <w:sz w:val="18"/>
          <w:szCs w:val="18"/>
          <w:color w:val="3E5588"/>
        </w:rPr>
      </w:pPr>
      <w:r>
        <w:rPr>
          <w:rFonts w:ascii="Arial" w:cs="Arial" w:eastAsia="Arial" w:hAnsi="Arial"/>
          <w:sz w:val="18"/>
          <w:szCs w:val="18"/>
          <w:color w:val="3E5588"/>
        </w:rPr>
        <w:t>$1.9 million in increased personnel-related costs, primarily due to increased general and administrative headcount to support the growth of our research and development organization, including $0.5 million of increased stock-based compensation expense;</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56"/>
        </w:numPr>
        <w:rPr>
          <w:rFonts w:ascii="Arial" w:cs="Arial" w:eastAsia="Arial" w:hAnsi="Arial"/>
          <w:sz w:val="16"/>
          <w:szCs w:val="16"/>
          <w:color w:val="3E5588"/>
        </w:rPr>
      </w:pPr>
      <w:r>
        <w:rPr>
          <w:rFonts w:ascii="Arial" w:cs="Arial" w:eastAsia="Arial" w:hAnsi="Arial"/>
          <w:sz w:val="16"/>
          <w:szCs w:val="16"/>
          <w:color w:val="3E5588"/>
        </w:rPr>
        <w:t>$1.1 million in increased consulting and professional fees, including for legal services, market research, recruiting, accounting and tax; and</w:t>
      </w:r>
    </w:p>
    <w:p>
      <w:pPr>
        <w:spacing w:after="0" w:line="275"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56"/>
        </w:numPr>
        <w:rPr>
          <w:rFonts w:ascii="Arial" w:cs="Arial" w:eastAsia="Arial" w:hAnsi="Arial"/>
          <w:sz w:val="18"/>
          <w:szCs w:val="18"/>
          <w:color w:val="3E5588"/>
        </w:rPr>
      </w:pPr>
      <w:r>
        <w:rPr>
          <w:rFonts w:ascii="Arial" w:cs="Arial" w:eastAsia="Arial" w:hAnsi="Arial"/>
          <w:sz w:val="18"/>
          <w:szCs w:val="18"/>
          <w:color w:val="3E5588"/>
        </w:rPr>
        <w:t>$0.4 million in increased facility-related costs, including rent and other costs related to our new facility lease that commenced in December 2017, depreciation and other utility and maintenance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Other Income, Net</w:t>
      </w:r>
    </w:p>
    <w:p>
      <w:pPr>
        <w:spacing w:after="0" w:line="225" w:lineRule="exact"/>
        <w:rPr>
          <w:sz w:val="20"/>
          <w:szCs w:val="20"/>
          <w:color w:val="auto"/>
        </w:rPr>
      </w:pPr>
    </w:p>
    <w:p>
      <w:pPr>
        <w:ind w:right="20" w:firstLine="564"/>
        <w:spacing w:after="0" w:line="332" w:lineRule="auto"/>
        <w:rPr>
          <w:sz w:val="20"/>
          <w:szCs w:val="20"/>
          <w:color w:val="auto"/>
        </w:rPr>
      </w:pPr>
      <w:r>
        <w:rPr>
          <w:rFonts w:ascii="Arial" w:cs="Arial" w:eastAsia="Arial" w:hAnsi="Arial"/>
          <w:sz w:val="16"/>
          <w:szCs w:val="16"/>
          <w:color w:val="3E5588"/>
        </w:rPr>
        <w:t>Other income, net increased by $0.9 million from less than $0.1 million for the year ended December 31, 2017 to $0.9 million for the year ended December 31, 2018. The increase in other income, net was primarily attributable to an increase in investment income of $0.5 million during the year ended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December 31, 2018 due to higher cash equivalents in 2018 and the sale of drug material to a third party in February 2018 for $0.4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Sources of Liquidity</w:t>
      </w:r>
    </w:p>
    <w:p>
      <w:pPr>
        <w:spacing w:after="0" w:line="225"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3E5588"/>
        </w:rPr>
        <w:t>We have incurred significant operating losses since our inception and expect to continue to incur significant operating losses for the foreseeable future and may never become profitable. We have not yet commercialized any of our product candidates, which are in various phases of preclinical and clinical development, and we do not expect to generate revenue from sales of any products for several years, if at all. We have primarily funded our operations through March 31, 2019 with aggregate gross proceeds of $140.0 million from the issuance of convertible notes and convertible preferred stock. As of March 31, 2019, we had cash and cash equivalents of $62.5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Cash Flows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3E5588"/>
        </w:rPr>
        <w:t>The following table provides information regarding our cash flows for the years ended December 31, 2017 and 2018, and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E5588"/>
        </w:rPr>
        <w:t>March 31, 2018 and 2019:</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E5588"/>
                <w:w w:val="89"/>
              </w:rPr>
              <w:t>Three Months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E5588"/>
                <w:w w:val="89"/>
              </w:rPr>
              <w:t>Three Months</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E5588"/>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E5588"/>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E5588"/>
                <w:w w:val="88"/>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88"/>
              </w:rPr>
              <w:t>Ended</w:t>
            </w: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E5588"/>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E5588"/>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E5588"/>
                <w:w w:val="92"/>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E5588"/>
                <w:w w:val="92"/>
              </w:rPr>
              <w:t>March 31,</w:t>
            </w:r>
          </w:p>
        </w:tc>
      </w:tr>
      <w:tr>
        <w:trPr>
          <w:trHeight w:val="161"/>
        </w:trPr>
        <w:tc>
          <w:tcPr>
            <w:tcW w:w="4580" w:type="dxa"/>
            <w:vAlign w:val="bottom"/>
            <w:gridSpan w:val="2"/>
          </w:tcPr>
          <w:p>
            <w:pPr>
              <w:spacing w:after="0"/>
              <w:rPr>
                <w:sz w:val="20"/>
                <w:szCs w:val="20"/>
                <w:color w:val="auto"/>
              </w:rPr>
            </w:pPr>
            <w:r>
              <w:rPr>
                <w:rFonts w:ascii="Arial" w:cs="Arial" w:eastAsia="Arial" w:hAnsi="Arial"/>
                <w:sz w:val="14"/>
                <w:szCs w:val="14"/>
                <w:b w:val="1"/>
                <w:bCs w:val="1"/>
                <w:color w:val="3E5588"/>
              </w:rPr>
              <w:t>(in thousands)</w:t>
            </w:r>
          </w:p>
        </w:tc>
        <w:tc>
          <w:tcPr>
            <w:tcW w:w="80" w:type="dxa"/>
            <w:vAlign w:val="bottom"/>
            <w:tcBorders>
              <w:bottom w:val="single" w:sz="8" w:color="3E5588"/>
            </w:tcBorders>
          </w:tcPr>
          <w:p>
            <w:pPr>
              <w:spacing w:after="0"/>
              <w:rPr>
                <w:sz w:val="14"/>
                <w:szCs w:val="14"/>
                <w:color w:val="auto"/>
              </w:rPr>
            </w:pPr>
          </w:p>
        </w:tc>
        <w:tc>
          <w:tcPr>
            <w:tcW w:w="880" w:type="dxa"/>
            <w:vAlign w:val="bottom"/>
            <w:tcBorders>
              <w:bottom w:val="single" w:sz="8" w:color="3E5588"/>
            </w:tcBorders>
          </w:tcPr>
          <w:p>
            <w:pPr>
              <w:jc w:val="center"/>
              <w:ind w:right="21"/>
              <w:spacing w:after="0"/>
              <w:rPr>
                <w:sz w:val="20"/>
                <w:szCs w:val="20"/>
                <w:color w:val="auto"/>
              </w:rPr>
            </w:pPr>
            <w:r>
              <w:rPr>
                <w:rFonts w:ascii="Arial" w:cs="Arial" w:eastAsia="Arial" w:hAnsi="Arial"/>
                <w:sz w:val="14"/>
                <w:szCs w:val="14"/>
                <w:b w:val="1"/>
                <w:bCs w:val="1"/>
                <w:color w:val="3E5588"/>
                <w:w w:val="83"/>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880" w:type="dxa"/>
            <w:vAlign w:val="bottom"/>
            <w:tcBorders>
              <w:bottom w:val="single" w:sz="8" w:color="3E5588"/>
            </w:tcBorders>
          </w:tcPr>
          <w:p>
            <w:pPr>
              <w:jc w:val="center"/>
              <w:ind w:right="21"/>
              <w:spacing w:after="0"/>
              <w:rPr>
                <w:sz w:val="20"/>
                <w:szCs w:val="20"/>
                <w:color w:val="auto"/>
              </w:rPr>
            </w:pPr>
            <w:r>
              <w:rPr>
                <w:rFonts w:ascii="Arial" w:cs="Arial" w:eastAsia="Arial" w:hAnsi="Arial"/>
                <w:sz w:val="14"/>
                <w:szCs w:val="14"/>
                <w:b w:val="1"/>
                <w:bCs w:val="1"/>
                <w:color w:val="3E5588"/>
                <w:w w:val="83"/>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920" w:type="dxa"/>
            <w:vAlign w:val="bottom"/>
            <w:tcBorders>
              <w:bottom w:val="single" w:sz="8" w:color="3E5588"/>
            </w:tcBorders>
          </w:tcPr>
          <w:p>
            <w:pPr>
              <w:jc w:val="center"/>
              <w:ind w:right="2"/>
              <w:spacing w:after="0"/>
              <w:rPr>
                <w:sz w:val="20"/>
                <w:szCs w:val="20"/>
                <w:color w:val="auto"/>
              </w:rPr>
            </w:pPr>
            <w:r>
              <w:rPr>
                <w:rFonts w:ascii="Arial" w:cs="Arial" w:eastAsia="Arial" w:hAnsi="Arial"/>
                <w:sz w:val="14"/>
                <w:szCs w:val="14"/>
                <w:b w:val="1"/>
                <w:bCs w:val="1"/>
                <w:color w:val="3E5588"/>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920" w:type="dxa"/>
            <w:vAlign w:val="bottom"/>
            <w:tcBorders>
              <w:bottom w:val="single" w:sz="8" w:color="3E5588"/>
            </w:tcBorders>
          </w:tcPr>
          <w:p>
            <w:pPr>
              <w:jc w:val="center"/>
              <w:ind w:right="2"/>
              <w:spacing w:after="0"/>
              <w:rPr>
                <w:sz w:val="20"/>
                <w:szCs w:val="20"/>
                <w:color w:val="auto"/>
              </w:rPr>
            </w:pPr>
            <w:r>
              <w:rPr>
                <w:rFonts w:ascii="Arial" w:cs="Arial" w:eastAsia="Arial" w:hAnsi="Arial"/>
                <w:sz w:val="14"/>
                <w:szCs w:val="14"/>
                <w:b w:val="1"/>
                <w:bCs w:val="1"/>
                <w:color w:val="3E5588"/>
                <w:w w:val="89"/>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3E5588"/>
              </w:rPr>
              <w:t>Net cash used in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(20,074)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(22,562)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(6,632)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(9,897)</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3E5588"/>
              </w:rPr>
              <w:t>Net cash used in investing activities</w:t>
            </w: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3E5588"/>
              </w:rPr>
              <w:t>(1,908)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3E5588"/>
              </w:rPr>
              <w:t>(8,981)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3E5588"/>
              </w:rPr>
              <w:t>(783)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3E5588"/>
              </w:rPr>
              <w:t>(401)</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3E5588"/>
              </w:rPr>
              <w:t>Net cash provided by (used in) financing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105,025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(47)</w:t>
            </w:r>
          </w:p>
        </w:tc>
      </w:tr>
      <w:tr>
        <w:trPr>
          <w:trHeight w:val="201"/>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3E5588"/>
              </w:rPr>
              <w:t>Net (decrease) increase in cash, cash equivalents, and</w:t>
            </w:r>
          </w:p>
        </w:tc>
        <w:tc>
          <w:tcPr>
            <w:tcW w:w="80" w:type="dxa"/>
            <w:vAlign w:val="bottom"/>
            <w:tcBorders>
              <w:top w:val="single" w:sz="8" w:color="3E5588"/>
            </w:tcBorders>
          </w:tcPr>
          <w:p>
            <w:pPr>
              <w:spacing w:after="0"/>
              <w:rPr>
                <w:sz w:val="17"/>
                <w:szCs w:val="17"/>
                <w:color w:val="auto"/>
              </w:rPr>
            </w:pPr>
          </w:p>
        </w:tc>
        <w:tc>
          <w:tcPr>
            <w:tcW w:w="880" w:type="dxa"/>
            <w:vAlign w:val="bottom"/>
            <w:tcBorders>
              <w:top w:val="single" w:sz="8" w:color="3E5588"/>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3E5588"/>
            </w:tcBorders>
          </w:tcPr>
          <w:p>
            <w:pPr>
              <w:spacing w:after="0"/>
              <w:rPr>
                <w:sz w:val="17"/>
                <w:szCs w:val="17"/>
                <w:color w:val="auto"/>
              </w:rPr>
            </w:pPr>
          </w:p>
        </w:tc>
        <w:tc>
          <w:tcPr>
            <w:tcW w:w="880" w:type="dxa"/>
            <w:vAlign w:val="bottom"/>
            <w:tcBorders>
              <w:top w:val="single" w:sz="8" w:color="3E5588"/>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3E5588"/>
            </w:tcBorders>
          </w:tcPr>
          <w:p>
            <w:pPr>
              <w:spacing w:after="0"/>
              <w:rPr>
                <w:sz w:val="17"/>
                <w:szCs w:val="17"/>
                <w:color w:val="auto"/>
              </w:rPr>
            </w:pPr>
          </w:p>
        </w:tc>
        <w:tc>
          <w:tcPr>
            <w:tcW w:w="920" w:type="dxa"/>
            <w:vAlign w:val="bottom"/>
            <w:tcBorders>
              <w:top w:val="single" w:sz="8" w:color="3E5588"/>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3E5588"/>
            </w:tcBorders>
          </w:tcPr>
          <w:p>
            <w:pPr>
              <w:spacing w:after="0"/>
              <w:rPr>
                <w:sz w:val="17"/>
                <w:szCs w:val="17"/>
                <w:color w:val="auto"/>
              </w:rPr>
            </w:pPr>
          </w:p>
        </w:tc>
        <w:tc>
          <w:tcPr>
            <w:tcW w:w="920" w:type="dxa"/>
            <w:vAlign w:val="bottom"/>
            <w:tcBorders>
              <w:top w:val="single" w:sz="8" w:color="3E5588"/>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3E5588"/>
              </w:rPr>
              <w:t>restricted cash</w:t>
            </w:r>
          </w:p>
        </w:tc>
        <w:tc>
          <w:tcPr>
            <w:tcW w:w="8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3E5588"/>
              </w:rPr>
              <w:t>(4,320)</w:t>
            </w:r>
          </w:p>
        </w:tc>
        <w:tc>
          <w:tcPr>
            <w:tcW w:w="1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880" w:type="dxa"/>
            <w:vAlign w:val="bottom"/>
          </w:tcPr>
          <w:p>
            <w:pPr>
              <w:jc w:val="right"/>
              <w:spacing w:after="0"/>
              <w:rPr>
                <w:sz w:val="20"/>
                <w:szCs w:val="20"/>
                <w:color w:val="auto"/>
              </w:rPr>
            </w:pPr>
            <w:r>
              <w:rPr>
                <w:rFonts w:ascii="Arial" w:cs="Arial" w:eastAsia="Arial" w:hAnsi="Arial"/>
                <w:sz w:val="18"/>
                <w:szCs w:val="18"/>
                <w:color w:val="3E5588"/>
              </w:rPr>
              <w:t>73,482</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20" w:type="dxa"/>
            <w:vAlign w:val="bottom"/>
          </w:tcPr>
          <w:p>
            <w:pPr>
              <w:jc w:val="right"/>
              <w:spacing w:after="0"/>
              <w:rPr>
                <w:sz w:val="20"/>
                <w:szCs w:val="20"/>
                <w:color w:val="auto"/>
              </w:rPr>
            </w:pPr>
            <w:r>
              <w:rPr>
                <w:rFonts w:ascii="Arial" w:cs="Arial" w:eastAsia="Arial" w:hAnsi="Arial"/>
                <w:sz w:val="18"/>
                <w:szCs w:val="18"/>
                <w:color w:val="3E5588"/>
              </w:rPr>
              <w:t>5,225</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3E5588"/>
              </w:rPr>
              <w:t>(10,345)</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92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9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Net Cash Used in Operating Activities</w:t>
      </w:r>
    </w:p>
    <w:p>
      <w:pPr>
        <w:spacing w:after="0" w:line="225"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3E5588"/>
        </w:rPr>
        <w:t>Net cash used in operating activities was $9.9 million during the three months ended March 31, 2019 compared to net cash used in operating activities of $6.6 million during the three months ended March 31, 2018. The increase in net cash used in operating activities of $3.3 million was due to an increase in net loss of $29.9 million for the three months ended March 31, 2019 as compared to the three months ended March 31, 2018, partially offset by a net increase in non-cash expenses of $26.3 million primarily due to an increase in IPR&amp;D expenses of $25.6 million and an increase in stock-based compensation expense of $0.4 million, and a net increase in cash provided by changes in our operating assets and liabilities of $0.3 million.</w:t>
      </w:r>
    </w:p>
    <w:p>
      <w:pPr>
        <w:spacing w:after="0" w:line="170"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3E5588"/>
        </w:rPr>
        <w:t>Net cash used in operating activities was $22.6 million during the year ended December 31, 2018 compared to net cash used in operating activities of $20.1 million during the year ended December 31, 2017. The increase in net cash used in operating activities of $2.5 million was due to an increase in net loss of $9.6 million for the year ended December 31, 2018 as compared to the year ended December 31, 2017, partially offset by a net increase in cash provided by changes in our operating assets and liabilities of $5.7 million, primarily due to the receipt of $4.6 million during the year ended December 31, 2018 associated with the leasehold improvement allowance related to our new facility lease that commenced in December 2017, and a net increase in non-cash expenses of $1.4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Net Cash Used in Investing Activities</w:t>
      </w:r>
    </w:p>
    <w:p>
      <w:pPr>
        <w:spacing w:after="0" w:line="225" w:lineRule="exact"/>
        <w:rPr>
          <w:sz w:val="20"/>
          <w:szCs w:val="20"/>
          <w:color w:val="auto"/>
        </w:rPr>
      </w:pPr>
    </w:p>
    <w:p>
      <w:pPr>
        <w:jc w:val="both"/>
        <w:ind w:firstLine="433"/>
        <w:spacing w:after="0" w:line="259" w:lineRule="auto"/>
        <w:rPr>
          <w:sz w:val="20"/>
          <w:szCs w:val="20"/>
          <w:color w:val="auto"/>
        </w:rPr>
      </w:pPr>
      <w:r>
        <w:rPr>
          <w:rFonts w:ascii="Arial" w:cs="Arial" w:eastAsia="Arial" w:hAnsi="Arial"/>
          <w:sz w:val="18"/>
          <w:szCs w:val="18"/>
          <w:color w:val="3E5588"/>
        </w:rPr>
        <w:t>Net cash used in investing activities was $0.4 million during the three months ended March 31, 2019 compared to net cash used in investing activities of $0.8 million during the three months ended March 31, 2018. Net cash used in investing activities for the three months ended March 31, 2019 and 2018 primarily consisted of purchases of property and equipment.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3"/>
        <w:spacing w:after="0" w:line="256" w:lineRule="auto"/>
        <w:rPr>
          <w:sz w:val="20"/>
          <w:szCs w:val="20"/>
          <w:color w:val="auto"/>
        </w:rPr>
      </w:pPr>
      <w:r>
        <w:rPr>
          <w:rFonts w:ascii="Arial" w:cs="Arial" w:eastAsia="Arial" w:hAnsi="Arial"/>
          <w:sz w:val="18"/>
          <w:szCs w:val="18"/>
          <w:color w:val="3E5588"/>
        </w:rPr>
        <w:t>Net cash used in investing activities was $9.0 million during the year ended December 31, 2018 compared to net cash used in investing activities of $1.9 million during the year ended December 31, 2017. Net cash used in investing activities for the years ended December 31, 2018 and 2017 consisted of purchases of property and equipment. The increase in net cash used in investing activities of $7.1 million was primarily due to an increase in purchases of property and equipment associated with our new facility lease that commenced in December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Net Cash Provided by (Used in) Financing Activities</w:t>
      </w:r>
    </w:p>
    <w:p>
      <w:pPr>
        <w:spacing w:after="0" w:line="225"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color w:val="3E5588"/>
        </w:rPr>
        <w:t>Net cash used in financing activities was less than $0.1 million during the three months ended March 31, 2019 compared to net cash provided by financing activities of $12.6 million during the three months ended March 31, 2018. The cash provided by financing activities during the three months ended March 31, 2018 was primarily the result of $12.7 million of net proceeds received from private placements of our Series A preferred stock. The net cash used in financing activities for the three months ended March 31, 2019 was primarily the result of the payment of costs associated with the issuance of Series B preferred stock.</w:t>
      </w:r>
    </w:p>
    <w:p>
      <w:pPr>
        <w:spacing w:after="0" w:line="167" w:lineRule="exact"/>
        <w:rPr>
          <w:sz w:val="20"/>
          <w:szCs w:val="20"/>
          <w:color w:val="auto"/>
        </w:rPr>
      </w:pPr>
    </w:p>
    <w:p>
      <w:pPr>
        <w:jc w:val="both"/>
        <w:ind w:firstLine="431"/>
        <w:spacing w:after="0" w:line="298" w:lineRule="auto"/>
        <w:rPr>
          <w:sz w:val="20"/>
          <w:szCs w:val="20"/>
          <w:color w:val="auto"/>
        </w:rPr>
      </w:pPr>
      <w:r>
        <w:rPr>
          <w:rFonts w:ascii="Arial" w:cs="Arial" w:eastAsia="Arial" w:hAnsi="Arial"/>
          <w:sz w:val="16"/>
          <w:szCs w:val="16"/>
          <w:color w:val="3E5588"/>
        </w:rPr>
        <w:t>Net cash provided by financing activities was $105.0 million during the year ended December 31, 2018 compared to $17.7 million during the year ended December 31, 2017. The cash provided by financing activities during the year ended December 31, 2018 was primarily the result of $105.1 million of net proceeds received from private placements of our Series A and Series B preferred stock. The cash provided by financing activities for the year ended December 31, 2017 was primarily the result of $17.6 million of net proceeds received from private placements of our Series A preferred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Funding Requirements</w:t>
      </w:r>
    </w:p>
    <w:p>
      <w:pPr>
        <w:spacing w:after="0" w:line="225"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color w:val="3E5588"/>
        </w:rPr>
        <w:t>We expect our expenses to increase substantially in connection with our ongoing research and development activities, particularly as we continue the research and development of, initiate clinical trials of, and seek marketing approval for, our product candidates. In addition, upon the closing of this offering, we expect to incur additional costs associated with operating as a public company. As a result, we expect to incur substantial operating losses and negative operating cash flows for the foreseeable future.</w:t>
      </w:r>
    </w:p>
    <w:p>
      <w:pPr>
        <w:spacing w:after="0" w:line="197"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3E5588"/>
        </w:rPr>
        <w:t>Based on our current operating plan, we expect that the anticipated net proceeds from this offering, together with our existing cash and cash equivalents, will enable us to fund our operating expenses and capital expenditure requirements into the third quarter of 2021. However, we have based this estimate on assumptions that may prove to be wrong and we could exhaust our capital resources sooner than we expect.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Our funding requirements and timing and amount of our operating expenditures will depend largely on:</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3E5588"/>
        </w:rPr>
      </w:pPr>
      <w:r>
        <w:rPr>
          <w:rFonts w:ascii="Arial" w:cs="Arial" w:eastAsia="Arial" w:hAnsi="Arial"/>
          <w:sz w:val="18"/>
          <w:szCs w:val="18"/>
          <w:color w:val="3E5588"/>
        </w:rPr>
        <w:t>the progress, costs and results of our ongoing Phase 1 clinical trial of losmapimod;</w:t>
      </w:r>
    </w:p>
    <w:p>
      <w:pPr>
        <w:spacing w:after="0" w:line="252"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57"/>
        </w:numPr>
        <w:rPr>
          <w:rFonts w:ascii="Arial" w:cs="Arial" w:eastAsia="Arial" w:hAnsi="Arial"/>
          <w:sz w:val="18"/>
          <w:szCs w:val="18"/>
          <w:color w:val="3E5588"/>
        </w:rPr>
      </w:pPr>
      <w:r>
        <w:rPr>
          <w:rFonts w:ascii="Arial" w:cs="Arial" w:eastAsia="Arial" w:hAnsi="Arial"/>
          <w:sz w:val="18"/>
          <w:szCs w:val="18"/>
          <w:color w:val="3E5588"/>
        </w:rPr>
        <w:t>the scope, progress, results and costs of discovery research, preclinical development, laboratory testing and clinical trials for our product candidates, including our planned Phase 2b clinical trial and planned Phase 2 open label clinical trial of losmapimod and our planned Phase 1 clinical trial of FTX-HbF;</w:t>
      </w:r>
    </w:p>
    <w:p>
      <w:pPr>
        <w:spacing w:after="0" w:line="207" w:lineRule="exact"/>
        <w:rPr>
          <w:rFonts w:ascii="Arial" w:cs="Arial" w:eastAsia="Arial" w:hAnsi="Arial"/>
          <w:sz w:val="18"/>
          <w:szCs w:val="18"/>
          <w:color w:val="3E5588"/>
        </w:rPr>
      </w:pPr>
    </w:p>
    <w:p>
      <w:pPr>
        <w:ind w:left="1080" w:hanging="532"/>
        <w:spacing w:after="0"/>
        <w:tabs>
          <w:tab w:leader="none" w:pos="1080" w:val="left"/>
        </w:tabs>
        <w:numPr>
          <w:ilvl w:val="0"/>
          <w:numId w:val="57"/>
        </w:numPr>
        <w:rPr>
          <w:rFonts w:ascii="Arial" w:cs="Arial" w:eastAsia="Arial" w:hAnsi="Arial"/>
          <w:sz w:val="18"/>
          <w:szCs w:val="18"/>
          <w:color w:val="3E5588"/>
        </w:rPr>
      </w:pPr>
      <w:r>
        <w:rPr>
          <w:rFonts w:ascii="Arial" w:cs="Arial" w:eastAsia="Arial" w:hAnsi="Arial"/>
          <w:sz w:val="18"/>
          <w:szCs w:val="18"/>
          <w:color w:val="3E5588"/>
        </w:rPr>
        <w:t>the number of and development requirements for other product candidates that we pursue;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57"/>
        </w:numPr>
        <w:rPr>
          <w:rFonts w:ascii="Arial" w:cs="Arial" w:eastAsia="Arial" w:hAnsi="Arial"/>
          <w:sz w:val="18"/>
          <w:szCs w:val="18"/>
          <w:color w:val="3E5588"/>
        </w:rPr>
      </w:pPr>
      <w:r>
        <w:rPr>
          <w:rFonts w:ascii="Arial" w:cs="Arial" w:eastAsia="Arial" w:hAnsi="Arial"/>
          <w:sz w:val="18"/>
          <w:szCs w:val="18"/>
          <w:color w:val="3E5588"/>
        </w:rPr>
        <w:t>the costs, timing and outcome of regulatory review of our product candidates;</w:t>
      </w:r>
    </w:p>
    <w:p>
      <w:pPr>
        <w:spacing w:after="0" w:line="25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57"/>
        </w:numPr>
        <w:rPr>
          <w:rFonts w:ascii="Arial" w:cs="Arial" w:eastAsia="Arial" w:hAnsi="Arial"/>
          <w:sz w:val="18"/>
          <w:szCs w:val="18"/>
          <w:color w:val="3E5588"/>
        </w:rPr>
      </w:pPr>
      <w:r>
        <w:rPr>
          <w:rFonts w:ascii="Arial" w:cs="Arial" w:eastAsia="Arial" w:hAnsi="Arial"/>
          <w:sz w:val="18"/>
          <w:szCs w:val="18"/>
          <w:color w:val="3E5588"/>
        </w:rPr>
        <w:t>our ability to enter into contract manufacturing arrangements for supply of API and manufacture of our product candidates and the terms of such arrangements;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57"/>
        </w:numPr>
        <w:rPr>
          <w:rFonts w:ascii="Arial" w:cs="Arial" w:eastAsia="Arial" w:hAnsi="Arial"/>
          <w:sz w:val="16"/>
          <w:szCs w:val="16"/>
          <w:color w:val="3E5588"/>
        </w:rPr>
      </w:pPr>
      <w:r>
        <w:rPr>
          <w:rFonts w:ascii="Arial" w:cs="Arial" w:eastAsia="Arial" w:hAnsi="Arial"/>
          <w:sz w:val="16"/>
          <w:szCs w:val="16"/>
          <w:color w:val="3E5588"/>
        </w:rPr>
        <w:t>our ability to establish and maintain strategic collaborations, licensing or other arrangements and the financial terms of such arrangements;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57"/>
        </w:numPr>
        <w:rPr>
          <w:rFonts w:ascii="Arial" w:cs="Arial" w:eastAsia="Arial" w:hAnsi="Arial"/>
          <w:sz w:val="18"/>
          <w:szCs w:val="18"/>
          <w:color w:val="3E5588"/>
        </w:rPr>
      </w:pPr>
      <w:r>
        <w:rPr>
          <w:rFonts w:ascii="Arial" w:cs="Arial" w:eastAsia="Arial" w:hAnsi="Arial"/>
          <w:sz w:val="18"/>
          <w:szCs w:val="18"/>
          <w:color w:val="3E5588"/>
        </w:rPr>
        <w:t>the payment or receipt of milestones and receipt of other collaboration-based revenues, if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58"/>
        </w:numPr>
        <w:rPr>
          <w:rFonts w:ascii="Arial" w:cs="Arial" w:eastAsia="Arial" w:hAnsi="Arial"/>
          <w:sz w:val="18"/>
          <w:szCs w:val="18"/>
          <w:color w:val="3E5588"/>
        </w:rPr>
      </w:pPr>
      <w:r>
        <w:rPr>
          <w:rFonts w:ascii="Arial" w:cs="Arial" w:eastAsia="Arial" w:hAnsi="Arial"/>
          <w:sz w:val="18"/>
          <w:szCs w:val="18"/>
          <w:color w:val="3E5588"/>
        </w:rPr>
        <w:t>the costs and timing of future commercialization activities, including product manufacturing, sales, marketing and distribution, for any of our product candidates for which we may receive marketing approval;</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58"/>
        </w:numPr>
        <w:rPr>
          <w:rFonts w:ascii="Arial" w:cs="Arial" w:eastAsia="Arial" w:hAnsi="Arial"/>
          <w:sz w:val="16"/>
          <w:szCs w:val="16"/>
          <w:color w:val="3E5588"/>
        </w:rPr>
      </w:pPr>
      <w:r>
        <w:rPr>
          <w:rFonts w:ascii="Arial" w:cs="Arial" w:eastAsia="Arial" w:hAnsi="Arial"/>
          <w:sz w:val="16"/>
          <w:szCs w:val="16"/>
          <w:color w:val="3E5588"/>
        </w:rPr>
        <w:t>the amount and timing of revenue, if any, received from commercial sales of our product candidates for which we receive marketing approval;</w:t>
      </w:r>
    </w:p>
    <w:p>
      <w:pPr>
        <w:spacing w:after="0" w:line="261"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58"/>
        </w:numPr>
        <w:rPr>
          <w:rFonts w:ascii="Arial" w:cs="Arial" w:eastAsia="Arial" w:hAnsi="Arial"/>
          <w:sz w:val="18"/>
          <w:szCs w:val="18"/>
          <w:color w:val="3E5588"/>
        </w:rPr>
      </w:pPr>
      <w:r>
        <w:rPr>
          <w:rFonts w:ascii="Arial" w:cs="Arial" w:eastAsia="Arial" w:hAnsi="Arial"/>
          <w:sz w:val="18"/>
          <w:szCs w:val="18"/>
          <w:color w:val="3E5588"/>
        </w:rPr>
        <w:t>the costs and timing of preparing, filing and prosecuting patent applications, maintaining and enforcing our intellectual property and proprietary rights and defending any intellectual property-related claims; and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58"/>
        </w:numPr>
        <w:rPr>
          <w:rFonts w:ascii="Arial" w:cs="Arial" w:eastAsia="Arial" w:hAnsi="Arial"/>
          <w:sz w:val="18"/>
          <w:szCs w:val="18"/>
          <w:color w:val="3E5588"/>
        </w:rPr>
      </w:pPr>
      <w:r>
        <w:rPr>
          <w:rFonts w:ascii="Arial" w:cs="Arial" w:eastAsia="Arial" w:hAnsi="Arial"/>
          <w:sz w:val="18"/>
          <w:szCs w:val="18"/>
          <w:color w:val="3E5588"/>
        </w:rPr>
        <w:t>the extent to which we acquire or in-license other products, product candidates, technologies or data referencing rights.</w:t>
      </w:r>
    </w:p>
    <w:p>
      <w:pPr>
        <w:spacing w:after="0" w:line="225"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3E5588"/>
        </w:rPr>
        <w:t>A change in the outcome of any of these or other variables with respect to the development of any of our product candidates could significantly change the costs and timing associated with the development of that product candidate. We will need to continue to rely on additional financing to achieve our business objectives.</w:t>
      </w:r>
    </w:p>
    <w:p>
      <w:pPr>
        <w:spacing w:after="0" w:line="194" w:lineRule="exact"/>
        <w:rPr>
          <w:sz w:val="20"/>
          <w:szCs w:val="20"/>
          <w:color w:val="auto"/>
        </w:rPr>
      </w:pPr>
    </w:p>
    <w:p>
      <w:pPr>
        <w:jc w:val="both"/>
        <w:ind w:firstLine="515"/>
        <w:spacing w:after="0" w:line="259" w:lineRule="auto"/>
        <w:rPr>
          <w:sz w:val="20"/>
          <w:szCs w:val="20"/>
          <w:color w:val="auto"/>
        </w:rPr>
      </w:pPr>
      <w:r>
        <w:rPr>
          <w:rFonts w:ascii="Arial" w:cs="Arial" w:eastAsia="Arial" w:hAnsi="Arial"/>
          <w:sz w:val="18"/>
          <w:szCs w:val="18"/>
          <w:color w:val="3E5588"/>
        </w:rPr>
        <w:t>In addition to the variables described above, if and when any of our product candidates successfully complete development, we will incur substantial additional costs associated with regulatory filings, marketing approval, post-marketing requirements, maintaining our intellectual property rights, and regulatory protection, in addition to other commercial costs. We cannot reasonably estimate these costs at this time.</w:t>
      </w:r>
    </w:p>
    <w:p>
      <w:pPr>
        <w:spacing w:after="0" w:line="194" w:lineRule="exact"/>
        <w:rPr>
          <w:sz w:val="20"/>
          <w:szCs w:val="20"/>
          <w:color w:val="auto"/>
        </w:rPr>
      </w:pPr>
    </w:p>
    <w:p>
      <w:pPr>
        <w:jc w:val="both"/>
        <w:ind w:firstLine="495"/>
        <w:spacing w:after="0" w:line="287" w:lineRule="auto"/>
        <w:rPr>
          <w:sz w:val="20"/>
          <w:szCs w:val="20"/>
          <w:color w:val="auto"/>
        </w:rPr>
      </w:pPr>
      <w:r>
        <w:rPr>
          <w:rFonts w:ascii="Arial" w:cs="Arial" w:eastAsia="Arial" w:hAnsi="Arial"/>
          <w:sz w:val="16"/>
          <w:szCs w:val="16"/>
          <w:color w:val="3E5588"/>
        </w:rPr>
        <w:t>Until such time, if ever, as we can generate substantial product revenue, we expect to finance our cash needs through a combination of equity or debt financings and collaboration arrangements. We currently have no credit facility or committed sources of capital. To the extent that we raise additional capital through the future sale of equity securities, the ownership interests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We may require additional capital beyond our currently anticipated amounts, and additional capital may not be available on reasonable terms, or at all. If we raise additional funds through collaboration arrangements or other strategic transactions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development or future commercialization efforts or grant rights to develop and market product candidates that we would otherwise prefer to develop and market ourselves.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Contractual Obligations</w:t>
      </w:r>
    </w:p>
    <w:p>
      <w:pPr>
        <w:spacing w:after="0" w:line="231" w:lineRule="exact"/>
        <w:rPr>
          <w:sz w:val="20"/>
          <w:szCs w:val="20"/>
          <w:color w:val="auto"/>
        </w:rPr>
      </w:pPr>
    </w:p>
    <w:p>
      <w:pPr>
        <w:jc w:val="both"/>
        <w:ind w:firstLine="473"/>
        <w:spacing w:after="0" w:line="268" w:lineRule="auto"/>
        <w:rPr>
          <w:sz w:val="20"/>
          <w:szCs w:val="20"/>
          <w:color w:val="auto"/>
        </w:rPr>
      </w:pPr>
      <w:r>
        <w:rPr>
          <w:rFonts w:ascii="Arial" w:cs="Arial" w:eastAsia="Arial" w:hAnsi="Arial"/>
          <w:sz w:val="18"/>
          <w:szCs w:val="18"/>
          <w:color w:val="3E5588"/>
        </w:rPr>
        <w:t>The following table summarizes our contractual obligations as of December 31, 2018 and the effects that these obligations are expected to have on our liquidity and cash flows in future periods: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0"/>
              <w:spacing w:after="0"/>
              <w:rPr>
                <w:sz w:val="20"/>
                <w:szCs w:val="20"/>
                <w:color w:val="auto"/>
              </w:rPr>
            </w:pPr>
            <w:r>
              <w:rPr>
                <w:rFonts w:ascii="Arial" w:cs="Arial" w:eastAsia="Arial" w:hAnsi="Arial"/>
                <w:sz w:val="14"/>
                <w:szCs w:val="14"/>
                <w:b w:val="1"/>
                <w:bCs w:val="1"/>
                <w:color w:val="3E5588"/>
                <w:w w:val="83"/>
              </w:rPr>
              <w:t>Less Than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3E5588"/>
                <w:w w:val="92"/>
              </w:rPr>
              <w:t>1 to 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80"/>
              <w:spacing w:after="0"/>
              <w:rPr>
                <w:sz w:val="20"/>
                <w:szCs w:val="20"/>
                <w:color w:val="auto"/>
              </w:rPr>
            </w:pPr>
            <w:r>
              <w:rPr>
                <w:rFonts w:ascii="Arial" w:cs="Arial" w:eastAsia="Arial" w:hAnsi="Arial"/>
                <w:sz w:val="14"/>
                <w:szCs w:val="14"/>
                <w:b w:val="1"/>
                <w:bCs w:val="1"/>
                <w:color w:val="3E5588"/>
                <w:w w:val="92"/>
              </w:rPr>
              <w:t>3 to 5</w:t>
            </w:r>
          </w:p>
        </w:tc>
        <w:tc>
          <w:tcPr>
            <w:tcW w:w="1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3E5588"/>
              </w:rPr>
              <w:t>More Than</w:t>
            </w:r>
          </w:p>
        </w:tc>
      </w:t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3E5588"/>
              </w:rPr>
              <w:t>(in thousands)</w:t>
            </w:r>
          </w:p>
        </w:tc>
        <w:tc>
          <w:tcPr>
            <w:tcW w:w="1260" w:type="dxa"/>
            <w:vAlign w:val="bottom"/>
          </w:tcPr>
          <w:p>
            <w:pPr>
              <w:spacing w:after="0"/>
              <w:rPr>
                <w:sz w:val="14"/>
                <w:szCs w:val="14"/>
                <w:color w:val="auto"/>
              </w:rPr>
            </w:pPr>
          </w:p>
        </w:tc>
        <w:tc>
          <w:tcPr>
            <w:tcW w:w="140" w:type="dxa"/>
            <w:vAlign w:val="bottom"/>
            <w:tcBorders>
              <w:bottom w:val="single" w:sz="8" w:color="3E5588"/>
            </w:tcBorders>
          </w:tcPr>
          <w:p>
            <w:pPr>
              <w:spacing w:after="0"/>
              <w:rPr>
                <w:sz w:val="14"/>
                <w:szCs w:val="14"/>
                <w:color w:val="auto"/>
              </w:rPr>
            </w:pPr>
          </w:p>
        </w:tc>
        <w:tc>
          <w:tcPr>
            <w:tcW w:w="560" w:type="dxa"/>
            <w:vAlign w:val="bottom"/>
            <w:tcBorders>
              <w:bottom w:val="single" w:sz="8" w:color="3E5588"/>
            </w:tcBorders>
          </w:tcPr>
          <w:p>
            <w:pPr>
              <w:jc w:val="right"/>
              <w:ind w:right="137"/>
              <w:spacing w:after="0"/>
              <w:rPr>
                <w:sz w:val="20"/>
                <w:szCs w:val="20"/>
                <w:color w:val="auto"/>
              </w:rPr>
            </w:pPr>
            <w:r>
              <w:rPr>
                <w:rFonts w:ascii="Arial" w:cs="Arial" w:eastAsia="Arial" w:hAnsi="Arial"/>
                <w:sz w:val="14"/>
                <w:szCs w:val="14"/>
                <w:b w:val="1"/>
                <w:bCs w:val="1"/>
                <w:color w:val="3E5588"/>
                <w:w w:val="95"/>
              </w:rPr>
              <w:t>Total</w:t>
            </w:r>
          </w:p>
        </w:tc>
        <w:tc>
          <w:tcPr>
            <w:tcW w:w="1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700" w:type="dxa"/>
            <w:vAlign w:val="bottom"/>
            <w:tcBorders>
              <w:bottom w:val="single" w:sz="8" w:color="3E5588"/>
            </w:tcBorders>
          </w:tcPr>
          <w:p>
            <w:pPr>
              <w:jc w:val="right"/>
              <w:ind w:right="140"/>
              <w:spacing w:after="0"/>
              <w:rPr>
                <w:sz w:val="20"/>
                <w:szCs w:val="20"/>
                <w:color w:val="auto"/>
              </w:rPr>
            </w:pPr>
            <w:r>
              <w:rPr>
                <w:rFonts w:ascii="Arial" w:cs="Arial" w:eastAsia="Arial" w:hAnsi="Arial"/>
                <w:sz w:val="14"/>
                <w:szCs w:val="14"/>
                <w:b w:val="1"/>
                <w:bCs w:val="1"/>
                <w:color w:val="3E5588"/>
              </w:rPr>
              <w:t>1 Year</w:t>
            </w:r>
          </w:p>
        </w:tc>
        <w:tc>
          <w:tcPr>
            <w:tcW w:w="16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520" w:type="dxa"/>
            <w:vAlign w:val="bottom"/>
            <w:tcBorders>
              <w:bottom w:val="single" w:sz="8" w:color="3E5588"/>
            </w:tcBorders>
          </w:tcPr>
          <w:p>
            <w:pPr>
              <w:jc w:val="right"/>
              <w:ind w:right="80"/>
              <w:spacing w:after="0"/>
              <w:rPr>
                <w:sz w:val="20"/>
                <w:szCs w:val="20"/>
                <w:color w:val="auto"/>
              </w:rPr>
            </w:pPr>
            <w:r>
              <w:rPr>
                <w:rFonts w:ascii="Arial" w:cs="Arial" w:eastAsia="Arial" w:hAnsi="Arial"/>
                <w:sz w:val="14"/>
                <w:szCs w:val="14"/>
                <w:b w:val="1"/>
                <w:bCs w:val="1"/>
                <w:color w:val="3E5588"/>
                <w:w w:val="89"/>
              </w:rPr>
              <w:t>Years</w:t>
            </w:r>
          </w:p>
        </w:tc>
        <w:tc>
          <w:tcPr>
            <w:tcW w:w="16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520" w:type="dxa"/>
            <w:vAlign w:val="bottom"/>
            <w:tcBorders>
              <w:bottom w:val="single" w:sz="8" w:color="3E5588"/>
            </w:tcBorders>
          </w:tcPr>
          <w:p>
            <w:pPr>
              <w:jc w:val="right"/>
              <w:ind w:right="80"/>
              <w:spacing w:after="0"/>
              <w:rPr>
                <w:sz w:val="20"/>
                <w:szCs w:val="20"/>
                <w:color w:val="auto"/>
              </w:rPr>
            </w:pPr>
            <w:r>
              <w:rPr>
                <w:rFonts w:ascii="Arial" w:cs="Arial" w:eastAsia="Arial" w:hAnsi="Arial"/>
                <w:sz w:val="14"/>
                <w:szCs w:val="14"/>
                <w:b w:val="1"/>
                <w:bCs w:val="1"/>
                <w:color w:val="3E5588"/>
                <w:w w:val="89"/>
              </w:rPr>
              <w:t>Years</w:t>
            </w:r>
          </w:p>
        </w:tc>
        <w:tc>
          <w:tcPr>
            <w:tcW w:w="160" w:type="dxa"/>
            <w:vAlign w:val="bottom"/>
          </w:tcPr>
          <w:p>
            <w:pPr>
              <w:spacing w:after="0"/>
              <w:rPr>
                <w:sz w:val="14"/>
                <w:szCs w:val="14"/>
                <w:color w:val="auto"/>
              </w:rPr>
            </w:pPr>
          </w:p>
        </w:tc>
        <w:tc>
          <w:tcPr>
            <w:tcW w:w="140" w:type="dxa"/>
            <w:vAlign w:val="bottom"/>
            <w:tcBorders>
              <w:bottom w:val="single" w:sz="8" w:color="3E5588"/>
            </w:tcBorders>
          </w:tcPr>
          <w:p>
            <w:pPr>
              <w:spacing w:after="0"/>
              <w:rPr>
                <w:sz w:val="14"/>
                <w:szCs w:val="14"/>
                <w:color w:val="auto"/>
              </w:rPr>
            </w:pPr>
          </w:p>
        </w:tc>
        <w:tc>
          <w:tcPr>
            <w:tcW w:w="680" w:type="dxa"/>
            <w:vAlign w:val="bottom"/>
            <w:tcBorders>
              <w:bottom w:val="single" w:sz="8" w:color="3E5588"/>
            </w:tcBorders>
          </w:tcPr>
          <w:p>
            <w:pPr>
              <w:jc w:val="right"/>
              <w:ind w:right="117"/>
              <w:spacing w:after="0"/>
              <w:rPr>
                <w:sz w:val="20"/>
                <w:szCs w:val="20"/>
                <w:color w:val="auto"/>
              </w:rPr>
            </w:pPr>
            <w:r>
              <w:rPr>
                <w:rFonts w:ascii="Arial" w:cs="Arial" w:eastAsia="Arial" w:hAnsi="Arial"/>
                <w:sz w:val="14"/>
                <w:szCs w:val="14"/>
                <w:b w:val="1"/>
                <w:bCs w:val="1"/>
                <w:color w:val="3E5588"/>
                <w:w w:val="92"/>
              </w:rPr>
              <w:t>5 Years</w:t>
            </w:r>
          </w:p>
        </w:tc>
        <w:tc>
          <w:tcPr>
            <w:tcW w:w="16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35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3E5588"/>
              </w:rPr>
              <w:t>Operating lease commitments</w:t>
            </w:r>
            <w:r>
              <w:rPr>
                <w:rFonts w:ascii="Arial" w:cs="Arial" w:eastAsia="Arial" w:hAnsi="Arial"/>
                <w:sz w:val="28"/>
                <w:szCs w:val="28"/>
                <w:color w:val="3E5588"/>
                <w:vertAlign w:val="superscript"/>
              </w:rPr>
              <w:t>(1)</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8"/>
              </w:rPr>
              <w:t>23,966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2,219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4,639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12,187</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3E5588"/>
              </w:rPr>
              <w:t>Capital lease obligation</w:t>
            </w:r>
          </w:p>
        </w:tc>
        <w:tc>
          <w:tcPr>
            <w:tcW w:w="12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56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124</w:t>
            </w:r>
          </w:p>
        </w:tc>
        <w:tc>
          <w:tcPr>
            <w:tcW w:w="1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53</w:t>
            </w:r>
          </w:p>
        </w:tc>
        <w:tc>
          <w:tcPr>
            <w:tcW w:w="160" w:type="dxa"/>
            <w:vAlign w:val="bottom"/>
          </w:tcPr>
          <w:p>
            <w:pPr>
              <w:spacing w:after="0"/>
              <w:rPr>
                <w:sz w:val="18"/>
                <w:szCs w:val="18"/>
                <w:color w:val="auto"/>
              </w:rPr>
            </w:pPr>
          </w:p>
        </w:tc>
        <w:tc>
          <w:tcPr>
            <w:tcW w:w="100" w:type="dxa"/>
            <w:vAlign w:val="bottom"/>
            <w:tcBorders>
              <w:bottom w:val="single" w:sz="8" w:color="3E5588"/>
            </w:tcBorders>
          </w:tcPr>
          <w:p>
            <w:pPr>
              <w:spacing w:after="0"/>
              <w:rPr>
                <w:sz w:val="18"/>
                <w:szCs w:val="18"/>
                <w:color w:val="auto"/>
              </w:rPr>
            </w:pPr>
          </w:p>
        </w:tc>
        <w:tc>
          <w:tcPr>
            <w:tcW w:w="5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71</w:t>
            </w:r>
          </w:p>
        </w:tc>
        <w:tc>
          <w:tcPr>
            <w:tcW w:w="160" w:type="dxa"/>
            <w:vAlign w:val="bottom"/>
          </w:tcPr>
          <w:p>
            <w:pPr>
              <w:spacing w:after="0"/>
              <w:rPr>
                <w:sz w:val="18"/>
                <w:szCs w:val="18"/>
                <w:color w:val="auto"/>
              </w:rPr>
            </w:pPr>
          </w:p>
        </w:tc>
        <w:tc>
          <w:tcPr>
            <w:tcW w:w="100" w:type="dxa"/>
            <w:vAlign w:val="bottom"/>
            <w:tcBorders>
              <w:bottom w:val="single" w:sz="8" w:color="3E5588"/>
            </w:tcBorders>
          </w:tcPr>
          <w:p>
            <w:pPr>
              <w:spacing w:after="0"/>
              <w:rPr>
                <w:sz w:val="18"/>
                <w:szCs w:val="18"/>
                <w:color w:val="auto"/>
              </w:rPr>
            </w:pPr>
          </w:p>
        </w:tc>
        <w:tc>
          <w:tcPr>
            <w:tcW w:w="5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8"/>
              </w:rPr>
              <w:t>24,090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4,710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4,921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12,187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5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20" w:type="dxa"/>
            <w:vAlign w:val="bottom"/>
            <w:tcBorders>
              <w:bottom w:val="single" w:sz="8" w:color="3E5588"/>
            </w:tcBorders>
          </w:tcPr>
          <w:p>
            <w:pPr>
              <w:spacing w:after="0"/>
              <w:rPr>
                <w:sz w:val="7"/>
                <w:szCs w:val="7"/>
                <w:color w:val="auto"/>
              </w:rPr>
            </w:pPr>
          </w:p>
        </w:tc>
        <w:tc>
          <w:tcPr>
            <w:tcW w:w="26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1680" w:hanging="531"/>
        <w:spacing w:after="0" w:line="268" w:lineRule="auto"/>
        <w:tabs>
          <w:tab w:leader="none" w:pos="1680" w:val="left"/>
        </w:tabs>
        <w:numPr>
          <w:ilvl w:val="0"/>
          <w:numId w:val="59"/>
        </w:numPr>
        <w:rPr>
          <w:rFonts w:ascii="Arial" w:cs="Arial" w:eastAsia="Arial" w:hAnsi="Arial"/>
          <w:sz w:val="18"/>
          <w:szCs w:val="18"/>
          <w:color w:val="3E5588"/>
        </w:rPr>
      </w:pPr>
      <w:r>
        <w:rPr>
          <w:rFonts w:ascii="Arial" w:cs="Arial" w:eastAsia="Arial" w:hAnsi="Arial"/>
          <w:sz w:val="18"/>
          <w:szCs w:val="18"/>
          <w:color w:val="3E5588"/>
        </w:rPr>
        <w:t>Represents future minimum lease payments under our non-cancelable operating lease, which expires in June 2028. The minimum lease payments above do not include any related common area maintenance charges or real estate taxes.</w:t>
      </w:r>
    </w:p>
    <w:p>
      <w:pPr>
        <w:spacing w:after="0" w:line="186" w:lineRule="exact"/>
        <w:rPr>
          <w:sz w:val="20"/>
          <w:szCs w:val="20"/>
          <w:color w:val="auto"/>
        </w:rPr>
      </w:pPr>
    </w:p>
    <w:p>
      <w:pPr>
        <w:ind w:firstLine="473"/>
        <w:spacing w:after="0" w:line="268" w:lineRule="auto"/>
        <w:rPr>
          <w:sz w:val="20"/>
          <w:szCs w:val="20"/>
          <w:color w:val="auto"/>
        </w:rPr>
      </w:pPr>
      <w:r>
        <w:rPr>
          <w:rFonts w:ascii="Arial" w:cs="Arial" w:eastAsia="Arial" w:hAnsi="Arial"/>
          <w:sz w:val="18"/>
          <w:szCs w:val="18"/>
          <w:color w:val="3E5588"/>
        </w:rPr>
        <w:t>Under our right of reference and license agreement that we entered into in February 2019 with affiliates of GSK, we have payment obligations that are contingent upon the occurrence of future events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3E5588"/>
        </w:rPr>
        <w:t>such as our achievement of specified clinical, regulatory and sales milestones and are required to make royalty payments in connection with the sale of products developed under the agreement. Specifically, we may owe GSK up to $37.5 million in certain specified clinical and regulatory milestones, of which $2.5 million is due upon the initiation of a Phase 2 clinical trial, and up to $60.0 million in certain specified sales milestones and royalties on product sales, if any. We have not included any such contingent milestone or royalty payment obligations in the table above, which is presented as of December 31, 2018. In addition, the amount (in the case of potential royalty payments), timing and likelihood of such payments are not always known. For additional information regarding this license agreement, including our payment obligations thereunder, see "Business—Right of Reference and License Agreement with GlaxoSmithKline," Note 14 to our annual consolidated financial statements included elsewhere in this prospectus and Note 9 to our interim consolidated financial statements included elsewhere in this prospectus.</w:t>
      </w:r>
    </w:p>
    <w:p>
      <w:pPr>
        <w:spacing w:after="0" w:line="172" w:lineRule="exact"/>
        <w:rPr>
          <w:sz w:val="20"/>
          <w:szCs w:val="20"/>
          <w:color w:val="auto"/>
        </w:rPr>
      </w:pPr>
    </w:p>
    <w:p>
      <w:pPr>
        <w:jc w:val="both"/>
        <w:ind w:firstLine="393"/>
        <w:spacing w:after="0" w:line="298" w:lineRule="auto"/>
        <w:rPr>
          <w:sz w:val="20"/>
          <w:szCs w:val="20"/>
          <w:color w:val="auto"/>
        </w:rPr>
      </w:pPr>
      <w:r>
        <w:rPr>
          <w:rFonts w:ascii="Arial" w:cs="Arial" w:eastAsia="Arial" w:hAnsi="Arial"/>
          <w:sz w:val="16"/>
          <w:szCs w:val="16"/>
          <w:color w:val="3E5588"/>
        </w:rPr>
        <w:t>We enter into contracts in the normal course of business with CROs, CMOs and other third parties for clinical trials, pre-clinical research studies, synthetic chemistry and testing and manufacturing services. These contracts are generally cancelable by us upon up to 30 days' prior written notice. Payments due upon cancellation consist only of payments for services provided or expenses incurred, including noncancelable obligations of our service providers, up to and through the date of cancellation. These payments are not included in the preceding table as the amount and timing of these payments are not known.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Off-Balance Sheet Arrangements</w:t>
      </w:r>
    </w:p>
    <w:p>
      <w:pPr>
        <w:spacing w:after="0" w:line="231"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color w:val="3E5588"/>
        </w:rPr>
        <w:t>We did not have, during the periods presented, and we do not currently have, any off-balance sheet arrangements, as defined in the rules and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Critical Accounting Policies and Estimates</w:t>
      </w:r>
    </w:p>
    <w:p>
      <w:pPr>
        <w:spacing w:after="0" w:line="231" w:lineRule="exact"/>
        <w:rPr>
          <w:sz w:val="20"/>
          <w:szCs w:val="20"/>
          <w:color w:val="auto"/>
        </w:rPr>
      </w:pPr>
    </w:p>
    <w:p>
      <w:pPr>
        <w:jc w:val="both"/>
        <w:ind w:firstLine="351"/>
        <w:spacing w:after="0" w:line="289" w:lineRule="auto"/>
        <w:rPr>
          <w:sz w:val="20"/>
          <w:szCs w:val="20"/>
          <w:color w:val="auto"/>
        </w:rPr>
      </w:pPr>
      <w:r>
        <w:rPr>
          <w:rFonts w:ascii="Arial" w:cs="Arial" w:eastAsia="Arial" w:hAnsi="Arial"/>
          <w:sz w:val="16"/>
          <w:szCs w:val="16"/>
          <w:color w:val="3E5588"/>
        </w:rPr>
        <w:t>Our management's discussion and analysis of our financial condition and results of operations are based on our consolidated financial statements, which have been prepared in accordance with accounting principles generally accepted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reported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w:t>
      </w:r>
    </w:p>
    <w:p>
      <w:pPr>
        <w:spacing w:after="0" w:line="172"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3E5588"/>
        </w:rPr>
        <w:t>We believe that the accounting policies discussed below are critical to understanding our historical and future performance, as these policies relate to the most significant areas involving management's judgments and estimates. See Note 2 to our annual consolidated financial statements included elsewhere in this prospectus for a description of our other significant accounting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Accrued Research and Development Expenses</w:t>
      </w:r>
    </w:p>
    <w:p>
      <w:pPr>
        <w:spacing w:after="0" w:line="225" w:lineRule="exact"/>
        <w:rPr>
          <w:sz w:val="20"/>
          <w:szCs w:val="20"/>
          <w:color w:val="auto"/>
        </w:rPr>
      </w:pPr>
    </w:p>
    <w:p>
      <w:pPr>
        <w:jc w:val="both"/>
        <w:ind w:firstLine="423"/>
        <w:spacing w:after="0" w:line="254" w:lineRule="auto"/>
        <w:rPr>
          <w:sz w:val="20"/>
          <w:szCs w:val="20"/>
          <w:color w:val="auto"/>
        </w:rPr>
      </w:pPr>
      <w:r>
        <w:rPr>
          <w:rFonts w:ascii="Arial" w:cs="Arial" w:eastAsia="Arial" w:hAnsi="Arial"/>
          <w:sz w:val="18"/>
          <w:szCs w:val="18"/>
          <w:color w:val="3E5588"/>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E5588"/>
        </w:rPr>
        <w:t>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86"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3E5588"/>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2" w:lineRule="exact"/>
        <w:rPr>
          <w:sz w:val="20"/>
          <w:szCs w:val="20"/>
          <w:color w:val="auto"/>
        </w:rPr>
      </w:pPr>
    </w:p>
    <w:p>
      <w:pPr>
        <w:jc w:val="both"/>
        <w:ind w:firstLine="463"/>
        <w:spacing w:after="0" w:line="306" w:lineRule="auto"/>
        <w:rPr>
          <w:sz w:val="20"/>
          <w:szCs w:val="20"/>
          <w:color w:val="auto"/>
        </w:rPr>
      </w:pPr>
      <w:r>
        <w:rPr>
          <w:rFonts w:ascii="Arial" w:cs="Arial" w:eastAsia="Arial" w:hAnsi="Arial"/>
          <w:sz w:val="16"/>
          <w:szCs w:val="16"/>
          <w:color w:val="3E5588"/>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Stock-Based Compensation</w:t>
      </w:r>
    </w:p>
    <w:p>
      <w:pPr>
        <w:spacing w:after="0" w:line="22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3E5588"/>
        </w:rPr>
        <w:t>We measure stock-based compensation expense related to all restricted stock awards and stock options based on the fair value of the award on the date of grant. We recognize compensation expense for these awards over the requisite service period, which is generally the vesting period of the respective award. Generally, we issue awards with only service-based vesting conditions and record the expense for these awards using the straight-line method. We have also granted certain stock-based awards with performance-based vesting conditions. We recognize compensation expense for awards with performance-based vesting conditions over the remaining service period using an accelerated attribution method when management determines that achievement of the performance condition is probable. At each reporting date, we evaluate if the achievement of a performance-based milestone is probable based on the expected satisfaction of the performance conditions.</w:t>
      </w:r>
    </w:p>
    <w:p>
      <w:pPr>
        <w:spacing w:after="0" w:line="172" w:lineRule="exact"/>
        <w:rPr>
          <w:sz w:val="20"/>
          <w:szCs w:val="20"/>
          <w:color w:val="auto"/>
        </w:rPr>
      </w:pPr>
    </w:p>
    <w:p>
      <w:pPr>
        <w:jc w:val="both"/>
        <w:ind w:firstLine="478"/>
        <w:spacing w:after="0" w:line="286" w:lineRule="auto"/>
        <w:rPr>
          <w:sz w:val="20"/>
          <w:szCs w:val="20"/>
          <w:color w:val="auto"/>
        </w:rPr>
      </w:pPr>
      <w:r>
        <w:rPr>
          <w:rFonts w:ascii="Arial" w:cs="Arial" w:eastAsia="Arial" w:hAnsi="Arial"/>
          <w:sz w:val="16"/>
          <w:szCs w:val="16"/>
          <w:color w:val="3E5588"/>
        </w:rPr>
        <w:t>We determine the fair value of restricted stock awards based on the estimated fair value of our common stock on the date of grant, less any applicable purchase price. We estimate the fair value of stock options granted using the Black-Scholes option-pricing model. The determination of the grant date fair value of stock options using an option pricing model is affected principally by our estimated fair value of our common stock and requires management to make a number of other assumptions, including the expected term of the option, the estimated volatility of the underlying shares, the risk-free interest rate, and expected dividends. The assumptions used in the determination of the grant date fair value of stock options represent management's best estimates at the time of measurement. As a result of the lack of a public market for the trading of our common stock and a lack of company-specific historical and implied volatility data, we base the estimate of expected volatility on the historical volatility of a representative group of publicly traded companies for which historical information is available. The historical volatility is calculated based on a period of time commensurate with the assumption used for the expected term. We use the simplified method to calculate the expected term for all stock options. We utilize this method as we do not have sufficient historical exercise data to provide a reasonable basis upon which to estimate the expected term. The risk-free interest rate is based on a U.S. treasury instrument whose term is consistent with the expected term of the stock options. The expected dividend yield is assumed to be zero as we have never paid dividends and do not have current plans to pay any dividends on common stock.</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2"/>
        <w:spacing w:after="0" w:line="268" w:lineRule="auto"/>
        <w:rPr>
          <w:sz w:val="20"/>
          <w:szCs w:val="20"/>
          <w:color w:val="auto"/>
        </w:rPr>
      </w:pPr>
      <w:r>
        <w:rPr>
          <w:rFonts w:ascii="Arial" w:cs="Arial" w:eastAsia="Arial" w:hAnsi="Arial"/>
          <w:sz w:val="18"/>
          <w:szCs w:val="18"/>
          <w:color w:val="3E5588"/>
        </w:rPr>
        <w:t>In future periods, we expect stock-based compensation expense to increase, due in part to our existing unrecognized stock-based compensation expense and as we grant additional stock-based awards to continue to attract and retain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Fair Value of Common Stock and Series B Preferred Stock</w:t>
      </w:r>
    </w:p>
    <w:p>
      <w:pPr>
        <w:spacing w:after="0" w:line="225" w:lineRule="exact"/>
        <w:rPr>
          <w:sz w:val="20"/>
          <w:szCs w:val="20"/>
          <w:color w:val="auto"/>
        </w:rPr>
      </w:pPr>
    </w:p>
    <w:p>
      <w:pPr>
        <w:jc w:val="both"/>
        <w:ind w:firstLine="387"/>
        <w:spacing w:after="0" w:line="284" w:lineRule="auto"/>
        <w:rPr>
          <w:sz w:val="20"/>
          <w:szCs w:val="20"/>
          <w:color w:val="auto"/>
        </w:rPr>
      </w:pPr>
      <w:r>
        <w:rPr>
          <w:rFonts w:ascii="Arial" w:cs="Arial" w:eastAsia="Arial" w:hAnsi="Arial"/>
          <w:sz w:val="16"/>
          <w:szCs w:val="16"/>
          <w:color w:val="3E5588"/>
        </w:rPr>
        <w:t>As previously described, we are required to estimate the fair value of our common stock underlying our stock-based awards when estimating the grant date fair value of those awards. Additionally, we were required to estimate the fair value of the Series B preferred stock issued pursuant to the right of reference and license agreement that we entered into with GSK in February 2019. As there has been no public market for our common stock or Series B preferred stock to date, the estimated fair value of our common stock and Series B preferred stock has been determined by our board of directors and management, respectively, as of the date of each equity issuance considering our most recently available third-party valuations of common stock or Series B preferred stock, and our assessment of additional objective and subjective factors.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the guideline public company method and/or the precedent transaction method to estimate our equity value, and we utilized the option-pricing method, or OPM, or the hybrid method to allocate equity value to our common stock and preferred stock. The hybrid method is a probability-weighted expected return method, or PWERM, where the equity value in one or more of the scenarios is allocated using an OPM.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or an initial public offering, or IPO. The PWERM is a scenario-based method that estimates the fair value of common stock and preferred stock based upon an analysis of future values for the company, assuming various outcomes. The common stock and preferred stock value is based on the probability-weighted present value of expected future investment returns considering each of the possible outcomes available, as well as the rights of each class of stock. The future value of the common stock and preferred stock under each outcome is discounted back to the valuation date at an appropriate risk-adjusted discount rate and probability weighted to arrive at an indication of value for the common stock. In our application of the hybrid method, we considered an IPO scenario under the PWERM framework, in which the shares of convertible preferred stock are assumed to convert to common stock, and a non-IPO scenario modeled using an OPM. Our Series B preferred stock valuation was prepared using the hybrid method. The relative probability of the IPO scenario was determined based on an analysis of market conditions at the time and our expectations as to the timing and likely prospects of the IPO at each valuation date. In our application of the guideline public company method, we considered recently completed IPOs as indicators of our estimated future value in an IPO.</w:t>
      </w:r>
    </w:p>
    <w:p>
      <w:pPr>
        <w:spacing w:after="0" w:line="180" w:lineRule="exact"/>
        <w:rPr>
          <w:sz w:val="20"/>
          <w:szCs w:val="20"/>
          <w:color w:val="auto"/>
        </w:rPr>
      </w:pPr>
    </w:p>
    <w:p>
      <w:pPr>
        <w:jc w:val="both"/>
        <w:ind w:firstLine="425"/>
        <w:spacing w:after="0" w:line="289" w:lineRule="auto"/>
        <w:rPr>
          <w:sz w:val="20"/>
          <w:szCs w:val="20"/>
          <w:color w:val="auto"/>
        </w:rPr>
      </w:pPr>
      <w:r>
        <w:rPr>
          <w:rFonts w:ascii="Arial" w:cs="Arial" w:eastAsia="Arial" w:hAnsi="Arial"/>
          <w:sz w:val="16"/>
          <w:szCs w:val="16"/>
          <w:color w:val="3E5588"/>
        </w:rPr>
        <w:t>Based on our early stage of development and other relevant factors, our board of directors determined that the OPM was the most appropriate method for allocating our enterprise value to determine the estimated fair value of our common stock for the valuations performed as of December 31, 2016, December 31, 2017 and June 1, 2018, which resulted in our board of directors determining that the fair value of our common stock was $2.94 per share, $3.29 per share and $4.83 per share, respectively. Following the issuance of the Series B preferred stock in August 2018, our board of directors determined that the hybrid method was the most appropriate method for allocating our enterprise value to determine the estimated fair value of our common stock for valuations performed as of August 24, 2018, November 30, 2018, March 15, 2019 and May 10, 2019, which resulted in our board of directors determining that the fair value of our common stock was $7.63 per share, $7.84 per share, $8.33 per share and $11.06 per share, respectively. Our board of directors determined that it was appropriate to change the methodology for determining the fair value of our common stock to the hybrid method beginning with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3E5588"/>
        </w:rPr>
        <w:t>August 24, 2018 valuation as greater certainty developed regarding a possible IPO upon the issuance of the Series B preferred stock. Management determined that the value of our Series B preferred stock was $2.04 per share as of February 8, 2019.</w:t>
      </w:r>
    </w:p>
    <w:p>
      <w:pPr>
        <w:spacing w:after="0" w:line="186" w:lineRule="exact"/>
        <w:rPr>
          <w:sz w:val="20"/>
          <w:szCs w:val="20"/>
          <w:color w:val="auto"/>
        </w:rPr>
      </w:pPr>
    </w:p>
    <w:p>
      <w:pPr>
        <w:ind w:firstLine="417"/>
        <w:spacing w:after="0" w:line="268" w:lineRule="auto"/>
        <w:rPr>
          <w:sz w:val="20"/>
          <w:szCs w:val="20"/>
          <w:color w:val="auto"/>
        </w:rPr>
      </w:pPr>
      <w:r>
        <w:rPr>
          <w:rFonts w:ascii="Arial" w:cs="Arial" w:eastAsia="Arial" w:hAnsi="Arial"/>
          <w:sz w:val="18"/>
          <w:szCs w:val="18"/>
          <w:color w:val="3E5588"/>
        </w:rPr>
        <w:t>Our board of directors and management considered various objective and subjective factors to determine the fair value of our common stock and Series B preferred stock, respectively, including:</w:t>
      </w:r>
    </w:p>
    <w:p>
      <w:pPr>
        <w:spacing w:after="0" w:line="19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3E5588"/>
        </w:rPr>
      </w:pPr>
      <w:r>
        <w:rPr>
          <w:rFonts w:ascii="Arial" w:cs="Arial" w:eastAsia="Arial" w:hAnsi="Arial"/>
          <w:sz w:val="18"/>
          <w:szCs w:val="18"/>
          <w:color w:val="3E5588"/>
        </w:rPr>
        <w:t>valuations of our common stock and Series B preferred stock performed by independent third-party valuation specialists;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60"/>
        </w:numPr>
        <w:rPr>
          <w:rFonts w:ascii="Arial" w:cs="Arial" w:eastAsia="Arial" w:hAnsi="Arial"/>
          <w:sz w:val="16"/>
          <w:szCs w:val="16"/>
          <w:color w:val="3E5588"/>
        </w:rPr>
      </w:pPr>
      <w:r>
        <w:rPr>
          <w:rFonts w:ascii="Arial" w:cs="Arial" w:eastAsia="Arial" w:hAnsi="Arial"/>
          <w:sz w:val="16"/>
          <w:szCs w:val="16"/>
          <w:color w:val="3E5588"/>
        </w:rPr>
        <w:t>our stage of development and business strategy, including the status of research and development efforts of our product candidates;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60"/>
        </w:numPr>
        <w:rPr>
          <w:rFonts w:ascii="Arial" w:cs="Arial" w:eastAsia="Arial" w:hAnsi="Arial"/>
          <w:sz w:val="18"/>
          <w:szCs w:val="18"/>
          <w:color w:val="3E5588"/>
        </w:rPr>
      </w:pPr>
      <w:r>
        <w:rPr>
          <w:rFonts w:ascii="Arial" w:cs="Arial" w:eastAsia="Arial" w:hAnsi="Arial"/>
          <w:sz w:val="18"/>
          <w:szCs w:val="18"/>
          <w:color w:val="3E5588"/>
        </w:rPr>
        <w:t>the analysis of IPOs and the valuation of similar publicly traded companies in the biopharmaceutical industry;</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60"/>
        </w:numPr>
        <w:rPr>
          <w:rFonts w:ascii="Arial" w:cs="Arial" w:eastAsia="Arial" w:hAnsi="Arial"/>
          <w:sz w:val="18"/>
          <w:szCs w:val="18"/>
          <w:color w:val="3E5588"/>
        </w:rPr>
      </w:pPr>
      <w:r>
        <w:rPr>
          <w:rFonts w:ascii="Arial" w:cs="Arial" w:eastAsia="Arial" w:hAnsi="Arial"/>
          <w:sz w:val="18"/>
          <w:szCs w:val="18"/>
          <w:color w:val="3E5588"/>
        </w:rPr>
        <w:t>our financial position, including our levels of available capital resources;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60"/>
        </w:numPr>
        <w:rPr>
          <w:rFonts w:ascii="Arial" w:cs="Arial" w:eastAsia="Arial" w:hAnsi="Arial"/>
          <w:sz w:val="18"/>
          <w:szCs w:val="18"/>
          <w:color w:val="3E5588"/>
        </w:rPr>
      </w:pPr>
      <w:r>
        <w:rPr>
          <w:rFonts w:ascii="Arial" w:cs="Arial" w:eastAsia="Arial" w:hAnsi="Arial"/>
          <w:sz w:val="18"/>
          <w:szCs w:val="18"/>
          <w:color w:val="3E5588"/>
        </w:rPr>
        <w:t>the lack of an active public market for our common stock and our preferred stock;</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0"/>
        </w:numPr>
        <w:rPr>
          <w:rFonts w:ascii="Arial" w:cs="Arial" w:eastAsia="Arial" w:hAnsi="Arial"/>
          <w:sz w:val="18"/>
          <w:szCs w:val="18"/>
          <w:color w:val="3E5588"/>
        </w:rPr>
      </w:pPr>
      <w:r>
        <w:rPr>
          <w:rFonts w:ascii="Arial" w:cs="Arial" w:eastAsia="Arial" w:hAnsi="Arial"/>
          <w:sz w:val="18"/>
          <w:szCs w:val="18"/>
          <w:color w:val="3E5588"/>
        </w:rPr>
        <w:t>the prices of our convertible preferred stock sold to investors in arm's length transactions and the rights, preferences and privileges of our convertible preferred stock relative to those of our common stock;</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60"/>
        </w:numPr>
        <w:rPr>
          <w:rFonts w:ascii="Arial" w:cs="Arial" w:eastAsia="Arial" w:hAnsi="Arial"/>
          <w:sz w:val="18"/>
          <w:szCs w:val="18"/>
          <w:color w:val="3E5588"/>
        </w:rPr>
      </w:pPr>
      <w:r>
        <w:rPr>
          <w:rFonts w:ascii="Arial" w:cs="Arial" w:eastAsia="Arial" w:hAnsi="Arial"/>
          <w:sz w:val="18"/>
          <w:szCs w:val="18"/>
          <w:color w:val="3E5588"/>
        </w:rPr>
        <w:t>the likelihood and potential timing of achieving a liquidity event, such as an IPO, in light of prevailing market conditions; and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60"/>
        </w:numPr>
        <w:rPr>
          <w:rFonts w:ascii="Arial" w:cs="Arial" w:eastAsia="Arial" w:hAnsi="Arial"/>
          <w:sz w:val="18"/>
          <w:szCs w:val="18"/>
          <w:color w:val="3E5588"/>
        </w:rPr>
      </w:pPr>
      <w:r>
        <w:rPr>
          <w:rFonts w:ascii="Arial" w:cs="Arial" w:eastAsia="Arial" w:hAnsi="Arial"/>
          <w:sz w:val="18"/>
          <w:szCs w:val="18"/>
          <w:color w:val="3E5588"/>
        </w:rPr>
        <w:t>external market conditions affecting the biotechnology industry, and trends within the biopharmaceutical industry.</w:t>
      </w:r>
    </w:p>
    <w:p>
      <w:pPr>
        <w:spacing w:after="0" w:line="225"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3E5588"/>
        </w:rPr>
        <w:t>The assumptions underlying these valuations represent our best estimates, which involve inherent uncertainties and the application of judgment. As a result, if factors or expected outcomes change and we use significantly different assumptions or estimates, our stock-based compensation expense or in-process research and development expense could be materially different.</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3E5588"/>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Grants of Stock-Based Awards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3E5588"/>
        </w:rPr>
        <w:t>The following table presents the grant dates, numbers of underlying shares of common stock, the per share purchase prices and exercise prices, and the fair values of the underlying common stock as of the grant dates for awards granted between January 1, 2018 and June 30, 2019, along with the fair value per award on the date of grant: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3E5588"/>
                <w:w w:val="88"/>
              </w:rPr>
              <w:t>Per Share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E5588"/>
                <w:w w:val="88"/>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3E5588"/>
                <w:w w:val="88"/>
              </w:rPr>
              <w:t>Per Share</w:t>
            </w:r>
          </w:p>
        </w:tc>
        <w:tc>
          <w:tcPr>
            <w:tcW w:w="16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3E5588"/>
                <w:w w:val="88"/>
              </w:rPr>
              <w:t>Fair Value 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89"/>
              </w:rPr>
              <w:t>Estimated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4"/>
              </w:rPr>
              <w:t>Shares Subject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3E5588"/>
                <w:w w:val="85"/>
              </w:rPr>
              <w:t>Exercise Price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3E5588"/>
                <w:w w:val="88"/>
              </w:rPr>
              <w:t>Common</w:t>
            </w:r>
          </w:p>
        </w:tc>
        <w:tc>
          <w:tcPr>
            <w:tcW w:w="20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3E5588"/>
                <w:w w:val="88"/>
              </w:rPr>
              <w:t>Value of Award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5"/>
              </w:rPr>
              <w:t>to Awards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3E5588"/>
                <w:w w:val="86"/>
              </w:rPr>
              <w:t>or Purchase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3E5588"/>
                <w:w w:val="84"/>
              </w:rPr>
              <w:t>Stock 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92"/>
              </w:rPr>
              <w:t>on Grant</w:t>
            </w:r>
          </w:p>
        </w:tc>
        <w:tc>
          <w:tcPr>
            <w:tcW w:w="0" w:type="dxa"/>
            <w:vAlign w:val="bottom"/>
          </w:tcPr>
          <w:p>
            <w:pPr>
              <w:spacing w:after="0"/>
              <w:rPr>
                <w:sz w:val="1"/>
                <w:szCs w:val="1"/>
                <w:color w:val="auto"/>
              </w:rPr>
            </w:pPr>
          </w:p>
        </w:tc>
      </w:tr>
      <w:tr>
        <w:trPr>
          <w:trHeight w:val="176"/>
        </w:trPr>
        <w:tc>
          <w:tcPr>
            <w:tcW w:w="2660" w:type="dxa"/>
            <w:vAlign w:val="bottom"/>
            <w:gridSpan w:val="4"/>
          </w:tcPr>
          <w:p>
            <w:pPr>
              <w:spacing w:after="0"/>
              <w:rPr>
                <w:sz w:val="20"/>
                <w:szCs w:val="20"/>
                <w:color w:val="auto"/>
              </w:rPr>
            </w:pPr>
            <w:r>
              <w:rPr>
                <w:rFonts w:ascii="Arial" w:cs="Arial" w:eastAsia="Arial" w:hAnsi="Arial"/>
                <w:sz w:val="14"/>
                <w:szCs w:val="14"/>
                <w:b w:val="1"/>
                <w:bCs w:val="1"/>
                <w:color w:val="3E5588"/>
              </w:rPr>
              <w:t>Grant Date</w:t>
            </w:r>
          </w:p>
        </w:tc>
        <w:tc>
          <w:tcPr>
            <w:tcW w:w="1280" w:type="dxa"/>
            <w:vAlign w:val="bottom"/>
          </w:tcPr>
          <w:p>
            <w:pPr>
              <w:jc w:val="right"/>
              <w:ind w:right="134"/>
              <w:spacing w:after="0"/>
              <w:rPr>
                <w:sz w:val="20"/>
                <w:szCs w:val="20"/>
                <w:color w:val="auto"/>
              </w:rPr>
            </w:pPr>
            <w:r>
              <w:rPr>
                <w:rFonts w:ascii="Arial" w:cs="Arial" w:eastAsia="Arial" w:hAnsi="Arial"/>
                <w:sz w:val="14"/>
                <w:szCs w:val="14"/>
                <w:b w:val="1"/>
                <w:bCs w:val="1"/>
                <w:color w:val="3E5588"/>
              </w:rPr>
              <w:t>Type of Award</w:t>
            </w:r>
          </w:p>
        </w:tc>
        <w:tc>
          <w:tcPr>
            <w:tcW w:w="1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3E5588"/>
                <w:w w:val="93"/>
              </w:rPr>
              <w:t>Granted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3E5588"/>
                <w:w w:val="87"/>
              </w:rPr>
              <w:t>Price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3E5588"/>
                <w:w w:val="92"/>
              </w:rPr>
              <w:t>Grant Date</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center"/>
              <w:ind w:right="260"/>
              <w:spacing w:after="0" w:line="176" w:lineRule="exact"/>
              <w:rPr>
                <w:sz w:val="20"/>
                <w:szCs w:val="20"/>
                <w:color w:val="auto"/>
              </w:rPr>
            </w:pPr>
            <w:r>
              <w:rPr>
                <w:rFonts w:ascii="Arial" w:cs="Arial" w:eastAsia="Arial" w:hAnsi="Arial"/>
                <w:sz w:val="13"/>
                <w:szCs w:val="13"/>
                <w:b w:val="1"/>
                <w:bCs w:val="1"/>
                <w:color w:val="3E5588"/>
                <w:w w:val="94"/>
              </w:rPr>
              <w:t>Date</w:t>
            </w:r>
            <w:r>
              <w:rPr>
                <w:rFonts w:ascii="Arial" w:cs="Arial" w:eastAsia="Arial" w:hAnsi="Arial"/>
                <w:sz w:val="20"/>
                <w:szCs w:val="20"/>
                <w:b w:val="1"/>
                <w:bCs w:val="1"/>
                <w:color w:val="3E5588"/>
                <w:w w:val="94"/>
                <w:vertAlign w:val="superscript"/>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9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20" w:type="dxa"/>
            <w:vAlign w:val="bottom"/>
            <w:shd w:val="clear" w:color="auto" w:fill="3E5588"/>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9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1/23/2018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225,717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3.29</w:t>
            </w:r>
            <w:r>
              <w:rPr>
                <w:rFonts w:ascii="Arial" w:cs="Arial" w:eastAsia="Arial" w:hAnsi="Arial"/>
                <w:sz w:val="14"/>
                <w:szCs w:val="14"/>
                <w:color w:val="3E5588"/>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3E5588"/>
              </w:rPr>
              <w:t>2/23/2018</w:t>
            </w:r>
          </w:p>
        </w:tc>
        <w:tc>
          <w:tcPr>
            <w:tcW w:w="1280" w:type="dxa"/>
            <w:vAlign w:val="bottom"/>
          </w:tcPr>
          <w:p>
            <w:pPr>
              <w:jc w:val="right"/>
              <w:spacing w:after="0"/>
              <w:rPr>
                <w:sz w:val="20"/>
                <w:szCs w:val="20"/>
                <w:color w:val="auto"/>
              </w:rPr>
            </w:pPr>
            <w:r>
              <w:rPr>
                <w:rFonts w:ascii="Arial" w:cs="Arial" w:eastAsia="Arial" w:hAnsi="Arial"/>
                <w:sz w:val="18"/>
                <w:szCs w:val="18"/>
                <w:color w:val="3E5588"/>
                <w:w w:val="94"/>
              </w:rPr>
              <w:t>Restricted Stock</w:t>
            </w:r>
          </w:p>
        </w:tc>
        <w:tc>
          <w:tcPr>
            <w:tcW w:w="1200" w:type="dxa"/>
            <w:vAlign w:val="bottom"/>
            <w:gridSpan w:val="2"/>
          </w:tcPr>
          <w:p>
            <w:pPr>
              <w:jc w:val="right"/>
              <w:spacing w:after="0"/>
              <w:rPr>
                <w:sz w:val="20"/>
                <w:szCs w:val="20"/>
                <w:color w:val="auto"/>
              </w:rPr>
            </w:pPr>
            <w:r>
              <w:rPr>
                <w:rFonts w:ascii="Arial" w:cs="Arial" w:eastAsia="Arial" w:hAnsi="Arial"/>
                <w:sz w:val="18"/>
                <w:szCs w:val="18"/>
                <w:color w:val="3E5588"/>
              </w:rPr>
              <w:t>24,285</w:t>
            </w:r>
          </w:p>
        </w:tc>
        <w:tc>
          <w:tcPr>
            <w:tcW w:w="2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20" w:type="dxa"/>
            <w:vAlign w:val="bottom"/>
          </w:tcPr>
          <w:p>
            <w:pPr>
              <w:jc w:val="right"/>
              <w:spacing w:after="0"/>
              <w:rPr>
                <w:sz w:val="20"/>
                <w:szCs w:val="20"/>
                <w:color w:val="auto"/>
              </w:rPr>
            </w:pPr>
            <w:r>
              <w:rPr>
                <w:rFonts w:ascii="Arial" w:cs="Arial" w:eastAsia="Arial" w:hAnsi="Arial"/>
                <w:sz w:val="18"/>
                <w:szCs w:val="18"/>
                <w:color w:val="3E5588"/>
              </w:rPr>
              <w:t>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3E5588"/>
              </w:rPr>
              <w:t>3.29</w:t>
            </w:r>
            <w:r>
              <w:rPr>
                <w:rFonts w:ascii="Arial" w:cs="Arial" w:eastAsia="Arial" w:hAnsi="Arial"/>
                <w:sz w:val="14"/>
                <w:szCs w:val="14"/>
                <w:color w:val="3E5588"/>
              </w:rPr>
              <w:t>(2)</w:t>
            </w:r>
          </w:p>
        </w:tc>
        <w:tc>
          <w:tcPr>
            <w:tcW w:w="2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60" w:type="dxa"/>
            <w:vAlign w:val="bottom"/>
          </w:tcPr>
          <w:p>
            <w:pPr>
              <w:jc w:val="right"/>
              <w:spacing w:after="0"/>
              <w:rPr>
                <w:sz w:val="20"/>
                <w:szCs w:val="20"/>
                <w:color w:val="auto"/>
              </w:rPr>
            </w:pPr>
            <w:r>
              <w:rPr>
                <w:rFonts w:ascii="Arial" w:cs="Arial" w:eastAsia="Arial" w:hAnsi="Arial"/>
                <w:sz w:val="18"/>
                <w:szCs w:val="18"/>
                <w:color w:val="3E5588"/>
              </w:rPr>
              <w:t>3.22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6/20/2018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4"/>
              </w:rPr>
              <w:t>Restricted Stock</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6,714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4.83</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3E5588"/>
              </w:rPr>
              <w:t>6/20/2018</w:t>
            </w:r>
          </w:p>
        </w:tc>
        <w:tc>
          <w:tcPr>
            <w:tcW w:w="1280" w:type="dxa"/>
            <w:vAlign w:val="bottom"/>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3E5588"/>
              </w:rPr>
              <w:t>82,700</w:t>
            </w:r>
          </w:p>
        </w:tc>
        <w:tc>
          <w:tcPr>
            <w:tcW w:w="2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20" w:type="dxa"/>
            <w:vAlign w:val="bottom"/>
          </w:tcPr>
          <w:p>
            <w:pPr>
              <w:jc w:val="right"/>
              <w:spacing w:after="0"/>
              <w:rPr>
                <w:sz w:val="20"/>
                <w:szCs w:val="20"/>
                <w:color w:val="auto"/>
              </w:rPr>
            </w:pPr>
            <w:r>
              <w:rPr>
                <w:rFonts w:ascii="Arial" w:cs="Arial" w:eastAsia="Arial" w:hAnsi="Arial"/>
                <w:sz w:val="18"/>
                <w:szCs w:val="18"/>
                <w:color w:val="3E5588"/>
              </w:rPr>
              <w:t>4.83</w:t>
            </w:r>
          </w:p>
        </w:tc>
        <w:tc>
          <w:tcPr>
            <w:tcW w:w="2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820" w:type="dxa"/>
            <w:vAlign w:val="bottom"/>
          </w:tcPr>
          <w:p>
            <w:pPr>
              <w:jc w:val="right"/>
              <w:spacing w:after="0"/>
              <w:rPr>
                <w:sz w:val="20"/>
                <w:szCs w:val="20"/>
                <w:color w:val="auto"/>
              </w:rPr>
            </w:pPr>
            <w:r>
              <w:rPr>
                <w:rFonts w:ascii="Arial" w:cs="Arial" w:eastAsia="Arial" w:hAnsi="Arial"/>
                <w:sz w:val="18"/>
                <w:szCs w:val="18"/>
                <w:color w:val="3E5588"/>
              </w:rPr>
              <w:t>4.83</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60" w:type="dxa"/>
            <w:vAlign w:val="bottom"/>
          </w:tcPr>
          <w:p>
            <w:pPr>
              <w:jc w:val="right"/>
              <w:spacing w:after="0"/>
              <w:rPr>
                <w:sz w:val="20"/>
                <w:szCs w:val="20"/>
                <w:color w:val="auto"/>
              </w:rPr>
            </w:pPr>
            <w:r>
              <w:rPr>
                <w:rFonts w:ascii="Arial" w:cs="Arial" w:eastAsia="Arial" w:hAnsi="Arial"/>
                <w:sz w:val="18"/>
                <w:szCs w:val="18"/>
                <w:color w:val="3E5588"/>
              </w:rPr>
              <w:t>3.43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7/11/2018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34,356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4.83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4.83</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3E5588"/>
              </w:rPr>
              <w:t>10/17/2018</w:t>
            </w:r>
          </w:p>
        </w:tc>
        <w:tc>
          <w:tcPr>
            <w:tcW w:w="1280" w:type="dxa"/>
            <w:vAlign w:val="bottom"/>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3E5588"/>
              </w:rPr>
              <w:t>71,765</w:t>
            </w:r>
          </w:p>
        </w:tc>
        <w:tc>
          <w:tcPr>
            <w:tcW w:w="2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20" w:type="dxa"/>
            <w:vAlign w:val="bottom"/>
          </w:tcPr>
          <w:p>
            <w:pPr>
              <w:jc w:val="right"/>
              <w:spacing w:after="0"/>
              <w:rPr>
                <w:sz w:val="20"/>
                <w:szCs w:val="20"/>
                <w:color w:val="auto"/>
              </w:rPr>
            </w:pPr>
            <w:r>
              <w:rPr>
                <w:rFonts w:ascii="Arial" w:cs="Arial" w:eastAsia="Arial" w:hAnsi="Arial"/>
                <w:sz w:val="18"/>
                <w:szCs w:val="18"/>
                <w:color w:val="3E5588"/>
              </w:rPr>
              <w:t>7.63</w:t>
            </w:r>
          </w:p>
        </w:tc>
        <w:tc>
          <w:tcPr>
            <w:tcW w:w="2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820" w:type="dxa"/>
            <w:vAlign w:val="bottom"/>
          </w:tcPr>
          <w:p>
            <w:pPr>
              <w:jc w:val="right"/>
              <w:spacing w:after="0"/>
              <w:rPr>
                <w:sz w:val="20"/>
                <w:szCs w:val="20"/>
                <w:color w:val="auto"/>
              </w:rPr>
            </w:pPr>
            <w:r>
              <w:rPr>
                <w:rFonts w:ascii="Arial" w:cs="Arial" w:eastAsia="Arial" w:hAnsi="Arial"/>
                <w:sz w:val="18"/>
                <w:szCs w:val="18"/>
                <w:color w:val="3E5588"/>
              </w:rPr>
              <w:t>7.63</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60" w:type="dxa"/>
            <w:vAlign w:val="bottom"/>
          </w:tcPr>
          <w:p>
            <w:pPr>
              <w:jc w:val="right"/>
              <w:spacing w:after="0"/>
              <w:rPr>
                <w:sz w:val="20"/>
                <w:szCs w:val="20"/>
                <w:color w:val="auto"/>
              </w:rPr>
            </w:pPr>
            <w:r>
              <w:rPr>
                <w:rFonts w:ascii="Arial" w:cs="Arial" w:eastAsia="Arial" w:hAnsi="Arial"/>
                <w:sz w:val="18"/>
                <w:szCs w:val="18"/>
                <w:color w:val="3E5588"/>
              </w:rPr>
              <w:t>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12/13/2018</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15,499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7.84</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3E5588"/>
              </w:rPr>
              <w:t>12/18/2018</w:t>
            </w:r>
          </w:p>
        </w:tc>
        <w:tc>
          <w:tcPr>
            <w:tcW w:w="1280" w:type="dxa"/>
            <w:vAlign w:val="bottom"/>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3E5588"/>
              </w:rPr>
              <w:t>303,571</w:t>
            </w:r>
          </w:p>
        </w:tc>
        <w:tc>
          <w:tcPr>
            <w:tcW w:w="2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20" w:type="dxa"/>
            <w:vAlign w:val="bottom"/>
          </w:tcPr>
          <w:p>
            <w:pPr>
              <w:jc w:val="right"/>
              <w:spacing w:after="0"/>
              <w:rPr>
                <w:sz w:val="20"/>
                <w:szCs w:val="20"/>
                <w:color w:val="auto"/>
              </w:rPr>
            </w:pPr>
            <w:r>
              <w:rPr>
                <w:rFonts w:ascii="Arial" w:cs="Arial" w:eastAsia="Arial" w:hAnsi="Arial"/>
                <w:sz w:val="18"/>
                <w:szCs w:val="18"/>
                <w:color w:val="3E5588"/>
              </w:rPr>
              <w:t>7.84</w:t>
            </w:r>
          </w:p>
        </w:tc>
        <w:tc>
          <w:tcPr>
            <w:tcW w:w="2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820" w:type="dxa"/>
            <w:vAlign w:val="bottom"/>
          </w:tcPr>
          <w:p>
            <w:pPr>
              <w:jc w:val="right"/>
              <w:spacing w:after="0"/>
              <w:rPr>
                <w:sz w:val="20"/>
                <w:szCs w:val="20"/>
                <w:color w:val="auto"/>
              </w:rPr>
            </w:pPr>
            <w:r>
              <w:rPr>
                <w:rFonts w:ascii="Arial" w:cs="Arial" w:eastAsia="Arial" w:hAnsi="Arial"/>
                <w:sz w:val="18"/>
                <w:szCs w:val="18"/>
                <w:color w:val="3E5588"/>
              </w:rPr>
              <w:t>7.84</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60" w:type="dxa"/>
            <w:vAlign w:val="bottom"/>
          </w:tcPr>
          <w:p>
            <w:pPr>
              <w:jc w:val="right"/>
              <w:spacing w:after="0"/>
              <w:rPr>
                <w:sz w:val="20"/>
                <w:szCs w:val="20"/>
                <w:color w:val="auto"/>
              </w:rPr>
            </w:pPr>
            <w:r>
              <w:rPr>
                <w:rFonts w:ascii="Arial" w:cs="Arial" w:eastAsia="Arial" w:hAnsi="Arial"/>
                <w:sz w:val="18"/>
                <w:szCs w:val="18"/>
                <w:color w:val="3E5588"/>
              </w:rPr>
              <w:t>5.53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1/22/2019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1,006,213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7.84</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3E5588"/>
              </w:rPr>
              <w:t>3/20/2019</w:t>
            </w:r>
          </w:p>
        </w:tc>
        <w:tc>
          <w:tcPr>
            <w:tcW w:w="1280" w:type="dxa"/>
            <w:vAlign w:val="bottom"/>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tcPr>
          <w:p>
            <w:pPr>
              <w:jc w:val="right"/>
              <w:spacing w:after="0"/>
              <w:rPr>
                <w:sz w:val="20"/>
                <w:szCs w:val="20"/>
                <w:color w:val="auto"/>
              </w:rPr>
            </w:pPr>
            <w:r>
              <w:rPr>
                <w:rFonts w:ascii="Arial" w:cs="Arial" w:eastAsia="Arial" w:hAnsi="Arial"/>
                <w:sz w:val="18"/>
                <w:szCs w:val="18"/>
                <w:color w:val="3E5588"/>
              </w:rPr>
              <w:t>14,283</w:t>
            </w:r>
          </w:p>
        </w:tc>
        <w:tc>
          <w:tcPr>
            <w:tcW w:w="2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20" w:type="dxa"/>
            <w:vAlign w:val="bottom"/>
          </w:tcPr>
          <w:p>
            <w:pPr>
              <w:jc w:val="right"/>
              <w:spacing w:after="0"/>
              <w:rPr>
                <w:sz w:val="20"/>
                <w:szCs w:val="20"/>
                <w:color w:val="auto"/>
              </w:rPr>
            </w:pPr>
            <w:r>
              <w:rPr>
                <w:rFonts w:ascii="Arial" w:cs="Arial" w:eastAsia="Arial" w:hAnsi="Arial"/>
                <w:sz w:val="18"/>
                <w:szCs w:val="18"/>
                <w:color w:val="3E5588"/>
              </w:rPr>
              <w:t>8.33</w:t>
            </w:r>
          </w:p>
        </w:tc>
        <w:tc>
          <w:tcPr>
            <w:tcW w:w="2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820" w:type="dxa"/>
            <w:vAlign w:val="bottom"/>
          </w:tcPr>
          <w:p>
            <w:pPr>
              <w:jc w:val="right"/>
              <w:spacing w:after="0"/>
              <w:rPr>
                <w:sz w:val="20"/>
                <w:szCs w:val="20"/>
                <w:color w:val="auto"/>
              </w:rPr>
            </w:pPr>
            <w:r>
              <w:rPr>
                <w:rFonts w:ascii="Arial" w:cs="Arial" w:eastAsia="Arial" w:hAnsi="Arial"/>
                <w:sz w:val="18"/>
                <w:szCs w:val="18"/>
                <w:color w:val="3E5588"/>
              </w:rPr>
              <w:t>8.33</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960" w:type="dxa"/>
            <w:vAlign w:val="bottom"/>
          </w:tcPr>
          <w:p>
            <w:pPr>
              <w:jc w:val="right"/>
              <w:spacing w:after="0"/>
              <w:rPr>
                <w:sz w:val="20"/>
                <w:szCs w:val="20"/>
                <w:color w:val="auto"/>
              </w:rPr>
            </w:pPr>
            <w:r>
              <w:rPr>
                <w:rFonts w:ascii="Arial" w:cs="Arial" w:eastAsia="Arial" w:hAnsi="Arial"/>
                <w:sz w:val="18"/>
                <w:szCs w:val="18"/>
                <w:color w:val="3E5588"/>
              </w:rPr>
              <w:t>5.88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5/21/2019</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Stock Options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93,995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11.06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11.06</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3E5588"/>
            </w:tcBorders>
          </w:tcPr>
          <w:p>
            <w:pPr>
              <w:spacing w:after="0"/>
              <w:rPr>
                <w:sz w:val="9"/>
                <w:szCs w:val="9"/>
                <w:color w:val="auto"/>
              </w:rPr>
            </w:pPr>
          </w:p>
        </w:tc>
        <w:tc>
          <w:tcPr>
            <w:tcW w:w="40" w:type="dxa"/>
            <w:vAlign w:val="bottom"/>
            <w:tcBorders>
              <w:bottom w:val="single" w:sz="8" w:color="3E5588"/>
            </w:tcBorders>
          </w:tcPr>
          <w:p>
            <w:pPr>
              <w:spacing w:after="0"/>
              <w:rPr>
                <w:sz w:val="9"/>
                <w:szCs w:val="9"/>
                <w:color w:val="auto"/>
              </w:rPr>
            </w:pPr>
          </w:p>
        </w:tc>
        <w:tc>
          <w:tcPr>
            <w:tcW w:w="19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5" w:lineRule="auto"/>
        <w:tabs>
          <w:tab w:leader="none" w:pos="1680" w:val="left"/>
        </w:tabs>
        <w:numPr>
          <w:ilvl w:val="0"/>
          <w:numId w:val="61"/>
        </w:numPr>
        <w:rPr>
          <w:rFonts w:ascii="Arial" w:cs="Arial" w:eastAsia="Arial" w:hAnsi="Arial"/>
          <w:sz w:val="18"/>
          <w:szCs w:val="18"/>
          <w:color w:val="3E5588"/>
        </w:rPr>
      </w:pPr>
      <w:r>
        <w:rPr>
          <w:rFonts w:ascii="Arial" w:cs="Arial" w:eastAsia="Arial" w:hAnsi="Arial"/>
          <w:sz w:val="18"/>
          <w:szCs w:val="18"/>
          <w:color w:val="3E5588"/>
        </w:rPr>
        <w:t>For restricted stock, the Per Share Estimated Fair Value of Award on Grant Date reflects the weighted average fair value of restricted stock at the date of grant, which is equal to the fair value of our common stock as of the date of grant as determined by our board of directors, less the applicable purchase price of the restricted stock. For stock options, the Per Share Estimated Fair Value of Award on Grant Date reflects the weighted average fair value of stock options as estimated at the date of grant using the Black-Scholes option-pricing model.</w:t>
      </w:r>
    </w:p>
    <w:p>
      <w:pPr>
        <w:spacing w:after="0" w:line="223" w:lineRule="exact"/>
        <w:rPr>
          <w:rFonts w:ascii="Arial" w:cs="Arial" w:eastAsia="Arial" w:hAnsi="Arial"/>
          <w:sz w:val="18"/>
          <w:szCs w:val="18"/>
          <w:color w:val="3E5588"/>
        </w:rPr>
      </w:pPr>
    </w:p>
    <w:p>
      <w:pPr>
        <w:ind w:left="1680" w:right="20" w:hanging="531"/>
        <w:spacing w:after="0" w:line="268" w:lineRule="auto"/>
        <w:tabs>
          <w:tab w:leader="none" w:pos="1680" w:val="left"/>
        </w:tabs>
        <w:numPr>
          <w:ilvl w:val="0"/>
          <w:numId w:val="61"/>
        </w:numPr>
        <w:rPr>
          <w:rFonts w:ascii="Arial" w:cs="Arial" w:eastAsia="Arial" w:hAnsi="Arial"/>
          <w:sz w:val="18"/>
          <w:szCs w:val="18"/>
          <w:color w:val="3E5588"/>
        </w:rPr>
      </w:pPr>
      <w:r>
        <w:rPr>
          <w:rFonts w:ascii="Arial" w:cs="Arial" w:eastAsia="Arial" w:hAnsi="Arial"/>
          <w:sz w:val="18"/>
          <w:szCs w:val="18"/>
          <w:color w:val="3E5588"/>
        </w:rPr>
        <w:t>We undertook a retrospective valuation of the fair value of our common stock as of December 31, 2017 and this value represents our estimated fair value per common share in accordance with such retrospective valuation.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Stock Option Grants in Connection with Initial Public Offering</w:t>
      </w:r>
    </w:p>
    <w:p>
      <w:pPr>
        <w:spacing w:after="0" w:line="225" w:lineRule="exact"/>
        <w:rPr>
          <w:sz w:val="20"/>
          <w:szCs w:val="20"/>
          <w:color w:val="auto"/>
        </w:rPr>
      </w:pPr>
    </w:p>
    <w:p>
      <w:pPr>
        <w:jc w:val="both"/>
        <w:ind w:right="20" w:firstLine="477"/>
        <w:spacing w:after="0" w:line="306" w:lineRule="auto"/>
        <w:rPr>
          <w:sz w:val="20"/>
          <w:szCs w:val="20"/>
          <w:color w:val="auto"/>
        </w:rPr>
      </w:pPr>
      <w:r>
        <w:rPr>
          <w:rFonts w:ascii="Arial" w:cs="Arial" w:eastAsia="Arial" w:hAnsi="Arial"/>
          <w:sz w:val="16"/>
          <w:szCs w:val="16"/>
          <w:color w:val="3E5588"/>
        </w:rPr>
        <w:t>Our board of directors has approved, effective upon the commencement of trading of our common stock on the Nasdaq Global Market, grants of stock options to purchase an aggregate of 308,486 shares of our common stock at a purchase price per share equal to the estimated fair market value of our common stock on such date of grant, which our board of directors determined to be equal to the initial public offering price of our common stock in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Income Taxes</w:t>
      </w:r>
    </w:p>
    <w:p>
      <w:pPr>
        <w:spacing w:after="0" w:line="225"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3E5588"/>
        </w:rPr>
        <w:t>We account for income taxes using the asset and liability method, which requires the recognition of deferred tax assets and liabilities for the expected future tax consequences of events that have been recognized in the consolidated financial statements or in our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04"/>
        <w:spacing w:after="0" w:line="256" w:lineRule="auto"/>
        <w:rPr>
          <w:sz w:val="20"/>
          <w:szCs w:val="20"/>
          <w:color w:val="auto"/>
        </w:rPr>
      </w:pPr>
      <w:r>
        <w:rPr>
          <w:rFonts w:ascii="Arial" w:cs="Arial" w:eastAsia="Arial" w:hAnsi="Arial"/>
          <w:sz w:val="18"/>
          <w:szCs w:val="18"/>
          <w:color w:val="3E5588"/>
        </w:rPr>
        <w:t>We account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 As of each balance sheet date, we did not have any uncertain tax positions.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Recently Issued Accounting Pronouncements</w:t>
      </w:r>
    </w:p>
    <w:p>
      <w:pPr>
        <w:spacing w:after="0" w:line="231"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3E5588"/>
        </w:rPr>
        <w:t>We have reviewed all recently issued standards and have determined that, other than as disclosed in Note 2 to our annual and interim consolidated financial statements appearing at the end of this prospectus, these standards will not have a material impact on our financial statements or do not otherwise apply to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Quantitative and Qualitative Disclosures about Market Risk</w:t>
      </w:r>
    </w:p>
    <w:p>
      <w:pPr>
        <w:spacing w:after="0" w:line="231"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3E5588"/>
        </w:rPr>
        <w:t>Our primary exposure to market risk is interest rate sensitivity, which is affected by changes in the general level of U.S. interest rates, particularly because our cash equivalents are in the form of money market funds that are invested in U.S. Treasury securities. As of March 31, 2019, we had cash and cash equivalents of $62.5 million. Interest income is sensitive to changes in the general level of interest rates; however, due to the nature of these investments, an immediate 10% change in interest rates would not have a material effect on the fair market value of our investment portfolio.</w:t>
      </w:r>
    </w:p>
    <w:p>
      <w:pPr>
        <w:spacing w:after="0" w:line="167"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6"/>
          <w:szCs w:val="16"/>
          <w:color w:val="3E5588"/>
        </w:rPr>
        <w:t>We are also exposed to market risk related to changes in foreign currency exchange rates. We contract with vendors that are located outside of the United States and certain invoices are denominated in foreign currencies. We are subject to fluctuations in foreign currency rates in connection with these arrangements. We do not currently hedge our foreign currency exchange rate risk. As of March 31, 2019, we had minimal or no liabilities denominated in foreign currencies.</w:t>
      </w:r>
    </w:p>
    <w:p>
      <w:pPr>
        <w:spacing w:after="0" w:line="161" w:lineRule="exact"/>
        <w:rPr>
          <w:sz w:val="20"/>
          <w:szCs w:val="20"/>
          <w:color w:val="auto"/>
        </w:rPr>
      </w:pPr>
    </w:p>
    <w:p>
      <w:pPr>
        <w:jc w:val="both"/>
        <w:ind w:firstLine="427"/>
        <w:spacing w:after="0" w:line="332" w:lineRule="auto"/>
        <w:rPr>
          <w:sz w:val="20"/>
          <w:szCs w:val="20"/>
          <w:color w:val="auto"/>
        </w:rPr>
      </w:pPr>
      <w:r>
        <w:rPr>
          <w:rFonts w:ascii="Arial" w:cs="Arial" w:eastAsia="Arial" w:hAnsi="Arial"/>
          <w:sz w:val="16"/>
          <w:szCs w:val="16"/>
          <w:color w:val="3E5588"/>
        </w:rPr>
        <w:t>Inflation generally affects us by increasing our cost of labor and clinical trial costs. We do not believe that inflation had a material effect on our business, financial condition or results of operations during the years ended December 31, 2017 and 2018 or the three months ended March 31, 2018 and 2019.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Emerging Growth Company Status</w:t>
      </w:r>
    </w:p>
    <w:p>
      <w:pPr>
        <w:spacing w:after="0" w:line="231"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3E5588"/>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financial statements in a registration statement for an IPO, an exemption from the requirement to provide an auditor's report on internal controls over financial reporting pursuant to Section 404(b) of the Sarbanes-Oxley Act of 2002, an exemption from any requirement that may be adopted by the Public Company Accounting Oversight Board regarding mandatory audit firm rotation, and less extensive disclosure about our executive compensation arrangements. Additionally,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and, therefore, while we are an EGC, we will not be subject to new or revised accounting standards at the same time that they become applicable to other public companies that are not EGCs. As a result, our consolidated financial statements may not be comparable to companies that comply with new or revised accounting pronouncements as of public company effective dates.</w:t>
      </w:r>
    </w:p>
    <w:p>
      <w:pPr>
        <w:spacing w:after="0" w:line="1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18"/>
          <w:szCs w:val="18"/>
          <w:color w:val="3E5588"/>
        </w:rPr>
        <w:t>We may remain classified as an EGC until the end of the fiscal year in which the fifth anniversary of this offering occurs, although if the market value of our common stock that is held by non-affiliates exceeds $700 million as of any June 30 before that time or if we have annual gross revenues of $1.07 billion or more in any fiscal year, we would cease to be an EGC as of December 31 of the applicable year. We also would cease to be an EGC if we issue more than $1 billion of non-convertible debt over a three-year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Overview</w:t>
      </w:r>
    </w:p>
    <w:p>
      <w:pPr>
        <w:spacing w:after="0" w:line="231"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3E5588"/>
        </w:rPr>
        <w:t>We are a clinical-stage biopharmaceutical company focused on improving the lives of patients with genetically defined diseases in areas of high unmet medical need, with an initial focus on rare diseases. We have developed a proprietary product engine that we employ to systematically identify and validate cellular drug targets that can potentially modulate gene expression to treat the known root cause of genetically defined diseases. We are using our product engine to identify targets that can be drugged by small molecules regardless of the particular underlying mechanism of gene mis-expression. We have identified drug targets to treat the root causes of facioscapulohumeral muscular dystrophy, or FSHD, and certain hemoglobinopathies, namely sickle cell disease, or SCD, and b-thalassemia. We expect to initiate a Phase 2b clinical trial of losmapimod, our product candidate for FSHD, in mid-2019. We commenced a Phase 1 clinical trial in February 2019 to obtain safety and tolerability data for losmapimod in patients with FSHD. We plan to submit an investigational new drug application, or IND, for FTX-HbF, our product candidate for certain hemoglobinopathies, in mid-2020.</w:t>
      </w:r>
    </w:p>
    <w:p>
      <w:pPr>
        <w:spacing w:after="0" w:line="17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3E5588"/>
        </w:rPr>
        <w:t>We are using our proprietary product engine to identify and validate drug targets and develop product candidates to address diseases caused by the mis-expression of certain genes. Our product engine integrates patient-derived tissue-relevant cell models and drug target screens with our pharmacologically-diverse small molecule compound library and customized CRISPR libraries. We also employ computational biology and FulcrumSeek, our proprietary relational database, to guide target selection and to generate hypotheses on other targets that might be relevant along a gene regulatory pathway.</w:t>
      </w:r>
    </w:p>
    <w:p>
      <w:pPr>
        <w:spacing w:after="0" w:line="167" w:lineRule="exact"/>
        <w:rPr>
          <w:sz w:val="20"/>
          <w:szCs w:val="20"/>
          <w:color w:val="auto"/>
        </w:rPr>
      </w:pPr>
    </w:p>
    <w:p>
      <w:pPr>
        <w:jc w:val="both"/>
        <w:ind w:firstLine="435"/>
        <w:spacing w:after="0" w:line="294" w:lineRule="auto"/>
        <w:rPr>
          <w:sz w:val="20"/>
          <w:szCs w:val="20"/>
          <w:color w:val="auto"/>
        </w:rPr>
      </w:pPr>
      <w:r>
        <w:rPr>
          <w:rFonts w:ascii="Arial" w:cs="Arial" w:eastAsia="Arial" w:hAnsi="Arial"/>
          <w:sz w:val="16"/>
          <w:szCs w:val="16"/>
          <w:color w:val="3E5588"/>
        </w:rPr>
        <w:t xml:space="preserve">Our first product candidate, losmapimod, is a small molecule that we are developing for the treatment of FSHD, a rare, progressive and disabling muscle wasting disorder that leads to significant physical impairments and disability. Losmapimod selectively targets p38a/b mitogen activated protein kinase, or p38a/b. We utilized our product engine to discover that inhibition of p38a/b reduced expression of the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gene in muscle cells derived from patients with FSHD. The mis-expression of the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gene is the known root cause of FSHD. There are no approved therapies for FSHD, one of the most common forms of muscular dystrophy, with an estimated patient population of 16,000 to 38,000 in the United States.</w:t>
      </w:r>
    </w:p>
    <w:p>
      <w:pPr>
        <w:spacing w:after="0" w:line="170"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3E5588"/>
        </w:rPr>
        <w:t xml:space="preserve">Following our discovery of the role of p38a/b inhibitors in the reduction of </w:t>
      </w:r>
      <w:r>
        <w:rPr>
          <w:rFonts w:ascii="Arial" w:cs="Arial" w:eastAsia="Arial" w:hAnsi="Arial"/>
          <w:sz w:val="18"/>
          <w:szCs w:val="18"/>
          <w:i w:val="1"/>
          <w:iCs w:val="1"/>
          <w:color w:val="3E5588"/>
        </w:rPr>
        <w:t>DUX4</w:t>
      </w:r>
      <w:r>
        <w:rPr>
          <w:rFonts w:ascii="Arial" w:cs="Arial" w:eastAsia="Arial" w:hAnsi="Arial"/>
          <w:sz w:val="18"/>
          <w:szCs w:val="18"/>
          <w:color w:val="3E5588"/>
        </w:rPr>
        <w:t xml:space="preserve"> expression, we performed an extensive review of known compounds. As a result of our evaluation, we identified losmapimod as the preferred developmental candidate based on the substantial and attractive preclinical and clinical data. We in-licensed losmapimod from affiliates of GlaxoSmithKline, or GSK, in February 2019. GSK had previously treated nearly 3,500 subjects with losmapimod across multiple clinical trials, including one Phase 3 clinical trial. GSK did not conduct a clinical trial of losmapimod in patients with FSHD or any other muscle disorder. We have conducted extensive preclinical testing of losmapimod in patient-derived tissue-relevant cell models and have observed that losmapimod selectively reduced DUX4-driven gene expression and restored a healthy gene expression signature with minimal impact on healthy human muscle cells or other cell types.</w:t>
      </w:r>
    </w:p>
    <w:p>
      <w:pPr>
        <w:spacing w:after="0" w:line="201"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3E5588"/>
        </w:rPr>
        <w:t>We plan to conduct a randomized, double-blind placebo-controlled Phase 2b clinical trial to investigate whether treatment with losmapimod reduces DUX4-driven gene expression in affected skeletal muscle. In this Phase 2b clinical trial, we will also evaluate the safety and tolerability of losmapimod. We plan to concurrently conduct an open label Phase 2 clinical trial to investigate the safety and tolerability of chronic treatment with losmapimod in patients with FSHD. In this open label trial, we will also evaluate the ability of losmapimod to reduce DUX4-driven gene expression in affected skeletal muscle over varying treatment durations. We expect to initiate the Phase 2b clinical trial at multiple sites in the United States and Europe and the open label Phase 2 clinical trial in Europe in mid-2019. We expect to complete a Phase 1 clinical trial in healthy volunteers and patients with FSHD in 2019. We utilized data from GSK's clinical trials of losmapimod and our preclinical data to submit in May 2019 an IND, and clinical trial applications, or CTAs, in Europe and Canada, that will enable us to advance our clinical development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for losmapimod in FSHD, including initiating a Phase 2b clinical trial in mid-2019. The FDA accepted the IND in June 2019. The timing of the initiation of the Phase 2b clinical trial is not dependent on the completion of the Phase 1 clinical trial.</w:t>
      </w:r>
    </w:p>
    <w:p>
      <w:pPr>
        <w:spacing w:after="0" w:line="186" w:lineRule="exact"/>
        <w:rPr>
          <w:sz w:val="20"/>
          <w:szCs w:val="20"/>
          <w:color w:val="auto"/>
        </w:rPr>
      </w:pPr>
    </w:p>
    <w:p>
      <w:pPr>
        <w:jc w:val="both"/>
        <w:ind w:firstLine="367"/>
        <w:spacing w:after="0" w:line="288" w:lineRule="auto"/>
        <w:rPr>
          <w:sz w:val="20"/>
          <w:szCs w:val="20"/>
          <w:color w:val="auto"/>
        </w:rPr>
      </w:pPr>
      <w:r>
        <w:rPr>
          <w:rFonts w:ascii="Arial" w:cs="Arial" w:eastAsia="Arial" w:hAnsi="Arial"/>
          <w:sz w:val="16"/>
          <w:szCs w:val="16"/>
          <w:color w:val="3E5588"/>
        </w:rPr>
        <w:t>We are additionally conducting several preparatory studies to assess biomarker endpoints and clinical outcome assessments and are participating in a natural history study that will follow 150 subjects with FSHD in the United States and 70 subjects in Europe over 18 months. We expect to utilize the data generated from our preparatory studies and the natural history study to inform future clinical trial designs and discussions with regulatory agencies. We believe that these preparatory studies and the safety data from GSK's prior losmapimod clinical trials, together with safety and efficacy data generated from our Phase 1 and Phase 2 clinical trials, may enable us to apply for accelerated approval of losmapimod for the treatment of FSHD. If we observe positive results in our Phase 2b clinical trial based on our proposed biomarker efficacy endpoint of measuring DUX4-driven gene expression in muscle biopsies, we plan to discuss accelerated approval with regulatory agencies and may seek accelerated approval if such regulatory agencies agree that our biomarker endpoint is sufficiently predictive of clinical benefit. The FDA or other regulatory authorities may require us to conduct comparability assessments of GSK-manufactured tablets to tablets manufactured by us or another party.</w:t>
      </w:r>
    </w:p>
    <w:p>
      <w:pPr>
        <w:spacing w:after="0" w:line="174" w:lineRule="exact"/>
        <w:rPr>
          <w:sz w:val="20"/>
          <w:szCs w:val="20"/>
          <w:color w:val="auto"/>
        </w:rPr>
      </w:pPr>
    </w:p>
    <w:p>
      <w:pPr>
        <w:jc w:val="both"/>
        <w:ind w:firstLine="439"/>
        <w:spacing w:after="0" w:line="298" w:lineRule="auto"/>
        <w:rPr>
          <w:sz w:val="20"/>
          <w:szCs w:val="20"/>
          <w:color w:val="auto"/>
        </w:rPr>
      </w:pPr>
      <w:r>
        <w:rPr>
          <w:rFonts w:ascii="Arial" w:cs="Arial" w:eastAsia="Arial" w:hAnsi="Arial"/>
          <w:sz w:val="16"/>
          <w:szCs w:val="16"/>
          <w:color w:val="3E5588"/>
        </w:rPr>
        <w:t xml:space="preserve">Our second product candidate, FTX-HbF, is a small molecule designed to upregulate fetal hemoglobin in patients with SCD and b-thalassemia. SCD is a genetic blood disorder caused by a mutation in the b-subunit gene, or </w:t>
      </w:r>
      <w:r>
        <w:rPr>
          <w:rFonts w:ascii="Arial" w:cs="Arial" w:eastAsia="Arial" w:hAnsi="Arial"/>
          <w:sz w:val="16"/>
          <w:szCs w:val="16"/>
          <w:i w:val="1"/>
          <w:iCs w:val="1"/>
          <w:color w:val="3E5588"/>
        </w:rPr>
        <w:t>HBB</w:t>
      </w:r>
      <w:r>
        <w:rPr>
          <w:rFonts w:ascii="Arial" w:cs="Arial" w:eastAsia="Arial" w:hAnsi="Arial"/>
          <w:sz w:val="16"/>
          <w:szCs w:val="16"/>
          <w:color w:val="3E5588"/>
        </w:rPr>
        <w:t xml:space="preserve"> gene. This mutation results in the formation of abnormal hemoglobin, which causes red blood cells, or RBCs, to change from a round shape into a sickle shape that significantly impairs their function. b-thalassemia is a rare blood disorder caused by various genetic mutations in the </w:t>
      </w:r>
      <w:r>
        <w:rPr>
          <w:rFonts w:ascii="Arial" w:cs="Arial" w:eastAsia="Arial" w:hAnsi="Arial"/>
          <w:sz w:val="16"/>
          <w:szCs w:val="16"/>
          <w:i w:val="1"/>
          <w:iCs w:val="1"/>
          <w:color w:val="3E5588"/>
        </w:rPr>
        <w:t>HBB</w:t>
      </w:r>
      <w:r>
        <w:rPr>
          <w:rFonts w:ascii="Arial" w:cs="Arial" w:eastAsia="Arial" w:hAnsi="Arial"/>
          <w:sz w:val="16"/>
          <w:szCs w:val="16"/>
          <w:color w:val="3E5588"/>
        </w:rPr>
        <w:t xml:space="preserve"> gene that can significantly impair the production of RBCs.</w:t>
      </w:r>
    </w:p>
    <w:p>
      <w:pPr>
        <w:spacing w:after="0" w:line="167"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6"/>
          <w:szCs w:val="16"/>
          <w:color w:val="3E5588"/>
        </w:rPr>
        <w:t xml:space="preserve">We designed FTX-HbF to compensate for the root cause of these hemoglobinopathies by inducing the expression of the two g-globin genes,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whose expression is normally silenced shortly after birth. The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genes encode for g-globin, a component of fetal hemoglobin, which is known to compensate for the presence of abnormal hemoglobin in SCD and b-thalassemia. We have observed </w:t>
      </w:r>
      <w:r>
        <w:rPr>
          <w:rFonts w:ascii="Arial" w:cs="Arial" w:eastAsia="Arial" w:hAnsi="Arial"/>
          <w:sz w:val="16"/>
          <w:szCs w:val="16"/>
          <w:i w:val="1"/>
          <w:iCs w:val="1"/>
          <w:color w:val="3E5588"/>
        </w:rPr>
        <w:t>in vitro</w:t>
      </w:r>
      <w:r>
        <w:rPr>
          <w:rFonts w:ascii="Arial" w:cs="Arial" w:eastAsia="Arial" w:hAnsi="Arial"/>
          <w:sz w:val="16"/>
          <w:szCs w:val="16"/>
          <w:color w:val="3E5588"/>
        </w:rPr>
        <w:t xml:space="preserve"> and </w:t>
      </w:r>
      <w:r>
        <w:rPr>
          <w:rFonts w:ascii="Arial" w:cs="Arial" w:eastAsia="Arial" w:hAnsi="Arial"/>
          <w:sz w:val="16"/>
          <w:szCs w:val="16"/>
          <w:i w:val="1"/>
          <w:iCs w:val="1"/>
          <w:color w:val="3E5588"/>
        </w:rPr>
        <w:t>in vivo</w:t>
      </w:r>
      <w:r>
        <w:rPr>
          <w:rFonts w:ascii="Arial" w:cs="Arial" w:eastAsia="Arial" w:hAnsi="Arial"/>
          <w:sz w:val="16"/>
          <w:szCs w:val="16"/>
          <w:color w:val="3E5588"/>
        </w:rPr>
        <w:t xml:space="preserve"> activation of the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genes in preclinical studies with FTX-HbF. We have also observed that FTX-HbF demonstrated robust levels of fetal hemoglobin elevation with no adverse effect on important cellular health markers. We have initiated IND-enabling studies and plan to submit an IND for FTX-HbF in mid-2020.</w:t>
      </w:r>
    </w:p>
    <w:p>
      <w:pPr>
        <w:spacing w:after="0" w:line="170" w:lineRule="exact"/>
        <w:rPr>
          <w:sz w:val="20"/>
          <w:szCs w:val="20"/>
          <w:color w:val="auto"/>
        </w:rPr>
      </w:pPr>
    </w:p>
    <w:p>
      <w:pPr>
        <w:jc w:val="both"/>
        <w:ind w:firstLine="524"/>
        <w:spacing w:after="0" w:line="291" w:lineRule="auto"/>
        <w:rPr>
          <w:sz w:val="20"/>
          <w:szCs w:val="20"/>
          <w:color w:val="auto"/>
        </w:rPr>
      </w:pPr>
      <w:r>
        <w:rPr>
          <w:rFonts w:ascii="Arial" w:cs="Arial" w:eastAsia="Arial" w:hAnsi="Arial"/>
          <w:sz w:val="16"/>
          <w:szCs w:val="16"/>
          <w:color w:val="3E5588"/>
        </w:rPr>
        <w:t>According to the National Institutes of Health, or NIH, there are approximately 7,000 rare, genetically defined human diseases, many of which have inadequate or no approved treatments. We plan to utilize our product engine to complete four new drug target identification screens in 2019 in Duchenne muscular dystrophy, Friedreich ataxia, myotonic dystrophy 1 and a-synucleinopathies. We also expect to complete an additional six screens in 2020. Our current drug target identification and development efforts are focused on rare neuromuscular disorders, hemoglobinopathies and central nervous system, or CNS, diseases. We also anticipate utilizing our product engine to discover drug targets for genetically defined diseases in other therapeutic areas. In addition to drug targets that we prioritize for internal development, we may identify other drug targets that we would consider for development through partnerships.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Our Pipeline</w:t>
      </w:r>
    </w:p>
    <w:p>
      <w:pPr>
        <w:spacing w:after="0" w:line="231"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3E5588"/>
        </w:rPr>
        <w:t>We designed our proprietary product engine with potential application across a broad array of genetically defined diseases with a known root cause. The following chart summarizes key information about our lead product candidates.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147955</wp:posOffset>
            </wp:positionV>
            <wp:extent cx="5788660" cy="21355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8866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Our Strategy</w:t>
      </w:r>
    </w:p>
    <w:p>
      <w:pPr>
        <w:spacing w:after="0" w:line="231" w:lineRule="exact"/>
        <w:rPr>
          <w:sz w:val="20"/>
          <w:szCs w:val="20"/>
          <w:color w:val="auto"/>
        </w:rPr>
      </w:pPr>
    </w:p>
    <w:p>
      <w:pPr>
        <w:jc w:val="both"/>
        <w:ind w:firstLine="374"/>
        <w:spacing w:after="0" w:line="256" w:lineRule="auto"/>
        <w:rPr>
          <w:sz w:val="20"/>
          <w:szCs w:val="20"/>
          <w:color w:val="auto"/>
        </w:rPr>
      </w:pPr>
      <w:r>
        <w:rPr>
          <w:rFonts w:ascii="Arial" w:cs="Arial" w:eastAsia="Arial" w:hAnsi="Arial"/>
          <w:sz w:val="18"/>
          <w:szCs w:val="18"/>
          <w:color w:val="3E5588"/>
        </w:rPr>
        <w:t>We are leveraging the broad applicability of our proprietary product engine to discover and develop small molecule therapies that modulate gene expression to address the known root cause of genetically defined diseases in areas of high unmet medical need, with an initial focus on rare diseases. We believe that our initial product candidates for the treatment of FSHD, SCD and b-thalassemia may have the potential to treat patients with these debilitating and, in some cases, life-threatening illnesses. The key components of our strategy include:</w:t>
      </w:r>
    </w:p>
    <w:p>
      <w:pPr>
        <w:spacing w:after="0" w:line="211" w:lineRule="exact"/>
        <w:rPr>
          <w:sz w:val="20"/>
          <w:szCs w:val="20"/>
          <w:color w:val="auto"/>
        </w:rPr>
      </w:pPr>
    </w:p>
    <w:p>
      <w:pPr>
        <w:jc w:val="both"/>
        <w:ind w:left="1080" w:hanging="532"/>
        <w:spacing w:after="0" w:line="256" w:lineRule="auto"/>
        <w:tabs>
          <w:tab w:leader="none" w:pos="1080" w:val="left"/>
        </w:tabs>
        <w:numPr>
          <w:ilvl w:val="0"/>
          <w:numId w:val="62"/>
        </w:numPr>
        <w:rPr>
          <w:rFonts w:ascii="Arial" w:cs="Arial" w:eastAsia="Arial" w:hAnsi="Arial"/>
          <w:sz w:val="18"/>
          <w:szCs w:val="18"/>
          <w:color w:val="3E5588"/>
        </w:rPr>
      </w:pPr>
      <w:r>
        <w:rPr>
          <w:rFonts w:ascii="Arial" w:cs="Arial" w:eastAsia="Arial" w:hAnsi="Arial"/>
          <w:sz w:val="18"/>
          <w:szCs w:val="18"/>
          <w:b w:val="1"/>
          <w:bCs w:val="1"/>
          <w:i w:val="1"/>
          <w:iCs w:val="1"/>
          <w:color w:val="3E5588"/>
        </w:rPr>
        <w:t xml:space="preserve">Rapidly develop losmapimod for the treatment of FSHD. </w:t>
      </w:r>
      <w:r>
        <w:rPr>
          <w:rFonts w:ascii="Arial" w:cs="Arial" w:eastAsia="Arial" w:hAnsi="Arial"/>
          <w:sz w:val="18"/>
          <w:szCs w:val="18"/>
          <w:color w:val="3E5588"/>
        </w:rPr>
        <w:t>We aim to rapidly develop losmapimod for the treatment of FSHD through clinical</w:t>
      </w:r>
      <w:r>
        <w:rPr>
          <w:rFonts w:ascii="Arial" w:cs="Arial" w:eastAsia="Arial" w:hAnsi="Arial"/>
          <w:sz w:val="18"/>
          <w:szCs w:val="18"/>
          <w:b w:val="1"/>
          <w:bCs w:val="1"/>
          <w:i w:val="1"/>
          <w:iCs w:val="1"/>
          <w:color w:val="3E5588"/>
        </w:rPr>
        <w:t xml:space="preserve"> </w:t>
      </w:r>
      <w:r>
        <w:rPr>
          <w:rFonts w:ascii="Arial" w:cs="Arial" w:eastAsia="Arial" w:hAnsi="Arial"/>
          <w:sz w:val="18"/>
          <w:szCs w:val="18"/>
          <w:color w:val="3E5588"/>
        </w:rPr>
        <w:t>development and regulatory approval. We plan to initiate a Phase 2b clinical trial of losmapimod in mid-2019 and, subject to positive results, plan to meet with regulators to discuss the potential to pursue accelerated approval given the significant unmet medical need in FSHD and the absence of approved therapies for patients.</w:t>
      </w:r>
    </w:p>
    <w:p>
      <w:pPr>
        <w:spacing w:after="0" w:line="224"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2"/>
        </w:numPr>
        <w:rPr>
          <w:rFonts w:ascii="Arial" w:cs="Arial" w:eastAsia="Arial" w:hAnsi="Arial"/>
          <w:sz w:val="18"/>
          <w:szCs w:val="18"/>
          <w:color w:val="3E5588"/>
        </w:rPr>
      </w:pPr>
      <w:r>
        <w:rPr>
          <w:rFonts w:ascii="Arial" w:cs="Arial" w:eastAsia="Arial" w:hAnsi="Arial"/>
          <w:sz w:val="18"/>
          <w:szCs w:val="18"/>
          <w:b w:val="1"/>
          <w:bCs w:val="1"/>
          <w:i w:val="1"/>
          <w:iCs w:val="1"/>
          <w:color w:val="3E5588"/>
        </w:rPr>
        <w:t xml:space="preserve">Advance FTX-HbF into clinical development. </w:t>
      </w:r>
      <w:r>
        <w:rPr>
          <w:rFonts w:ascii="Arial" w:cs="Arial" w:eastAsia="Arial" w:hAnsi="Arial"/>
          <w:sz w:val="18"/>
          <w:szCs w:val="18"/>
          <w:color w:val="3E5588"/>
        </w:rPr>
        <w:t>We have initiated IND-enabling studies of FTX-HbF and we aim to submit an IND in mid-2020.</w:t>
      </w:r>
      <w:r>
        <w:rPr>
          <w:rFonts w:ascii="Arial" w:cs="Arial" w:eastAsia="Arial" w:hAnsi="Arial"/>
          <w:sz w:val="18"/>
          <w:szCs w:val="18"/>
          <w:b w:val="1"/>
          <w:bCs w:val="1"/>
          <w:i w:val="1"/>
          <w:iCs w:val="1"/>
          <w:color w:val="3E5588"/>
        </w:rPr>
        <w:t xml:space="preserve"> </w:t>
      </w:r>
      <w:r>
        <w:rPr>
          <w:rFonts w:ascii="Arial" w:cs="Arial" w:eastAsia="Arial" w:hAnsi="Arial"/>
          <w:sz w:val="18"/>
          <w:szCs w:val="18"/>
          <w:color w:val="3E5588"/>
        </w:rPr>
        <w:t>We intend to develop FTX-HbF for the treatment of SCD and certain types of b-thalassemia.</w:t>
      </w:r>
    </w:p>
    <w:p>
      <w:pPr>
        <w:spacing w:after="0" w:line="199" w:lineRule="exact"/>
        <w:rPr>
          <w:rFonts w:ascii="Arial" w:cs="Arial" w:eastAsia="Arial" w:hAnsi="Arial"/>
          <w:sz w:val="18"/>
          <w:szCs w:val="18"/>
          <w:color w:val="3E5588"/>
        </w:rPr>
      </w:pPr>
    </w:p>
    <w:p>
      <w:pPr>
        <w:jc w:val="both"/>
        <w:ind w:left="1080" w:hanging="532"/>
        <w:spacing w:after="0" w:line="291" w:lineRule="auto"/>
        <w:tabs>
          <w:tab w:leader="none" w:pos="1080" w:val="left"/>
        </w:tabs>
        <w:numPr>
          <w:ilvl w:val="0"/>
          <w:numId w:val="62"/>
        </w:numPr>
        <w:rPr>
          <w:rFonts w:ascii="Arial" w:cs="Arial" w:eastAsia="Arial" w:hAnsi="Arial"/>
          <w:sz w:val="16"/>
          <w:szCs w:val="16"/>
          <w:color w:val="3E5588"/>
        </w:rPr>
      </w:pPr>
      <w:r>
        <w:rPr>
          <w:rFonts w:ascii="Arial" w:cs="Arial" w:eastAsia="Arial" w:hAnsi="Arial"/>
          <w:sz w:val="16"/>
          <w:szCs w:val="16"/>
          <w:b w:val="1"/>
          <w:bCs w:val="1"/>
          <w:i w:val="1"/>
          <w:iCs w:val="1"/>
          <w:color w:val="3E5588"/>
        </w:rPr>
        <w:t xml:space="preserve">Continue to apply our proprietary product engine to grow our portfolio of product candidates for the treatment of genetically defined diseases. </w:t>
      </w:r>
      <w:r>
        <w:rPr>
          <w:rFonts w:ascii="Arial" w:cs="Arial" w:eastAsia="Arial" w:hAnsi="Arial"/>
          <w:sz w:val="16"/>
          <w:szCs w:val="16"/>
          <w:color w:val="3E5588"/>
        </w:rPr>
        <w:t>We have developed a rigorous assessment and selection process to determine which of the approximately 7,000 rare, genetically defined diseases we intend to evaluate in drug target identification activities. We are applying our product engine to discover drug targets to modulate gene expression and develop product candidates for the potential treatment of the root cause of the disease. We plan to utilize our product engine to complete four new drug target identification screens in 2019 and an additional six screens in 2020, and we expect to advance the most compelling programs identified for development.</w:t>
      </w:r>
    </w:p>
    <w:p>
      <w:pPr>
        <w:spacing w:after="0" w:line="187" w:lineRule="exact"/>
        <w:rPr>
          <w:rFonts w:ascii="Arial" w:cs="Arial" w:eastAsia="Arial" w:hAnsi="Arial"/>
          <w:sz w:val="16"/>
          <w:szCs w:val="16"/>
          <w:color w:val="3E5588"/>
        </w:rPr>
      </w:pPr>
    </w:p>
    <w:p>
      <w:pPr>
        <w:jc w:val="both"/>
        <w:ind w:left="1080" w:hanging="532"/>
        <w:spacing w:after="0" w:line="306" w:lineRule="auto"/>
        <w:tabs>
          <w:tab w:leader="none" w:pos="1080" w:val="left"/>
        </w:tabs>
        <w:numPr>
          <w:ilvl w:val="0"/>
          <w:numId w:val="62"/>
        </w:numPr>
        <w:rPr>
          <w:rFonts w:ascii="Arial" w:cs="Arial" w:eastAsia="Arial" w:hAnsi="Arial"/>
          <w:sz w:val="16"/>
          <w:szCs w:val="16"/>
          <w:color w:val="3E5588"/>
        </w:rPr>
      </w:pPr>
      <w:r>
        <w:rPr>
          <w:rFonts w:ascii="Arial" w:cs="Arial" w:eastAsia="Arial" w:hAnsi="Arial"/>
          <w:sz w:val="16"/>
          <w:szCs w:val="16"/>
          <w:b w:val="1"/>
          <w:bCs w:val="1"/>
          <w:i w:val="1"/>
          <w:iCs w:val="1"/>
          <w:color w:val="3E5588"/>
        </w:rPr>
        <w:t xml:space="preserve">Further expand our product engine capabilities. </w:t>
      </w:r>
      <w:r>
        <w:rPr>
          <w:rFonts w:ascii="Arial" w:cs="Arial" w:eastAsia="Arial" w:hAnsi="Arial"/>
          <w:sz w:val="16"/>
          <w:szCs w:val="16"/>
          <w:color w:val="3E5588"/>
        </w:rPr>
        <w:t>Our product engine incorporates patient-derived cell lines and/or other relevant human cell</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lines, our annotated small molecule compound library and customized CRISPR libraries. We intend to further expand our product engine capabilities, including FulcrumSeek, to enhance the therapeutic reach and productivity of our drug discovery process.</w:t>
      </w:r>
    </w:p>
    <w:p>
      <w:pPr>
        <w:spacing w:after="0" w:line="187" w:lineRule="exact"/>
        <w:rPr>
          <w:rFonts w:ascii="Arial" w:cs="Arial" w:eastAsia="Arial" w:hAnsi="Arial"/>
          <w:sz w:val="16"/>
          <w:szCs w:val="16"/>
          <w:color w:val="3E5588"/>
        </w:rPr>
      </w:pPr>
    </w:p>
    <w:p>
      <w:pPr>
        <w:jc w:val="both"/>
        <w:ind w:left="1080" w:hanging="532"/>
        <w:spacing w:after="0" w:line="306" w:lineRule="auto"/>
        <w:tabs>
          <w:tab w:leader="none" w:pos="1080" w:val="left"/>
        </w:tabs>
        <w:numPr>
          <w:ilvl w:val="0"/>
          <w:numId w:val="62"/>
        </w:numPr>
        <w:rPr>
          <w:rFonts w:ascii="Arial" w:cs="Arial" w:eastAsia="Arial" w:hAnsi="Arial"/>
          <w:sz w:val="16"/>
          <w:szCs w:val="16"/>
          <w:color w:val="3E5588"/>
        </w:rPr>
      </w:pPr>
      <w:r>
        <w:rPr>
          <w:rFonts w:ascii="Arial" w:cs="Arial" w:eastAsia="Arial" w:hAnsi="Arial"/>
          <w:sz w:val="16"/>
          <w:szCs w:val="16"/>
          <w:b w:val="1"/>
          <w:bCs w:val="1"/>
          <w:i w:val="1"/>
          <w:iCs w:val="1"/>
          <w:color w:val="3E5588"/>
        </w:rPr>
        <w:t xml:space="preserve">Maximize the commercial potential of our product candidates. </w:t>
      </w:r>
      <w:r>
        <w:rPr>
          <w:rFonts w:ascii="Arial" w:cs="Arial" w:eastAsia="Arial" w:hAnsi="Arial"/>
          <w:sz w:val="16"/>
          <w:szCs w:val="16"/>
          <w:color w:val="3E5588"/>
        </w:rPr>
        <w:t>We have retained all rights to our lead product candidates focused on rare</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genetically defined diseases, and plan to commercialize any approved product using a targeted sales infrastructure. We may in the future pursue commercialization partnerships for certain product candidates and/or markets outside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6" w:lineRule="auto"/>
        <w:tabs>
          <w:tab w:leader="none" w:pos="1080" w:val="left"/>
        </w:tabs>
        <w:numPr>
          <w:ilvl w:val="0"/>
          <w:numId w:val="63"/>
        </w:numPr>
        <w:rPr>
          <w:rFonts w:ascii="Arial" w:cs="Arial" w:eastAsia="Arial" w:hAnsi="Arial"/>
          <w:sz w:val="18"/>
          <w:szCs w:val="18"/>
          <w:color w:val="3E5588"/>
        </w:rPr>
      </w:pPr>
      <w:r>
        <w:rPr>
          <w:rFonts w:ascii="Arial" w:cs="Arial" w:eastAsia="Arial" w:hAnsi="Arial"/>
          <w:sz w:val="18"/>
          <w:szCs w:val="18"/>
          <w:b w:val="1"/>
          <w:bCs w:val="1"/>
          <w:i w:val="1"/>
          <w:iCs w:val="1"/>
          <w:color w:val="3E5588"/>
        </w:rPr>
        <w:t xml:space="preserve">Selectively enter into strategic partnerships to maximize the value of our product engine and pipeline. </w:t>
      </w:r>
      <w:r>
        <w:rPr>
          <w:rFonts w:ascii="Arial" w:cs="Arial" w:eastAsia="Arial" w:hAnsi="Arial"/>
          <w:sz w:val="18"/>
          <w:szCs w:val="18"/>
          <w:color w:val="3E5588"/>
        </w:rPr>
        <w:t>Given the breadth of opportunities for our</w:t>
      </w:r>
      <w:r>
        <w:rPr>
          <w:rFonts w:ascii="Arial" w:cs="Arial" w:eastAsia="Arial" w:hAnsi="Arial"/>
          <w:sz w:val="18"/>
          <w:szCs w:val="18"/>
          <w:b w:val="1"/>
          <w:bCs w:val="1"/>
          <w:i w:val="1"/>
          <w:iCs w:val="1"/>
          <w:color w:val="3E5588"/>
        </w:rPr>
        <w:t xml:space="preserve"> </w:t>
      </w:r>
      <w:r>
        <w:rPr>
          <w:rFonts w:ascii="Arial" w:cs="Arial" w:eastAsia="Arial" w:hAnsi="Arial"/>
          <w:sz w:val="18"/>
          <w:szCs w:val="18"/>
          <w:color w:val="3E5588"/>
        </w:rPr>
        <w:t>proprietary product engine to discover drug targets and develop product candidates for genetically defined diseases, we may enter into strategic partnerships for certain drug targets, product candidates or disease areas. Partnerships may provide an attractive avenue for expanding the impact of our proprietary product engine.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Gene Regulation</w:t>
      </w:r>
    </w:p>
    <w:p>
      <w:pPr>
        <w:spacing w:after="0" w:line="231" w:lineRule="exact"/>
        <w:rPr>
          <w:sz w:val="20"/>
          <w:szCs w:val="20"/>
          <w:color w:val="auto"/>
        </w:rPr>
      </w:pPr>
    </w:p>
    <w:p>
      <w:pPr>
        <w:jc w:val="both"/>
        <w:ind w:firstLine="631"/>
        <w:spacing w:after="0" w:line="294" w:lineRule="auto"/>
        <w:rPr>
          <w:sz w:val="20"/>
          <w:szCs w:val="20"/>
          <w:color w:val="auto"/>
        </w:rPr>
      </w:pPr>
      <w:r>
        <w:rPr>
          <w:rFonts w:ascii="Arial" w:cs="Arial" w:eastAsia="Arial" w:hAnsi="Arial"/>
          <w:sz w:val="16"/>
          <w:szCs w:val="16"/>
          <w:color w:val="3E5588"/>
        </w:rPr>
        <w:t>The human genome provides the blueprint, or genetic code, for life. The sequencing of the human genome has enabled significant insights into understanding the genetic underpinnings of many diseases. Genes are the fundamental units of biology, but the gene itself is rather static. The identity and function of each cell is determined by a specific set of factors that activate or repress mechanisms that regulate genes in the desired manner. There are many mechanisms that control the human genome by up or down regulating gene expression, and these regulatory mechanisms are controlled by various pathways and signals. Defects in a gene or any of these regulatory mechanisms can result in aberrant expression or silencing of a gene that may lead to disease.</w:t>
      </w:r>
    </w:p>
    <w:p>
      <w:pPr>
        <w:spacing w:after="0" w:line="170"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3E5588"/>
        </w:rPr>
        <w:t>The graphic below illustrates the key steps in the gene expression process in cells and how they are under the control of a variety of regulatory signals and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123190</wp:posOffset>
            </wp:positionV>
            <wp:extent cx="5617210" cy="36277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17210" cy="362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Our Opportunity</w:t>
      </w:r>
    </w:p>
    <w:p>
      <w:pPr>
        <w:spacing w:after="0" w:line="225" w:lineRule="exact"/>
        <w:rPr>
          <w:sz w:val="20"/>
          <w:szCs w:val="20"/>
          <w:color w:val="auto"/>
        </w:rPr>
      </w:pPr>
    </w:p>
    <w:p>
      <w:pPr>
        <w:jc w:val="both"/>
        <w:ind w:firstLine="564"/>
        <w:spacing w:after="0" w:line="298" w:lineRule="auto"/>
        <w:rPr>
          <w:sz w:val="20"/>
          <w:szCs w:val="20"/>
          <w:color w:val="auto"/>
        </w:rPr>
      </w:pPr>
      <w:r>
        <w:rPr>
          <w:rFonts w:ascii="Arial" w:cs="Arial" w:eastAsia="Arial" w:hAnsi="Arial"/>
          <w:sz w:val="16"/>
          <w:szCs w:val="16"/>
          <w:color w:val="3E5588"/>
        </w:rPr>
        <w:t>We have the ability to develop, scale and characterize complex cellular models of human disorders of gene mis-regulation. Our current drug target identification and development efforts are focused on rare neuromuscular disorders, hemoglobinopathies and CNS diseases. We also anticipate utilizing our product engine to discover drug targets for genetically defined diseases in other therapeutic areas. Our target identification and validation process provides a systematic way to approach the identification of unique drug targets that, when activated or inhibited, may increase or decrease gene expression in genetically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E5588"/>
        </w:rPr>
        <w:t>defined diseases with the aim of restoring a healthy or functional phenotype. Our product engine is designed to be agnostic to cell type, pathway and therapeutic modality. While our drug target selection process is guided by our strategy to advance small molecule therapeutics that treat the root cause of disease into clinical development, we also may identify drug targets that might be addressable by other treatment modalities, such as antisense oligonucleotides, or ASOs, small interfering RNAs, or siRNAs, or antibodies.</w:t>
      </w:r>
    </w:p>
    <w:p>
      <w:pPr>
        <w:spacing w:after="0" w:line="197" w:lineRule="exact"/>
        <w:rPr>
          <w:sz w:val="20"/>
          <w:szCs w:val="20"/>
          <w:color w:val="auto"/>
        </w:rPr>
      </w:pPr>
    </w:p>
    <w:p>
      <w:pPr>
        <w:jc w:val="both"/>
        <w:ind w:firstLine="406"/>
        <w:spacing w:after="0" w:line="255" w:lineRule="auto"/>
        <w:rPr>
          <w:sz w:val="20"/>
          <w:szCs w:val="20"/>
          <w:color w:val="auto"/>
        </w:rPr>
      </w:pPr>
      <w:r>
        <w:rPr>
          <w:rFonts w:ascii="Arial" w:cs="Arial" w:eastAsia="Arial" w:hAnsi="Arial"/>
          <w:sz w:val="18"/>
          <w:szCs w:val="18"/>
          <w:color w:val="3E5588"/>
        </w:rPr>
        <w:t>We are continuing to expand our proprietary relational database, FulcrumSeek, which is designed to facilitate the process by which we assess diseases and generate drug target hypotheses through our computational biology expertise. We screen our proprietary small molecule library and customized CRISPR libraries across healthy and diseased human skeletal muscle cells, cardiac muscle cells, brain cells and blood cells. The data from these screens allow us to develop a broader understanding of biology that may be relevant in disease. With the completion of each additional screening, FulcrumSeek increases in size, and our insights and knowledge are further expanded.</w:t>
      </w:r>
    </w:p>
    <w:p>
      <w:pPr>
        <w:spacing w:after="0" w:line="197"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3E5588"/>
        </w:rPr>
        <w:t>According to the NIH there are approximately 7,000 rare, genetically defined human diseases, many of which have inadequate or no approved treatments. We believe that our approach to selecting and modeling certain of these human diseases with patient-derived tissue-relevant cells, followed by screening with our proprietary small molecule library and customized CRISPR libraries, could be broadly applied to the identification of drug targets that have the potential to balance the expression of many genes known to drive or ameliorate disease.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Our Approach</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3E5588"/>
        </w:rPr>
        <w:t>The ability to intervene in gene regulatory pathways that control gene expression provides the basis of our product engine. Our approach is to broadly search for mechanisms that can change gene expression in the desired manner. These drug targets may be intracellular targets or extracellular targets that affect a signaling pathway. Key considerations we use to determine which genetically defined diseases are suitable to evaluate in drug target identification activities include:</w:t>
      </w:r>
    </w:p>
    <w:p>
      <w:pPr>
        <w:spacing w:after="0" w:line="211" w:lineRule="exact"/>
        <w:rPr>
          <w:sz w:val="20"/>
          <w:szCs w:val="20"/>
          <w:color w:val="auto"/>
        </w:rPr>
      </w:pPr>
    </w:p>
    <w:p>
      <w:pPr>
        <w:ind w:left="1080" w:hanging="532"/>
        <w:spacing w:after="0" w:line="268" w:lineRule="auto"/>
        <w:tabs>
          <w:tab w:leader="none" w:pos="1080" w:val="left"/>
        </w:tabs>
        <w:numPr>
          <w:ilvl w:val="0"/>
          <w:numId w:val="64"/>
        </w:numPr>
        <w:rPr>
          <w:rFonts w:ascii="Arial" w:cs="Arial" w:eastAsia="Arial" w:hAnsi="Arial"/>
          <w:sz w:val="18"/>
          <w:szCs w:val="18"/>
          <w:color w:val="3E5588"/>
        </w:rPr>
      </w:pPr>
      <w:r>
        <w:rPr>
          <w:rFonts w:ascii="Arial" w:cs="Arial" w:eastAsia="Arial" w:hAnsi="Arial"/>
          <w:sz w:val="18"/>
          <w:szCs w:val="18"/>
          <w:i w:val="1"/>
          <w:iCs w:val="1"/>
          <w:color w:val="3E5588"/>
        </w:rPr>
        <w:t>Unmet medical need and market opportunity</w:t>
      </w:r>
      <w:r>
        <w:rPr>
          <w:rFonts w:ascii="Arial" w:cs="Arial" w:eastAsia="Arial" w:hAnsi="Arial"/>
          <w:sz w:val="18"/>
          <w:szCs w:val="18"/>
          <w:color w:val="3E5588"/>
        </w:rPr>
        <w:t>: we consider the severity of disease, the number of patients who could be treated and the competitive</w:t>
      </w:r>
      <w:r>
        <w:rPr>
          <w:rFonts w:ascii="Arial" w:cs="Arial" w:eastAsia="Arial" w:hAnsi="Arial"/>
          <w:sz w:val="18"/>
          <w:szCs w:val="18"/>
          <w:i w:val="1"/>
          <w:iCs w:val="1"/>
          <w:color w:val="3E5588"/>
        </w:rPr>
        <w:t xml:space="preserve"> </w:t>
      </w:r>
      <w:r>
        <w:rPr>
          <w:rFonts w:ascii="Arial" w:cs="Arial" w:eastAsia="Arial" w:hAnsi="Arial"/>
          <w:sz w:val="18"/>
          <w:szCs w:val="18"/>
          <w:color w:val="3E5588"/>
        </w:rPr>
        <w:t>landscape.</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4"/>
        </w:numPr>
        <w:rPr>
          <w:rFonts w:ascii="Arial" w:cs="Arial" w:eastAsia="Arial" w:hAnsi="Arial"/>
          <w:sz w:val="18"/>
          <w:szCs w:val="18"/>
          <w:color w:val="3E5588"/>
        </w:rPr>
      </w:pPr>
      <w:r>
        <w:rPr>
          <w:rFonts w:ascii="Arial" w:cs="Arial" w:eastAsia="Arial" w:hAnsi="Arial"/>
          <w:sz w:val="18"/>
          <w:szCs w:val="18"/>
          <w:i w:val="1"/>
          <w:iCs w:val="1"/>
          <w:color w:val="3E5588"/>
        </w:rPr>
        <w:t>Clear mechanistic link between a root cause genetic defect and disease</w:t>
      </w:r>
      <w:r>
        <w:rPr>
          <w:rFonts w:ascii="Arial" w:cs="Arial" w:eastAsia="Arial" w:hAnsi="Arial"/>
          <w:sz w:val="18"/>
          <w:szCs w:val="18"/>
          <w:color w:val="3E5588"/>
        </w:rPr>
        <w:t>: we evaluate whether there is genetic validation of the gene's role in</w:t>
      </w:r>
      <w:r>
        <w:rPr>
          <w:rFonts w:ascii="Arial" w:cs="Arial" w:eastAsia="Arial" w:hAnsi="Arial"/>
          <w:sz w:val="18"/>
          <w:szCs w:val="18"/>
          <w:i w:val="1"/>
          <w:iCs w:val="1"/>
          <w:color w:val="3E5588"/>
        </w:rPr>
        <w:t xml:space="preserve"> </w:t>
      </w:r>
      <w:r>
        <w:rPr>
          <w:rFonts w:ascii="Arial" w:cs="Arial" w:eastAsia="Arial" w:hAnsi="Arial"/>
          <w:sz w:val="18"/>
          <w:szCs w:val="18"/>
          <w:color w:val="3E5588"/>
        </w:rPr>
        <w:t>disease and the effect of gene modulation on disease.</w:t>
      </w:r>
    </w:p>
    <w:p>
      <w:pPr>
        <w:spacing w:after="0" w:line="199"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64"/>
        </w:numPr>
        <w:rPr>
          <w:rFonts w:ascii="Arial" w:cs="Arial" w:eastAsia="Arial" w:hAnsi="Arial"/>
          <w:sz w:val="18"/>
          <w:szCs w:val="18"/>
          <w:color w:val="3E5588"/>
        </w:rPr>
      </w:pPr>
      <w:r>
        <w:rPr>
          <w:rFonts w:ascii="Arial" w:cs="Arial" w:eastAsia="Arial" w:hAnsi="Arial"/>
          <w:sz w:val="18"/>
          <w:szCs w:val="18"/>
          <w:i w:val="1"/>
          <w:iCs w:val="1"/>
          <w:color w:val="3E5588"/>
        </w:rPr>
        <w:t>Drug discovery execution</w:t>
      </w:r>
      <w:r>
        <w:rPr>
          <w:rFonts w:ascii="Arial" w:cs="Arial" w:eastAsia="Arial" w:hAnsi="Arial"/>
          <w:sz w:val="18"/>
          <w:szCs w:val="18"/>
          <w:color w:val="3E5588"/>
        </w:rPr>
        <w:t>: we consider whether relevant patient-derived tissue-specific cell models and assays are available or whether we can</w:t>
      </w:r>
      <w:r>
        <w:rPr>
          <w:rFonts w:ascii="Arial" w:cs="Arial" w:eastAsia="Arial" w:hAnsi="Arial"/>
          <w:sz w:val="18"/>
          <w:szCs w:val="18"/>
          <w:i w:val="1"/>
          <w:iCs w:val="1"/>
          <w:color w:val="3E5588"/>
        </w:rPr>
        <w:t xml:space="preserve"> </w:t>
      </w:r>
      <w:r>
        <w:rPr>
          <w:rFonts w:ascii="Arial" w:cs="Arial" w:eastAsia="Arial" w:hAnsi="Arial"/>
          <w:sz w:val="18"/>
          <w:szCs w:val="18"/>
          <w:color w:val="3E5588"/>
        </w:rPr>
        <w:t>develop such models using our expertise.</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4"/>
        </w:numPr>
        <w:rPr>
          <w:rFonts w:ascii="Arial" w:cs="Arial" w:eastAsia="Arial" w:hAnsi="Arial"/>
          <w:sz w:val="18"/>
          <w:szCs w:val="18"/>
          <w:color w:val="3E5588"/>
        </w:rPr>
      </w:pPr>
      <w:r>
        <w:rPr>
          <w:rFonts w:ascii="Arial" w:cs="Arial" w:eastAsia="Arial" w:hAnsi="Arial"/>
          <w:sz w:val="18"/>
          <w:szCs w:val="18"/>
          <w:i w:val="1"/>
          <w:iCs w:val="1"/>
          <w:color w:val="3E5588"/>
        </w:rPr>
        <w:t>Clinical feasibility</w:t>
      </w:r>
      <w:r>
        <w:rPr>
          <w:rFonts w:ascii="Arial" w:cs="Arial" w:eastAsia="Arial" w:hAnsi="Arial"/>
          <w:sz w:val="18"/>
          <w:szCs w:val="18"/>
          <w:color w:val="3E5588"/>
        </w:rPr>
        <w:t>: we evaluate potential biomarker and clinical endpoints, whether there is a meaningful treatment window and whether there is</w:t>
      </w:r>
      <w:r>
        <w:rPr>
          <w:rFonts w:ascii="Arial" w:cs="Arial" w:eastAsia="Arial" w:hAnsi="Arial"/>
          <w:sz w:val="18"/>
          <w:szCs w:val="18"/>
          <w:i w:val="1"/>
          <w:iCs w:val="1"/>
          <w:color w:val="3E5588"/>
        </w:rPr>
        <w:t xml:space="preserve"> </w:t>
      </w:r>
      <w:r>
        <w:rPr>
          <w:rFonts w:ascii="Arial" w:cs="Arial" w:eastAsia="Arial" w:hAnsi="Arial"/>
          <w:sz w:val="18"/>
          <w:szCs w:val="18"/>
          <w:color w:val="3E5588"/>
        </w:rPr>
        <w:t>an accessible patient population to undertake clinical trials in a reasonable time frame.</w:t>
      </w:r>
    </w:p>
    <w:p>
      <w:pPr>
        <w:spacing w:after="0" w:line="186"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3E5588"/>
        </w:rPr>
        <w:t>Our product engine is designed to enable us to address diseases in which genes are mis-expressed, silenced or result in mutated gene products, such as RNA or protein, due to an underlying genetic defect. There are varied approaches to treating disease by balancing gene expression including reducing the expression of a gene that causes disease (</w:t>
      </w:r>
      <w:r>
        <w:rPr>
          <w:rFonts w:ascii="Arial" w:cs="Arial" w:eastAsia="Arial" w:hAnsi="Arial"/>
          <w:sz w:val="16"/>
          <w:szCs w:val="16"/>
          <w:i w:val="1"/>
          <w:iCs w:val="1"/>
          <w:color w:val="3E5588"/>
        </w:rPr>
        <w:t>e.g., DUX4</w:t>
      </w:r>
      <w:r>
        <w:rPr>
          <w:rFonts w:ascii="Arial" w:cs="Arial" w:eastAsia="Arial" w:hAnsi="Arial"/>
          <w:sz w:val="16"/>
          <w:szCs w:val="16"/>
          <w:color w:val="3E5588"/>
        </w:rPr>
        <w:t xml:space="preserve"> in FSHD), increasing the expression of an under-expressed gene (</w:t>
      </w:r>
      <w:r>
        <w:rPr>
          <w:rFonts w:ascii="Arial" w:cs="Arial" w:eastAsia="Arial" w:hAnsi="Arial"/>
          <w:sz w:val="16"/>
          <w:szCs w:val="16"/>
          <w:i w:val="1"/>
          <w:iCs w:val="1"/>
          <w:color w:val="3E5588"/>
        </w:rPr>
        <w:t>e.g., FXN</w:t>
      </w:r>
      <w:r>
        <w:rPr>
          <w:rFonts w:ascii="Arial" w:cs="Arial" w:eastAsia="Arial" w:hAnsi="Arial"/>
          <w:sz w:val="16"/>
          <w:szCs w:val="16"/>
          <w:color w:val="3E5588"/>
        </w:rPr>
        <w:t xml:space="preserve"> in Friedreich ataxia) or expressing a compensatory gene (</w:t>
      </w:r>
      <w:r>
        <w:rPr>
          <w:rFonts w:ascii="Arial" w:cs="Arial" w:eastAsia="Arial" w:hAnsi="Arial"/>
          <w:sz w:val="16"/>
          <w:szCs w:val="16"/>
          <w:i w:val="1"/>
          <w:iCs w:val="1"/>
          <w:color w:val="3E5588"/>
        </w:rPr>
        <w:t>e.g., HBG1/2</w:t>
      </w:r>
      <w:r>
        <w:rPr>
          <w:rFonts w:ascii="Arial" w:cs="Arial" w:eastAsia="Arial" w:hAnsi="Arial"/>
          <w:sz w:val="16"/>
          <w:szCs w:val="16"/>
          <w:color w:val="3E5588"/>
        </w:rPr>
        <w:t xml:space="preserve"> in SCD and b-thalassemia). Our preclinical modeling of the relevant tissue is critical for success, and we believe this is best achieved using human cell systems derived from patients with the disease. We primarily seek to identify drug targets that may balance gene expression in these human cell systems and that are amenable to drugging using a small molecule. In addition to drug targets that we prioritize for internal development, we may identify other drug targets that we would consider for development through partnerships.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Overview of Our Product Engine</w:t>
      </w:r>
    </w:p>
    <w:p>
      <w:pPr>
        <w:spacing w:after="0" w:line="225" w:lineRule="exact"/>
        <w:rPr>
          <w:sz w:val="20"/>
          <w:szCs w:val="20"/>
          <w:color w:val="auto"/>
        </w:rPr>
      </w:pPr>
    </w:p>
    <w:p>
      <w:pPr>
        <w:jc w:val="both"/>
        <w:ind w:firstLine="414"/>
        <w:spacing w:after="0" w:line="288" w:lineRule="auto"/>
        <w:rPr>
          <w:sz w:val="20"/>
          <w:szCs w:val="20"/>
          <w:color w:val="auto"/>
        </w:rPr>
      </w:pPr>
      <w:r>
        <w:rPr>
          <w:rFonts w:ascii="Arial" w:cs="Arial" w:eastAsia="Arial" w:hAnsi="Arial"/>
          <w:sz w:val="16"/>
          <w:szCs w:val="16"/>
          <w:color w:val="3E5588"/>
        </w:rPr>
        <w:t>Our product engine is a high-throughput discovery platform that we designed to identify and validate drug targets that balance the expression of the genes known to drive or ameliorate disease. We employ a systematic methodology that starts with selecting genetically defined diseases with a known root cause. We obtain patient-derived tissue-relevant cell lines or other relevant human cell lines. We then differentiate these cell lines into those most relevant for the disease pathology, including skeletal muscle myotubes, cardiomyocytes, neurons and RBCs, which we then scale up, characterize and prepare for screening. We also generate methods to quantify the desired modulation of expression of the gene of interest in these cell lines. We apply our annotated small molecule compound library and customized CRISPR libraries to the cells to assess for the desired modulation. We confirm drug target hits with multiple modalities and undertake further validation in several patient-derived tissue-relevant cell lines. Additional studies in these cell models are conducted to understand how the modulation of the gene of interest affects cellular function. We employ computational biology using our FulcrumSeek database and other databases to guide drug target selection and generate hypotheses on other drug targets that might be related along a gene regulatory pathway.</w:t>
      </w:r>
    </w:p>
    <w:p>
      <w:pPr>
        <w:spacing w:after="0" w:line="174" w:lineRule="exact"/>
        <w:rPr>
          <w:sz w:val="20"/>
          <w:szCs w:val="20"/>
          <w:color w:val="auto"/>
        </w:rPr>
      </w:pPr>
    </w:p>
    <w:p>
      <w:pPr>
        <w:jc w:val="both"/>
        <w:ind w:firstLine="359"/>
        <w:spacing w:after="0" w:line="256" w:lineRule="auto"/>
        <w:rPr>
          <w:sz w:val="20"/>
          <w:szCs w:val="20"/>
          <w:color w:val="auto"/>
        </w:rPr>
      </w:pPr>
      <w:r>
        <w:rPr>
          <w:rFonts w:ascii="Arial" w:cs="Arial" w:eastAsia="Arial" w:hAnsi="Arial"/>
          <w:sz w:val="18"/>
          <w:szCs w:val="18"/>
          <w:color w:val="3E5588"/>
        </w:rPr>
        <w:t>To further optimize and increase productivity of our product engine, we have continued to invest in customized lab automation and applied technologies. We believe that these investments have increased assay throughput and robustness and have expanded the breadth of biological parameters we can effectively measure in our assay systems. We believe that we have built a robust product engine to conduct drug target screening at scale in physiologically-relevant assay systems.</w:t>
      </w:r>
    </w:p>
    <w:p>
      <w:pPr>
        <w:spacing w:after="0" w:line="19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3E5588"/>
        </w:rPr>
        <w:t>We designed our discovery and development model to recapitulate this systematic approach of applying our product engine to each new disease that we evaluate with the goal of providing disease-modifying therapies to patients. The following graphic presents an overview of our drug target identification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93980</wp:posOffset>
            </wp:positionV>
            <wp:extent cx="5771515" cy="3215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71515"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Patient-Derived Tissue-Relevant Cell Models</w:t>
      </w:r>
    </w:p>
    <w:p>
      <w:pPr>
        <w:spacing w:after="0" w:line="225" w:lineRule="exact"/>
        <w:rPr>
          <w:sz w:val="20"/>
          <w:szCs w:val="20"/>
          <w:color w:val="auto"/>
        </w:rPr>
      </w:pPr>
    </w:p>
    <w:p>
      <w:pPr>
        <w:jc w:val="both"/>
        <w:ind w:firstLine="516"/>
        <w:spacing w:after="0" w:line="253" w:lineRule="auto"/>
        <w:rPr>
          <w:sz w:val="20"/>
          <w:szCs w:val="20"/>
          <w:color w:val="auto"/>
        </w:rPr>
      </w:pPr>
      <w:r>
        <w:rPr>
          <w:rFonts w:ascii="Arial" w:cs="Arial" w:eastAsia="Arial" w:hAnsi="Arial"/>
          <w:sz w:val="18"/>
          <w:szCs w:val="18"/>
          <w:color w:val="3E5588"/>
        </w:rPr>
        <w:t>Accurate modeling of human disease is critical for drug discovery endeavors, and we have the ability to model disease and identify drug targets that modulate gene expression in patient-derived, differentiated cells. These cells provide the appropriate context in which to understand signaling pathways that affect human gene expression and function, and have the potential to increase the translatability from preclinical studies to clinical trials. Prior to initiating screening activities, we characterize and expand the cells. We also create a cell line where the genetic defect associated with the disease has been corrected, or use a cell line from a healthy individual, in order to compare the gene regulation between diseased and normal cells. If the degree of gene activation or repression required to have a functional benefit is not known, we will undertake physiological characterization of these cell lines in order to define what threshold of gene regulation is functionally relevant.</w:t>
      </w:r>
    </w:p>
    <w:p>
      <w:pPr>
        <w:spacing w:after="0" w:line="201"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3E5588"/>
        </w:rPr>
        <w:t>Our process to characterize patient-derived cell models, produce cells at scale and develop suitable screens to identify drug targets typically takes between six and nine months. Depending on the disease, we may design the screen to measure effects on RNA and/or protein.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Drug Target Identification</w:t>
      </w:r>
    </w:p>
    <w:p>
      <w:pPr>
        <w:spacing w:after="0" w:line="225" w:lineRule="exact"/>
        <w:rPr>
          <w:sz w:val="20"/>
          <w:szCs w:val="20"/>
          <w:color w:val="auto"/>
        </w:rPr>
      </w:pPr>
    </w:p>
    <w:p>
      <w:pPr>
        <w:jc w:val="both"/>
        <w:ind w:firstLine="406"/>
        <w:spacing w:after="0" w:line="259" w:lineRule="auto"/>
        <w:rPr>
          <w:sz w:val="20"/>
          <w:szCs w:val="20"/>
          <w:color w:val="auto"/>
        </w:rPr>
      </w:pPr>
      <w:r>
        <w:rPr>
          <w:rFonts w:ascii="Arial" w:cs="Arial" w:eastAsia="Arial" w:hAnsi="Arial"/>
          <w:sz w:val="18"/>
          <w:szCs w:val="18"/>
          <w:color w:val="3E5588"/>
        </w:rPr>
        <w:t>We employ three approaches to identify drug targets that can potentially modulate gene expression to treat genetically defined diseases at the root cause— two lab-based library screening approaches as well as computational biology using our FulcrumSeek database and other databases. We then evaluate possible drug targets identified from these efforts with the goal to advance programs into lead optimization.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Small Molecule Probe Library Screening</w:t>
      </w:r>
    </w:p>
    <w:p>
      <w:pPr>
        <w:spacing w:after="0" w:line="225"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3E5588"/>
        </w:rPr>
        <w:t>Our small molecule probe library is annotated, which means it consists of known, well-characterized molecules that interact with biochemical mechanisms and that have cellular activity. The purpose of our small molecule probe library is to identify and interrogate mechanisms that regulate the expression of the gene of interest. We designed our library with the intent to optimize biological diversity, in contrast with other small molecule screening approaches that optimize chemical diversity. The library was developed by our medicinal chemists who reviewed primary and patent literature to identify probe molecules that interact with known biochemical targets. They selected chemical probes based on their cellular activity, potency and selectivity. In order to expand our library beyond commercially-available small molecules, we undertook a custom synthesis campaign to generate compounds that were not available from commercial sources. Our library currently includes more than 4,000 small molecules relating to approximately 2,000 biochemical targets covering a wide breadth of pharmacology, including chromatin modifiers, transcription regulation and RNA processing, kinases and metabolic enzymes. Our library will continue to expand as we identify and acquire new mechanistic probes.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CRISPR Screening</w:t>
      </w:r>
    </w:p>
    <w:p>
      <w:pPr>
        <w:spacing w:after="0" w:line="225" w:lineRule="exact"/>
        <w:rPr>
          <w:sz w:val="20"/>
          <w:szCs w:val="20"/>
          <w:color w:val="auto"/>
        </w:rPr>
      </w:pPr>
    </w:p>
    <w:p>
      <w:pPr>
        <w:jc w:val="both"/>
        <w:ind w:firstLine="546"/>
        <w:spacing w:after="0" w:line="289" w:lineRule="auto"/>
        <w:rPr>
          <w:sz w:val="20"/>
          <w:szCs w:val="20"/>
          <w:color w:val="auto"/>
        </w:rPr>
      </w:pPr>
      <w:r>
        <w:rPr>
          <w:rFonts w:ascii="Arial" w:cs="Arial" w:eastAsia="Arial" w:hAnsi="Arial"/>
          <w:sz w:val="16"/>
          <w:szCs w:val="16"/>
          <w:color w:val="3E5588"/>
        </w:rPr>
        <w:t>We may also use a customized CRISPR library screening, which is an approach to interrogate the genome by selectively knocking out, reducing or increasing gene expression, for target identification. We have chosen to use CRISPR libraries as complementary or additional screening tools for drug target identification alongside our small molecule screening approach. We use both an array-based CRISPR library and our pooled, custom-designed CRISPR library. Pooled CRISPR screening is an approach to target identification in which we combine cells and reagents in a single tube to simplify the experimental procedures. Pooled CRISPR screening is not suitable for all cell types, and we use array-based CRISPR screening where appropriate. Specific targets that modulate the gene of interest can be identified via CRISPR library screening, and these targets can then be validated for our drug discovery endeavors. If small molecules that interact with these targets are identified from the literature, they are then obtained for further pharmacological validation. If no known chemical matter is available, we may establish a screen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to identify chemical matter that interacts with the drug target. This chemical matter would serve as a starting point for medicinal chemistry work. Alternatively, we may seek partnerships for development using other modalities.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FulcrumSeek and Computational Biology</w:t>
      </w:r>
    </w:p>
    <w:p>
      <w:pPr>
        <w:spacing w:after="0" w:line="225"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3E5588"/>
        </w:rPr>
        <w:t>The primary role of FulcrumSeek and our computational biology capabilities is to generate drug target and biomarker hypotheses using externally generated patient data and internal screening data. Our approach is to leverage our network biology capabilities and expertise to determine how pathways interact with each other in a cell, to develop a network map of regulatory interactions that control gene expression and cellular function and propose targets that potentially could be pursued to address the root cause of diseases of interest. In each case, we explore these hypotheses through biological experimentation designed to validate predicted drug targets and biomarkers. We use confirmatory studies to aid in the refinement of our computational models in an iterative manner.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Drug Target Validation</w:t>
      </w:r>
    </w:p>
    <w:p>
      <w:pPr>
        <w:spacing w:after="0" w:line="225" w:lineRule="exact"/>
        <w:rPr>
          <w:sz w:val="20"/>
          <w:szCs w:val="20"/>
          <w:color w:val="auto"/>
        </w:rPr>
      </w:pPr>
    </w:p>
    <w:p>
      <w:pPr>
        <w:jc w:val="both"/>
        <w:ind w:firstLine="483"/>
        <w:spacing w:after="0" w:line="255" w:lineRule="auto"/>
        <w:rPr>
          <w:sz w:val="20"/>
          <w:szCs w:val="20"/>
          <w:color w:val="auto"/>
        </w:rPr>
      </w:pPr>
      <w:r>
        <w:rPr>
          <w:rFonts w:ascii="Arial" w:cs="Arial" w:eastAsia="Arial" w:hAnsi="Arial"/>
          <w:sz w:val="18"/>
          <w:szCs w:val="18"/>
          <w:color w:val="3E5588"/>
        </w:rPr>
        <w:t>Our initial focus on drug target validation is to establish a robust link between the drug target that we identified through our screening approaches and modulation of the expression of the root cause gene of interest. Our validation work seeks to evaluate identified drug targets in a manner that allows us to prioritize targets where we may be able to deliver safe and effective therapies to patients. We conduct our validation tests using a diverse set of pharmacological tools and multiple genetic reagents to profile their effect on orthogonal read-outs of gene expression (RNA and protein) and the subsequent effects on physiological function.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important elements of our systematic approach to drug target validation include:</w:t>
      </w:r>
    </w:p>
    <w:p>
      <w:pPr>
        <w:spacing w:after="0" w:line="239" w:lineRule="exact"/>
        <w:rPr>
          <w:sz w:val="20"/>
          <w:szCs w:val="20"/>
          <w:color w:val="auto"/>
        </w:rPr>
      </w:pPr>
    </w:p>
    <w:p>
      <w:pPr>
        <w:ind w:left="1080" w:hanging="532"/>
        <w:spacing w:after="0" w:line="268" w:lineRule="auto"/>
        <w:tabs>
          <w:tab w:leader="none" w:pos="1080" w:val="left"/>
        </w:tabs>
        <w:numPr>
          <w:ilvl w:val="0"/>
          <w:numId w:val="65"/>
        </w:numPr>
        <w:rPr>
          <w:rFonts w:ascii="Arial" w:cs="Arial" w:eastAsia="Arial" w:hAnsi="Arial"/>
          <w:sz w:val="18"/>
          <w:szCs w:val="18"/>
          <w:color w:val="3E5588"/>
        </w:rPr>
      </w:pPr>
      <w:r>
        <w:rPr>
          <w:rFonts w:ascii="Arial" w:cs="Arial" w:eastAsia="Arial" w:hAnsi="Arial"/>
          <w:sz w:val="18"/>
          <w:szCs w:val="18"/>
          <w:i w:val="1"/>
          <w:iCs w:val="1"/>
          <w:color w:val="3E5588"/>
        </w:rPr>
        <w:t xml:space="preserve">Evaluation of different treatment modalities to interact with the drug target: </w:t>
      </w:r>
      <w:r>
        <w:rPr>
          <w:rFonts w:ascii="Arial" w:cs="Arial" w:eastAsia="Arial" w:hAnsi="Arial"/>
          <w:sz w:val="18"/>
          <w:szCs w:val="18"/>
          <w:color w:val="3E5588"/>
        </w:rPr>
        <w:t>we evaluate whether small molecules and genomic modulation</w:t>
      </w:r>
      <w:r>
        <w:rPr>
          <w:rFonts w:ascii="Arial" w:cs="Arial" w:eastAsia="Arial" w:hAnsi="Arial"/>
          <w:sz w:val="18"/>
          <w:szCs w:val="18"/>
          <w:i w:val="1"/>
          <w:iCs w:val="1"/>
          <w:color w:val="3E5588"/>
        </w:rPr>
        <w:t xml:space="preserve"> </w:t>
      </w:r>
      <w:r>
        <w:rPr>
          <w:rFonts w:ascii="Arial" w:cs="Arial" w:eastAsia="Arial" w:hAnsi="Arial"/>
          <w:sz w:val="18"/>
          <w:szCs w:val="18"/>
          <w:color w:val="3E5588"/>
        </w:rPr>
        <w:t>approaches similarly affect expression of the gene of interest.</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65"/>
        </w:numPr>
        <w:rPr>
          <w:rFonts w:ascii="Arial" w:cs="Arial" w:eastAsia="Arial" w:hAnsi="Arial"/>
          <w:sz w:val="18"/>
          <w:szCs w:val="18"/>
          <w:color w:val="3E5588"/>
        </w:rPr>
      </w:pPr>
      <w:r>
        <w:rPr>
          <w:rFonts w:ascii="Arial" w:cs="Arial" w:eastAsia="Arial" w:hAnsi="Arial"/>
          <w:sz w:val="18"/>
          <w:szCs w:val="18"/>
          <w:i w:val="1"/>
          <w:iCs w:val="1"/>
          <w:color w:val="3E5588"/>
        </w:rPr>
        <w:t xml:space="preserve">Efficacy: </w:t>
      </w:r>
      <w:r>
        <w:rPr>
          <w:rFonts w:ascii="Arial" w:cs="Arial" w:eastAsia="Arial" w:hAnsi="Arial"/>
          <w:sz w:val="18"/>
          <w:szCs w:val="18"/>
          <w:color w:val="3E5588"/>
        </w:rPr>
        <w:t>we attempt to establish a link between the identified drug target and the level of the expression of the gene of interest.</w:t>
      </w:r>
    </w:p>
    <w:p>
      <w:pPr>
        <w:spacing w:after="0" w:line="238"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3E5588"/>
        </w:rPr>
      </w:pPr>
      <w:r>
        <w:rPr>
          <w:rFonts w:ascii="Arial" w:cs="Arial" w:eastAsia="Arial" w:hAnsi="Arial"/>
          <w:sz w:val="18"/>
          <w:szCs w:val="18"/>
          <w:i w:val="1"/>
          <w:iCs w:val="1"/>
          <w:color w:val="3E5588"/>
        </w:rPr>
        <w:t xml:space="preserve">Safety: </w:t>
      </w:r>
      <w:r>
        <w:rPr>
          <w:rFonts w:ascii="Arial" w:cs="Arial" w:eastAsia="Arial" w:hAnsi="Arial"/>
          <w:sz w:val="18"/>
          <w:szCs w:val="18"/>
          <w:color w:val="3E5588"/>
        </w:rPr>
        <w:t>we evaluate whether modulation of the target and the resulting changes in gene expression cause undesired effects, including an</w:t>
      </w:r>
      <w:r>
        <w:rPr>
          <w:rFonts w:ascii="Arial" w:cs="Arial" w:eastAsia="Arial" w:hAnsi="Arial"/>
          <w:sz w:val="18"/>
          <w:szCs w:val="18"/>
          <w:i w:val="1"/>
          <w:iCs w:val="1"/>
          <w:color w:val="3E5588"/>
        </w:rPr>
        <w:t xml:space="preserve"> </w:t>
      </w:r>
      <w:r>
        <w:rPr>
          <w:rFonts w:ascii="Arial" w:cs="Arial" w:eastAsia="Arial" w:hAnsi="Arial"/>
          <w:sz w:val="18"/>
          <w:szCs w:val="18"/>
          <w:color w:val="3E5588"/>
        </w:rPr>
        <w:t>assessment of cell health markers to ensure there is minimal cellular toxicity.</w:t>
      </w:r>
    </w:p>
    <w:p>
      <w:pPr>
        <w:spacing w:after="0" w:line="199"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65"/>
        </w:numPr>
        <w:rPr>
          <w:rFonts w:ascii="Arial" w:cs="Arial" w:eastAsia="Arial" w:hAnsi="Arial"/>
          <w:sz w:val="18"/>
          <w:szCs w:val="18"/>
          <w:color w:val="3E5588"/>
        </w:rPr>
      </w:pPr>
      <w:r>
        <w:rPr>
          <w:rFonts w:ascii="Arial" w:cs="Arial" w:eastAsia="Arial" w:hAnsi="Arial"/>
          <w:sz w:val="18"/>
          <w:szCs w:val="18"/>
          <w:i w:val="1"/>
          <w:iCs w:val="1"/>
          <w:color w:val="3E5588"/>
        </w:rPr>
        <w:t xml:space="preserve">Profiling cell lines from multiple patients: </w:t>
      </w:r>
      <w:r>
        <w:rPr>
          <w:rFonts w:ascii="Arial" w:cs="Arial" w:eastAsia="Arial" w:hAnsi="Arial"/>
          <w:sz w:val="18"/>
          <w:szCs w:val="18"/>
          <w:color w:val="3E5588"/>
        </w:rPr>
        <w:t>we analyze the modulation of the drug target to determine whether the original cell line used to screen</w:t>
      </w:r>
      <w:r>
        <w:rPr>
          <w:rFonts w:ascii="Arial" w:cs="Arial" w:eastAsia="Arial" w:hAnsi="Arial"/>
          <w:sz w:val="18"/>
          <w:szCs w:val="18"/>
          <w:i w:val="1"/>
          <w:iCs w:val="1"/>
          <w:color w:val="3E5588"/>
        </w:rPr>
        <w:t xml:space="preserve"> </w:t>
      </w:r>
      <w:r>
        <w:rPr>
          <w:rFonts w:ascii="Arial" w:cs="Arial" w:eastAsia="Arial" w:hAnsi="Arial"/>
          <w:sz w:val="18"/>
          <w:szCs w:val="18"/>
          <w:color w:val="3E5588"/>
        </w:rPr>
        <w:t>targets is representative of disease in other patients.</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5"/>
        </w:numPr>
        <w:rPr>
          <w:rFonts w:ascii="Arial" w:cs="Arial" w:eastAsia="Arial" w:hAnsi="Arial"/>
          <w:sz w:val="18"/>
          <w:szCs w:val="18"/>
          <w:color w:val="3E5588"/>
        </w:rPr>
      </w:pPr>
      <w:r>
        <w:rPr>
          <w:rFonts w:ascii="Arial" w:cs="Arial" w:eastAsia="Arial" w:hAnsi="Arial"/>
          <w:sz w:val="18"/>
          <w:szCs w:val="18"/>
          <w:i w:val="1"/>
          <w:iCs w:val="1"/>
          <w:color w:val="3E5588"/>
        </w:rPr>
        <w:t xml:space="preserve">Verification: </w:t>
      </w:r>
      <w:r>
        <w:rPr>
          <w:rFonts w:ascii="Arial" w:cs="Arial" w:eastAsia="Arial" w:hAnsi="Arial"/>
          <w:sz w:val="18"/>
          <w:szCs w:val="18"/>
          <w:color w:val="3E5588"/>
        </w:rPr>
        <w:t>we conduct studies designed to ensure that the modulation of the drug target and the resulting change in gene expression leads to a</w:t>
      </w:r>
      <w:r>
        <w:rPr>
          <w:rFonts w:ascii="Arial" w:cs="Arial" w:eastAsia="Arial" w:hAnsi="Arial"/>
          <w:sz w:val="18"/>
          <w:szCs w:val="18"/>
          <w:i w:val="1"/>
          <w:iCs w:val="1"/>
          <w:color w:val="3E5588"/>
        </w:rPr>
        <w:t xml:space="preserve"> </w:t>
      </w:r>
      <w:r>
        <w:rPr>
          <w:rFonts w:ascii="Arial" w:cs="Arial" w:eastAsia="Arial" w:hAnsi="Arial"/>
          <w:sz w:val="18"/>
          <w:szCs w:val="18"/>
          <w:color w:val="3E5588"/>
        </w:rPr>
        <w:t>desired functional effect.</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65"/>
        </w:numPr>
        <w:rPr>
          <w:rFonts w:ascii="Arial" w:cs="Arial" w:eastAsia="Arial" w:hAnsi="Arial"/>
          <w:sz w:val="16"/>
          <w:szCs w:val="16"/>
          <w:color w:val="3E5588"/>
        </w:rPr>
      </w:pPr>
      <w:r>
        <w:rPr>
          <w:rFonts w:ascii="Arial" w:cs="Arial" w:eastAsia="Arial" w:hAnsi="Arial"/>
          <w:sz w:val="16"/>
          <w:szCs w:val="16"/>
          <w:i w:val="1"/>
          <w:iCs w:val="1"/>
          <w:color w:val="3E5588"/>
        </w:rPr>
        <w:t xml:space="preserve">Prioritization: </w:t>
      </w:r>
      <w:r>
        <w:rPr>
          <w:rFonts w:ascii="Arial" w:cs="Arial" w:eastAsia="Arial" w:hAnsi="Arial"/>
          <w:sz w:val="16"/>
          <w:szCs w:val="16"/>
          <w:color w:val="3E5588"/>
        </w:rPr>
        <w:t>we prioritize drug targets based on our assessment of our ability to deliver a candidate for clinical development based on that target.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Development Candidate Discovery and Characterization</w:t>
      </w:r>
    </w:p>
    <w:p>
      <w:pPr>
        <w:spacing w:after="0" w:line="225"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3E5588"/>
        </w:rPr>
        <w:t>Following target identification and target validation, we initiate medicinal chemistry and drug discovery activities to advance a development candidate that is suitable for testing in clinical trials. This work optimizes characteristics that are important for an orally available small molecule, including potency, selectivity, pharmacokinetic, or PK, and safety parameters. There is an opportunity to bypass or considerably accelerate discovery and characterization activities if we identify and validate an attractive drug target that has been pursued previously by others in different indications. For example, available chemical matter and support from the scientific literature regarding p38a/b enabled us to rapidly identify our product candidate for the treatment of FSHD.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3E5588"/>
        </w:rPr>
        <w:t>A key element of our preclinical compound profiling approach is to investigate a development candidate across many patient-derived tissue-relevant cells. We choose these cells based on our assessment of the patient heterogeneity that may be encountered in clinical trials. The purpose of this analysis is to enable us to understand if the activity of the molecule differs among cells with different genetic subtypes, or if a patient stratification strategy is appropriate for clinical trials.</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3E5588"/>
        </w:rPr>
        <w:t>Many genetically defined diseases are not well modeled with animal models because such models do not have appropriate predictive validity. In these cases, we seek to develop an engraftment model where patient-derived human cells are engrafted into the relevant tissue of a host, immunodeficient mouse to produce a chimeric mouse. We may use these chimeric mice to assess gene regulation in the engrafted human cells, and for the efficient development of PK-pharmacodynamic, or PK/PD, relationships that will be the basis of therapeutic index calculations and human dose projections.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Advantages of a Small Molecule Approach</w:t>
      </w:r>
    </w:p>
    <w:p>
      <w:pPr>
        <w:spacing w:after="0" w:line="225" w:lineRule="exact"/>
        <w:rPr>
          <w:sz w:val="20"/>
          <w:szCs w:val="20"/>
          <w:color w:val="auto"/>
        </w:rPr>
      </w:pPr>
    </w:p>
    <w:p>
      <w:pPr>
        <w:jc w:val="both"/>
        <w:ind w:firstLine="506"/>
        <w:spacing w:after="0" w:line="268" w:lineRule="auto"/>
        <w:rPr>
          <w:sz w:val="20"/>
          <w:szCs w:val="20"/>
          <w:color w:val="auto"/>
        </w:rPr>
      </w:pPr>
      <w:r>
        <w:rPr>
          <w:rFonts w:ascii="Arial" w:cs="Arial" w:eastAsia="Arial" w:hAnsi="Arial"/>
          <w:sz w:val="18"/>
          <w:szCs w:val="18"/>
          <w:color w:val="3E5588"/>
        </w:rPr>
        <w:t>We believe that our approach to the treatment of genetically defined diseases using orally available, small molecule therapeutics may offer significant advantages over other treatment modalities due to:</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3E5588"/>
        </w:rPr>
      </w:pPr>
      <w:r>
        <w:rPr>
          <w:rFonts w:ascii="Arial" w:cs="Arial" w:eastAsia="Arial" w:hAnsi="Arial"/>
          <w:sz w:val="18"/>
          <w:szCs w:val="18"/>
          <w:i w:val="1"/>
          <w:iCs w:val="1"/>
          <w:color w:val="3E5588"/>
        </w:rPr>
        <w:t xml:space="preserve">Biodistribution: </w:t>
      </w:r>
      <w:r>
        <w:rPr>
          <w:rFonts w:ascii="Arial" w:cs="Arial" w:eastAsia="Arial" w:hAnsi="Arial"/>
          <w:sz w:val="18"/>
          <w:szCs w:val="18"/>
          <w:color w:val="3E5588"/>
        </w:rPr>
        <w:t>small molecules can achieve broad distribution in the body. The ability to access tissues broadly is particularly relevant in</w:t>
      </w:r>
      <w:r>
        <w:rPr>
          <w:rFonts w:ascii="Arial" w:cs="Arial" w:eastAsia="Arial" w:hAnsi="Arial"/>
          <w:sz w:val="18"/>
          <w:szCs w:val="18"/>
          <w:i w:val="1"/>
          <w:iCs w:val="1"/>
          <w:color w:val="3E5588"/>
        </w:rPr>
        <w:t xml:space="preserve"> </w:t>
      </w:r>
      <w:r>
        <w:rPr>
          <w:rFonts w:ascii="Arial" w:cs="Arial" w:eastAsia="Arial" w:hAnsi="Arial"/>
          <w:sz w:val="18"/>
          <w:szCs w:val="18"/>
          <w:color w:val="3E5588"/>
        </w:rPr>
        <w:t>neuromuscular disorders where multiple muscles are affected by disease, or in CNS diseases where brain permeability may be limited with other treatment modalities.</w:t>
      </w:r>
    </w:p>
    <w:p>
      <w:pPr>
        <w:spacing w:after="0" w:line="221"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6"/>
        </w:numPr>
        <w:rPr>
          <w:rFonts w:ascii="Arial" w:cs="Arial" w:eastAsia="Arial" w:hAnsi="Arial"/>
          <w:sz w:val="18"/>
          <w:szCs w:val="18"/>
          <w:color w:val="3E5588"/>
        </w:rPr>
      </w:pPr>
      <w:r>
        <w:rPr>
          <w:rFonts w:ascii="Arial" w:cs="Arial" w:eastAsia="Arial" w:hAnsi="Arial"/>
          <w:sz w:val="18"/>
          <w:szCs w:val="18"/>
          <w:i w:val="1"/>
          <w:iCs w:val="1"/>
          <w:color w:val="3E5588"/>
        </w:rPr>
        <w:t xml:space="preserve">Tolerability: </w:t>
      </w:r>
      <w:r>
        <w:rPr>
          <w:rFonts w:ascii="Arial" w:cs="Arial" w:eastAsia="Arial" w:hAnsi="Arial"/>
          <w:sz w:val="18"/>
          <w:szCs w:val="18"/>
          <w:color w:val="3E5588"/>
        </w:rPr>
        <w:t>small molecules have a limited risk of immunogenicity and lack procedural risk relative to administering other treatment modalities,</w:t>
      </w:r>
      <w:r>
        <w:rPr>
          <w:rFonts w:ascii="Arial" w:cs="Arial" w:eastAsia="Arial" w:hAnsi="Arial"/>
          <w:sz w:val="18"/>
          <w:szCs w:val="18"/>
          <w:i w:val="1"/>
          <w:iCs w:val="1"/>
          <w:color w:val="3E5588"/>
        </w:rPr>
        <w:t xml:space="preserve"> </w:t>
      </w:r>
      <w:r>
        <w:rPr>
          <w:rFonts w:ascii="Arial" w:cs="Arial" w:eastAsia="Arial" w:hAnsi="Arial"/>
          <w:sz w:val="18"/>
          <w:szCs w:val="18"/>
          <w:color w:val="3E5588"/>
        </w:rPr>
        <w:t>such as ASOs and gene therapies.</w:t>
      </w:r>
    </w:p>
    <w:p>
      <w:pPr>
        <w:spacing w:after="0" w:line="199"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66"/>
        </w:numPr>
        <w:rPr>
          <w:rFonts w:ascii="Arial" w:cs="Arial" w:eastAsia="Arial" w:hAnsi="Arial"/>
          <w:sz w:val="18"/>
          <w:szCs w:val="18"/>
          <w:color w:val="3E5588"/>
        </w:rPr>
      </w:pPr>
      <w:r>
        <w:rPr>
          <w:rFonts w:ascii="Arial" w:cs="Arial" w:eastAsia="Arial" w:hAnsi="Arial"/>
          <w:sz w:val="18"/>
          <w:szCs w:val="18"/>
          <w:i w:val="1"/>
          <w:iCs w:val="1"/>
          <w:color w:val="3E5588"/>
        </w:rPr>
        <w:t xml:space="preserve">Manufacturing and quality: </w:t>
      </w:r>
      <w:r>
        <w:rPr>
          <w:rFonts w:ascii="Arial" w:cs="Arial" w:eastAsia="Arial" w:hAnsi="Arial"/>
          <w:sz w:val="18"/>
          <w:szCs w:val="18"/>
          <w:color w:val="3E5588"/>
        </w:rPr>
        <w:t>the production and quality control of drug supplies for clinical development are well understood. Specialized facilities</w:t>
      </w:r>
      <w:r>
        <w:rPr>
          <w:rFonts w:ascii="Arial" w:cs="Arial" w:eastAsia="Arial" w:hAnsi="Arial"/>
          <w:sz w:val="18"/>
          <w:szCs w:val="18"/>
          <w:i w:val="1"/>
          <w:iCs w:val="1"/>
          <w:color w:val="3E5588"/>
        </w:rPr>
        <w:t xml:space="preserve"> </w:t>
      </w:r>
      <w:r>
        <w:rPr>
          <w:rFonts w:ascii="Arial" w:cs="Arial" w:eastAsia="Arial" w:hAnsi="Arial"/>
          <w:sz w:val="18"/>
          <w:szCs w:val="18"/>
          <w:color w:val="3E5588"/>
        </w:rPr>
        <w:t>are generally not required, and many vendors offer services for manufacturing. We believe small molecule manufacturing may provide cost advantages relative to other modalities.</w:t>
      </w:r>
    </w:p>
    <w:p>
      <w:pPr>
        <w:spacing w:after="0" w:line="207"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6"/>
        </w:numPr>
        <w:rPr>
          <w:rFonts w:ascii="Arial" w:cs="Arial" w:eastAsia="Arial" w:hAnsi="Arial"/>
          <w:sz w:val="18"/>
          <w:szCs w:val="18"/>
          <w:color w:val="3E5588"/>
        </w:rPr>
      </w:pPr>
      <w:r>
        <w:rPr>
          <w:rFonts w:ascii="Arial" w:cs="Arial" w:eastAsia="Arial" w:hAnsi="Arial"/>
          <w:sz w:val="18"/>
          <w:szCs w:val="18"/>
          <w:i w:val="1"/>
          <w:iCs w:val="1"/>
          <w:color w:val="3E5588"/>
        </w:rPr>
        <w:t xml:space="preserve">Patient access: </w:t>
      </w:r>
      <w:r>
        <w:rPr>
          <w:rFonts w:ascii="Arial" w:cs="Arial" w:eastAsia="Arial" w:hAnsi="Arial"/>
          <w:sz w:val="18"/>
          <w:szCs w:val="18"/>
          <w:color w:val="3E5588"/>
        </w:rPr>
        <w:t>small molecule, oral medicines can be administered by the patient and do not require complicated in-patient procedures that are</w:t>
      </w:r>
      <w:r>
        <w:rPr>
          <w:rFonts w:ascii="Arial" w:cs="Arial" w:eastAsia="Arial" w:hAnsi="Arial"/>
          <w:sz w:val="18"/>
          <w:szCs w:val="18"/>
          <w:i w:val="1"/>
          <w:iCs w:val="1"/>
          <w:color w:val="3E5588"/>
        </w:rPr>
        <w:t xml:space="preserve"> </w:t>
      </w:r>
      <w:r>
        <w:rPr>
          <w:rFonts w:ascii="Arial" w:cs="Arial" w:eastAsia="Arial" w:hAnsi="Arial"/>
          <w:sz w:val="18"/>
          <w:szCs w:val="18"/>
          <w:color w:val="3E5588"/>
        </w:rPr>
        <w:t>sometimes only available in a limited number of treatment centers.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Our Lead Product Candidates</w:t>
      </w:r>
    </w:p>
    <w:p>
      <w:pPr>
        <w:spacing w:after="0" w:line="231" w:lineRule="exact"/>
        <w:rPr>
          <w:sz w:val="20"/>
          <w:szCs w:val="20"/>
          <w:color w:val="auto"/>
        </w:rPr>
      </w:pPr>
    </w:p>
    <w:p>
      <w:pPr>
        <w:jc w:val="both"/>
        <w:ind w:firstLine="397"/>
        <w:spacing w:after="0" w:line="255" w:lineRule="auto"/>
        <w:rPr>
          <w:sz w:val="20"/>
          <w:szCs w:val="20"/>
          <w:color w:val="auto"/>
        </w:rPr>
      </w:pPr>
      <w:r>
        <w:rPr>
          <w:rFonts w:ascii="Arial" w:cs="Arial" w:eastAsia="Arial" w:hAnsi="Arial"/>
          <w:sz w:val="18"/>
          <w:szCs w:val="18"/>
          <w:color w:val="3E5588"/>
        </w:rPr>
        <w:t xml:space="preserve">We have used our proprietary product engine and screening efforts to identify drug targets for our lead product candidates. We in-licensed our first product candidate, losmapimod, after we discovered that it could reduce aberrant expression of the </w:t>
      </w:r>
      <w:r>
        <w:rPr>
          <w:rFonts w:ascii="Arial" w:cs="Arial" w:eastAsia="Arial" w:hAnsi="Arial"/>
          <w:sz w:val="18"/>
          <w:szCs w:val="18"/>
          <w:i w:val="1"/>
          <w:iCs w:val="1"/>
          <w:color w:val="3E5588"/>
        </w:rPr>
        <w:t>DUX4</w:t>
      </w:r>
      <w:r>
        <w:rPr>
          <w:rFonts w:ascii="Arial" w:cs="Arial" w:eastAsia="Arial" w:hAnsi="Arial"/>
          <w:sz w:val="18"/>
          <w:szCs w:val="18"/>
          <w:color w:val="3E5588"/>
        </w:rPr>
        <w:t xml:space="preserve"> gene, which is the known root cause of FSHD. We expect to initiate a randomized Phase 2b clinical trial in mid-2019. We designed our second product candidate, FTX-HbF, to upregulate fetal hemoglobin, which we believe would compensate for abnormal hemoglobin in SCD and certain types of b-thalassemia. We aim to submit an IND for FTX-HbF in mid-2020. The following chart summarizes key information about our lead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130175</wp:posOffset>
            </wp:positionV>
            <wp:extent cx="5711190" cy="8750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1119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Our Product Candidate for Facioscapulohumeral Muscular Dystrophy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Overview of Facioscapulohumeral Muscular Dystrophy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3E5588"/>
        </w:rPr>
        <w:t>Facioscapulohumeral muscular dystrophy is a rare, progressive and disabling disease for which there are no approved treatments. FSHD is one of the most common forms of muscular dystrophy and affects both sexes equally, with onset typically in teens and young adults. FSHD is characterized by progressive skeletal muscle loss that initially causes weakness in muscles in the face, shoulders, arms and trunk and progresses to weakness in muscles in lower extremities and the pelvic girdle. Skeletal muscle weakness results in significant physical limitations, including progressive loss of facial muscles that can cause an inability to smile or communicate, difficulty using arms for activities of daily living and difficulty getting out of bed, with many patients ultimately becoming dependent upon the use of a wheelchair for daily mobility activities. The majority of patients with FSHD also report experiencing chronic pain, anxiety and depression. The diagnosis and treatment of patients with FSHD is typically performed by neurologists.</w:t>
      </w:r>
    </w:p>
    <w:p>
      <w:pPr>
        <w:spacing w:after="0" w:line="172" w:lineRule="exact"/>
        <w:rPr>
          <w:sz w:val="20"/>
          <w:szCs w:val="20"/>
          <w:color w:val="auto"/>
        </w:rPr>
      </w:pPr>
    </w:p>
    <w:p>
      <w:pPr>
        <w:jc w:val="both"/>
        <w:ind w:firstLine="540"/>
        <w:spacing w:after="0" w:line="294" w:lineRule="auto"/>
        <w:rPr>
          <w:sz w:val="20"/>
          <w:szCs w:val="20"/>
          <w:color w:val="auto"/>
        </w:rPr>
      </w:pPr>
      <w:r>
        <w:rPr>
          <w:rFonts w:ascii="Arial" w:cs="Arial" w:eastAsia="Arial" w:hAnsi="Arial"/>
          <w:sz w:val="16"/>
          <w:szCs w:val="16"/>
          <w:color w:val="3E5588"/>
        </w:rPr>
        <w:t>The FSH Society estimated that the prevalence of FSHD in the United States is approximately 1 in 20,000 people. A recent study conducted in the Netherlands reported a more frequent prevalence of 1 in 8,333. Based on these estimates and a U.S. population of 320 million, we estimate that the patient population is between 16,000 to 38,000 in the United States. We believe that there may be additional patients who are not formally diagnosed due to a perceived difficulty of obtaining a diagnosis and the fact that there are no approved treatments. Approximately two-thirds of cases are familial-inherited in an autosomal dominant fashion and one-third of cases are sporadic. FSHD affects all ethnic groups with similar incidence and prevalence.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FSHD Biology</w:t>
      </w:r>
    </w:p>
    <w:p>
      <w:pPr>
        <w:spacing w:after="0" w:line="225"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3E5588"/>
        </w:rPr>
        <w:t xml:space="preserve">FSHD is caused by aberrant expression of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in skeletal muscle resulting in the inappropriate presence of DUX4 protein, a transcription factor causing the expression of other genes. Normally DUX4-driven gene expression is limited to early embryonic development, after which time the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gene is silenced. In patients with FSHD, aberrant production of DUX4 protein in skeletal muscle regulates other genes encoding proteins, some of which are toxic to the muscle. Evidence of aberrant DUX4-driven gene expression is the major molecular signature that distinguishes muscle tissue affected by FSHD from healthy muscle. The result of aberrant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expression in FSHD is death of muscle and its replacement by fat, resulting in skeletal muscle weakness and progressive disability. We believe that reducing expression of the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gene and its downstream transcriptional program could provide a disease-modifying therapeutic approach for the treatment of FSHD at its root cause.</w:t>
      </w:r>
    </w:p>
    <w:p>
      <w:pPr>
        <w:spacing w:after="0" w:line="172" w:lineRule="exact"/>
        <w:rPr>
          <w:sz w:val="20"/>
          <w:szCs w:val="20"/>
          <w:color w:val="auto"/>
        </w:rPr>
      </w:pPr>
    </w:p>
    <w:p>
      <w:pPr>
        <w:jc w:val="both"/>
        <w:ind w:firstLine="359"/>
        <w:spacing w:after="0" w:line="255" w:lineRule="auto"/>
        <w:rPr>
          <w:sz w:val="20"/>
          <w:szCs w:val="20"/>
          <w:color w:val="auto"/>
        </w:rPr>
      </w:pPr>
      <w:r>
        <w:rPr>
          <w:rFonts w:ascii="Arial" w:cs="Arial" w:eastAsia="Arial" w:hAnsi="Arial"/>
          <w:sz w:val="18"/>
          <w:szCs w:val="18"/>
          <w:color w:val="3E5588"/>
        </w:rPr>
        <w:t xml:space="preserve">In all patients with FSHD, the </w:t>
      </w:r>
      <w:r>
        <w:rPr>
          <w:rFonts w:ascii="Arial" w:cs="Arial" w:eastAsia="Arial" w:hAnsi="Arial"/>
          <w:sz w:val="18"/>
          <w:szCs w:val="18"/>
          <w:i w:val="1"/>
          <w:iCs w:val="1"/>
          <w:color w:val="3E5588"/>
        </w:rPr>
        <w:t>DUX4</w:t>
      </w:r>
      <w:r>
        <w:rPr>
          <w:rFonts w:ascii="Arial" w:cs="Arial" w:eastAsia="Arial" w:hAnsi="Arial"/>
          <w:sz w:val="18"/>
          <w:szCs w:val="18"/>
          <w:color w:val="3E5588"/>
        </w:rPr>
        <w:t xml:space="preserve"> gene is unsilenced, or de-repressed, as a result of one of two different types of genetic alterations, leading to FSHD1 or FSHD2. Approximately 95% of patients have FSHD1 and approximately 5% of patients have FSHD2. FSHD1 is caused by the contraction of an array of DNA, known as a D4Z4 repeat, from greater than ten repeat units to nine or fewer units. This contraction causes de-repression of </w:t>
      </w:r>
      <w:r>
        <w:rPr>
          <w:rFonts w:ascii="Arial" w:cs="Arial" w:eastAsia="Arial" w:hAnsi="Arial"/>
          <w:sz w:val="18"/>
          <w:szCs w:val="18"/>
          <w:i w:val="1"/>
          <w:iCs w:val="1"/>
          <w:color w:val="3E5588"/>
        </w:rPr>
        <w:t>DUX4</w:t>
      </w:r>
      <w:r>
        <w:rPr>
          <w:rFonts w:ascii="Arial" w:cs="Arial" w:eastAsia="Arial" w:hAnsi="Arial"/>
          <w:sz w:val="18"/>
          <w:szCs w:val="18"/>
          <w:color w:val="3E5588"/>
        </w:rPr>
        <w:t xml:space="preserve">. Patients with FSHD2 do not have meaningful D4Z4 repeat contraction, but have mutations in a regulatory gene, known as the </w:t>
      </w:r>
      <w:r>
        <w:rPr>
          <w:rFonts w:ascii="Arial" w:cs="Arial" w:eastAsia="Arial" w:hAnsi="Arial"/>
          <w:sz w:val="18"/>
          <w:szCs w:val="18"/>
          <w:i w:val="1"/>
          <w:iCs w:val="1"/>
          <w:color w:val="3E5588"/>
        </w:rPr>
        <w:t>SMCHD1</w:t>
      </w:r>
      <w:r>
        <w:rPr>
          <w:rFonts w:ascii="Arial" w:cs="Arial" w:eastAsia="Arial" w:hAnsi="Arial"/>
          <w:sz w:val="18"/>
          <w:szCs w:val="18"/>
          <w:color w:val="3E5588"/>
        </w:rPr>
        <w:t xml:space="preserve"> gene, that normally contributes to the repression of the </w:t>
      </w:r>
      <w:r>
        <w:rPr>
          <w:rFonts w:ascii="Arial" w:cs="Arial" w:eastAsia="Arial" w:hAnsi="Arial"/>
          <w:sz w:val="18"/>
          <w:szCs w:val="18"/>
          <w:i w:val="1"/>
          <w:iCs w:val="1"/>
          <w:color w:val="3E5588"/>
        </w:rPr>
        <w:t>DUX4</w:t>
      </w:r>
      <w:r>
        <w:rPr>
          <w:rFonts w:ascii="Arial" w:cs="Arial" w:eastAsia="Arial" w:hAnsi="Arial"/>
          <w:sz w:val="18"/>
          <w:szCs w:val="18"/>
          <w:color w:val="3E5588"/>
        </w:rPr>
        <w:t xml:space="preserve"> gene via DNA methylation.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3E5588"/>
        </w:rPr>
        <w:t xml:space="preserve">The figure below illustrates how genetic mutations in the D4Z4 repeat array (FSHD1) or the </w:t>
      </w:r>
      <w:r>
        <w:rPr>
          <w:rFonts w:ascii="Arial" w:cs="Arial" w:eastAsia="Arial" w:hAnsi="Arial"/>
          <w:sz w:val="18"/>
          <w:szCs w:val="18"/>
          <w:i w:val="1"/>
          <w:iCs w:val="1"/>
          <w:color w:val="3E5588"/>
        </w:rPr>
        <w:t>SMCHD1</w:t>
      </w:r>
      <w:r>
        <w:rPr>
          <w:rFonts w:ascii="Arial" w:cs="Arial" w:eastAsia="Arial" w:hAnsi="Arial"/>
          <w:sz w:val="18"/>
          <w:szCs w:val="18"/>
          <w:color w:val="3E5588"/>
        </w:rPr>
        <w:t xml:space="preserve"> gene (FSHD2) result in aberrant expression of </w:t>
      </w:r>
      <w:r>
        <w:rPr>
          <w:rFonts w:ascii="Arial" w:cs="Arial" w:eastAsia="Arial" w:hAnsi="Arial"/>
          <w:sz w:val="18"/>
          <w:szCs w:val="18"/>
          <w:i w:val="1"/>
          <w:iCs w:val="1"/>
          <w:color w:val="3E5588"/>
        </w:rPr>
        <w:t>DUX4</w:t>
      </w:r>
      <w:r>
        <w:rPr>
          <w:rFonts w:ascii="Arial" w:cs="Arial" w:eastAsia="Arial" w:hAnsi="Arial"/>
          <w:sz w:val="18"/>
          <w:szCs w:val="18"/>
          <w:color w:val="3E5588"/>
        </w:rPr>
        <w:t xml:space="preserve"> in skeletal muscle.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123190</wp:posOffset>
            </wp:positionV>
            <wp:extent cx="3970655" cy="25298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97065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Our Product Engine Identified the Drug Target for FSHD</w:t>
      </w:r>
    </w:p>
    <w:p>
      <w:pPr>
        <w:spacing w:after="0" w:line="225" w:lineRule="exact"/>
        <w:rPr>
          <w:sz w:val="20"/>
          <w:szCs w:val="20"/>
          <w:color w:val="auto"/>
        </w:rPr>
      </w:pPr>
    </w:p>
    <w:p>
      <w:pPr>
        <w:jc w:val="both"/>
        <w:ind w:firstLine="384"/>
        <w:spacing w:after="0" w:line="290" w:lineRule="auto"/>
        <w:rPr>
          <w:sz w:val="20"/>
          <w:szCs w:val="20"/>
          <w:color w:val="auto"/>
        </w:rPr>
      </w:pPr>
      <w:r>
        <w:rPr>
          <w:rFonts w:ascii="Arial" w:cs="Arial" w:eastAsia="Arial" w:hAnsi="Arial"/>
          <w:sz w:val="16"/>
          <w:szCs w:val="16"/>
          <w:color w:val="3E5588"/>
        </w:rPr>
        <w:t xml:space="preserve">We utilized patient-derived FSHD1 muscle cells, known as myotubes, and screened them with our small molecule probe library to identify drug targets that reduced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expression. We identified several potential drug targets, however the modulation of the majority of the targets adversely affected the health or differentiation of muscle cells. One drug target that we identified from our screening efforts for which we did not observe adverse cell health issues was p38a/b, which had been studied extensively in other diseases, but had not been reported to be linked to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expression or FSHD until we conducted our screening efforts. We evaluated multiple small molecule p38a/b inhibitors and observed a consistent reduction of both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expression and DUX4-driven gene transcripts with each p38a/b inhibitor. We conducted further validation experiments to confirm that inhibition of p38a using genetic approaches such as siRNA and CRISPR single-guide RNAs, also led to a reduction in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expression.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Losmapimod</w:t>
      </w:r>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3E5588"/>
        </w:rPr>
        <w:t>After identifying p38a/b as a potential drug target, we evaluated multiple small molecule inhibitors of p38a/b. Each of these inhibitors had previously been evaluated in clinical trials for the treatment of various diseases but never in muscle disorders. As a result of our evaluation and relative to other p38a/b inhibitors, we identified losmapimod as the preferred development candidate based on substantial and attractive preclinical and clinical data regarding safety, PK and target inhibition, and its advanced stage of development. Losmapimod was originally evaluated by GSK in nearly 3,500 subjects in clinical trials across multiple indications and in multiple countries. GSK did not evaluate losmapimod in FSHD or in any other muscle disorder. Although GSK did not pursue regulatory approval in the indications evaluated, losmapimod demonstrated an attractive PK, PD, safety and tolerability profile, including in chronic dosing.</w:t>
      </w:r>
    </w:p>
    <w:p>
      <w:pPr>
        <w:spacing w:after="0" w:line="174" w:lineRule="exact"/>
        <w:rPr>
          <w:sz w:val="20"/>
          <w:szCs w:val="20"/>
          <w:color w:val="auto"/>
        </w:rPr>
      </w:pPr>
    </w:p>
    <w:p>
      <w:pPr>
        <w:jc w:val="both"/>
        <w:ind w:firstLine="523"/>
        <w:spacing w:after="0" w:line="294" w:lineRule="auto"/>
        <w:rPr>
          <w:sz w:val="20"/>
          <w:szCs w:val="20"/>
          <w:color w:val="auto"/>
        </w:rPr>
      </w:pPr>
      <w:r>
        <w:rPr>
          <w:rFonts w:ascii="Arial" w:cs="Arial" w:eastAsia="Arial" w:hAnsi="Arial"/>
          <w:sz w:val="16"/>
          <w:szCs w:val="16"/>
          <w:color w:val="3E5588"/>
        </w:rPr>
        <w:t xml:space="preserve">As shown in the figure on the left below, we observed in preclinical studies using losmapimod that inhibition of the p38a/b pathway reduced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expression and downstream gene expression, as measured by the mRNA transcribed by </w:t>
      </w:r>
      <w:r>
        <w:rPr>
          <w:rFonts w:ascii="Arial" w:cs="Arial" w:eastAsia="Arial" w:hAnsi="Arial"/>
          <w:sz w:val="16"/>
          <w:szCs w:val="16"/>
          <w:i w:val="1"/>
          <w:iCs w:val="1"/>
          <w:color w:val="3E5588"/>
        </w:rPr>
        <w:t>MBD3L2</w:t>
      </w:r>
      <w:r>
        <w:rPr>
          <w:rFonts w:ascii="Arial" w:cs="Arial" w:eastAsia="Arial" w:hAnsi="Arial"/>
          <w:sz w:val="16"/>
          <w:szCs w:val="16"/>
          <w:color w:val="3E5588"/>
        </w:rPr>
        <w:t xml:space="preserve">, a gene that is only expressed following </w:t>
      </w:r>
      <w:r>
        <w:rPr>
          <w:rFonts w:ascii="Arial" w:cs="Arial" w:eastAsia="Arial" w:hAnsi="Arial"/>
          <w:sz w:val="16"/>
          <w:szCs w:val="16"/>
          <w:i w:val="1"/>
          <w:iCs w:val="1"/>
          <w:color w:val="3E5588"/>
        </w:rPr>
        <w:t>DUX4</w:t>
      </w:r>
      <w:r>
        <w:rPr>
          <w:rFonts w:ascii="Arial" w:cs="Arial" w:eastAsia="Arial" w:hAnsi="Arial"/>
          <w:sz w:val="16"/>
          <w:szCs w:val="16"/>
          <w:color w:val="3E5588"/>
        </w:rPr>
        <w:t xml:space="preserve"> activation. In the study, we demonstrated that </w:t>
      </w:r>
      <w:r>
        <w:rPr>
          <w:rFonts w:ascii="Arial" w:cs="Arial" w:eastAsia="Arial" w:hAnsi="Arial"/>
          <w:sz w:val="16"/>
          <w:szCs w:val="16"/>
          <w:i w:val="1"/>
          <w:iCs w:val="1"/>
          <w:color w:val="3E5588"/>
        </w:rPr>
        <w:t>MBD3L2</w:t>
      </w:r>
      <w:r>
        <w:rPr>
          <w:rFonts w:ascii="Arial" w:cs="Arial" w:eastAsia="Arial" w:hAnsi="Arial"/>
          <w:sz w:val="16"/>
          <w:szCs w:val="16"/>
          <w:color w:val="3E5588"/>
        </w:rPr>
        <w:t xml:space="preserve"> was representative of broader DUX4-driven gene expression changes in myotubes. We assessed the ability of losmapimod to inhibit p38a/b by measuring the effect on the phosphorylation of a downstream protein called heat shock protein 27, or HSP27. The level of phosphorylation of HSP27 has been used in previous clinical trials, including by GSK, as a biomarker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E5588"/>
        </w:rPr>
        <w:t>measure the degree of p38a/b inhibition. As shown in the figure on the right below, we also observed reduced cell death, or apoptosis, in FSHD myotubes, as measured by active caspase-3. We used active caspase-3 to quantify cell death because it is a protein that has been shown to be an important regulator of the apoptosis pathway in myotubes.</w:t>
      </w:r>
    </w:p>
    <w:p>
      <w:pPr>
        <w:sectPr>
          <w:pgSz w:w="11900" w:h="16838" w:orient="portrait"/>
          <w:cols w:equalWidth="0" w:num="1">
            <w:col w:w="11420"/>
          </w:cols>
          <w:pgMar w:left="240" w:top="131" w:right="239" w:bottom="1440" w:gutter="0" w:footer="0" w:header="0"/>
        </w:sectPr>
      </w:pPr>
    </w:p>
    <w:p>
      <w:pPr>
        <w:spacing w:after="0" w:line="188" w:lineRule="exact"/>
        <w:rPr>
          <w:sz w:val="20"/>
          <w:szCs w:val="20"/>
          <w:color w:val="auto"/>
        </w:rPr>
      </w:pPr>
    </w:p>
    <w:p>
      <w:pPr>
        <w:jc w:val="center"/>
        <w:ind w:left="840"/>
        <w:spacing w:after="0"/>
        <w:rPr>
          <w:sz w:val="20"/>
          <w:szCs w:val="20"/>
          <w:color w:val="auto"/>
        </w:rPr>
      </w:pPr>
      <w:r>
        <w:rPr>
          <w:rFonts w:ascii="Arial" w:cs="Arial" w:eastAsia="Arial" w:hAnsi="Arial"/>
          <w:sz w:val="15"/>
          <w:szCs w:val="15"/>
          <w:b w:val="1"/>
          <w:bCs w:val="1"/>
          <w:color w:val="000001"/>
        </w:rPr>
        <w:t>Losmapimod reduced DUX4 protein levels and</w:t>
      </w:r>
    </w:p>
    <w:p>
      <w:pPr>
        <w:spacing w:after="0" w:line="56"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000001"/>
        </w:rPr>
        <w:t>DUX4-driven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298450</wp:posOffset>
            </wp:positionV>
            <wp:extent cx="2495550" cy="19551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495550" cy="1955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780"/>
        <w:spacing w:after="0"/>
        <w:rPr>
          <w:sz w:val="20"/>
          <w:szCs w:val="20"/>
          <w:color w:val="auto"/>
        </w:rPr>
      </w:pPr>
      <w:r>
        <w:rPr>
          <w:rFonts w:ascii="Arial" w:cs="Arial" w:eastAsia="Arial" w:hAnsi="Arial"/>
          <w:sz w:val="15"/>
          <w:szCs w:val="15"/>
          <w:b w:val="1"/>
          <w:bCs w:val="1"/>
          <w:color w:val="000001"/>
        </w:rPr>
        <w:t>Losmapimod reduced apoptosis in FSHD</w:t>
      </w:r>
    </w:p>
    <w:p>
      <w:pPr>
        <w:spacing w:after="0" w:line="56"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000001"/>
        </w:rPr>
        <w:t>myotubes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161290</wp:posOffset>
            </wp:positionV>
            <wp:extent cx="2495550" cy="19380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495550" cy="19380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720"/>
            <w:col w:w="48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3E5588"/>
        </w:rPr>
        <w:t>The dotted lines in each graphic above indicate the Cmin (left) and Cmax (right) observed in a clinical trial conducted by GSK that used a 15 mg twice per day dose of losmapimod. Cmin represents the minimum concentration in plasma prior to administration of a subsequent dose and Cmax represents the highest concentration in plasma after administration of a dose.</w:t>
      </w:r>
    </w:p>
    <w:p>
      <w:pPr>
        <w:spacing w:after="0" w:line="194" w:lineRule="exact"/>
        <w:rPr>
          <w:sz w:val="20"/>
          <w:szCs w:val="20"/>
          <w:color w:val="auto"/>
        </w:rPr>
      </w:pPr>
    </w:p>
    <w:p>
      <w:pPr>
        <w:jc w:val="both"/>
        <w:ind w:firstLine="458"/>
        <w:spacing w:after="0" w:line="288" w:lineRule="auto"/>
        <w:rPr>
          <w:sz w:val="20"/>
          <w:szCs w:val="20"/>
          <w:color w:val="auto"/>
        </w:rPr>
      </w:pPr>
      <w:r>
        <w:rPr>
          <w:rFonts w:ascii="Arial" w:cs="Arial" w:eastAsia="Arial" w:hAnsi="Arial"/>
          <w:sz w:val="16"/>
          <w:szCs w:val="16"/>
          <w:color w:val="3E5588"/>
        </w:rPr>
        <w:t>After identifying losmapimod, we in-licensed the molecule from GSK because we believed that its safety and pharmacology history would significantly expedite our development plan and enhance our future regulatory submissions. In February 2019, we obtained an exclusive worldwide license from GSK to the losmapimod patents and preclinical and clinical data for all indications, subject to certain conditions. This license includes a letter of reference for the U.S. Food and Drug Administration, or FDA, providing us the right to reference all the previous INDs that had been filed by GSK for losmapimod, as well as a license to their losmapimod data, including the original preclinical study and clinical trial reports. We also received active pharmaceutical ingredient, or API, and losmapimod tablets that had been manufactured by GSK. We plan to use the API and tablets to support our clinical development of losmapimod in FSHD, including our planned Phase 2 clinical trials. We utilized the GSK data and our preclinical data to submit an IND in the United States and CTAs in Europe and Canada in May 2019 that will enable us to advance our clinical development plan for losmapimod in FSHD, including initiating a Phase 2b clinical trial. The IND was accepted by the FDA in June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Preclinical Development</w:t>
      </w:r>
    </w:p>
    <w:p>
      <w:pPr>
        <w:spacing w:after="0" w:line="225"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3E5588"/>
        </w:rPr>
        <w:t xml:space="preserve">We conducted several preclinical studies designed to evaluate the ability of losmapimod to reduce DUX4-driven gene expression. In a preclinical study of losmapimod, we treated myotubes from primary cell lines of eight FSHD1 and three FSHD2 patients for four days with different concentrations of losmapimod or vehicle as a negative control. To model the effect of losmapimod treatment on DUX4-driven gene expression across diverse disease-causing genotypes, we measured </w:t>
      </w:r>
      <w:r>
        <w:rPr>
          <w:rFonts w:ascii="Arial" w:cs="Arial" w:eastAsia="Arial" w:hAnsi="Arial"/>
          <w:sz w:val="16"/>
          <w:szCs w:val="16"/>
          <w:i w:val="1"/>
          <w:iCs w:val="1"/>
          <w:color w:val="3E5588"/>
        </w:rPr>
        <w:t>MBD3L2</w:t>
      </w:r>
      <w:r>
        <w:rPr>
          <w:rFonts w:ascii="Arial" w:cs="Arial" w:eastAsia="Arial" w:hAnsi="Arial"/>
          <w:sz w:val="16"/>
          <w:szCs w:val="16"/>
          <w:color w:val="3E5588"/>
        </w:rPr>
        <w:t xml:space="preserve"> transcript levels relative to the transcript levels of </w:t>
      </w:r>
      <w:r>
        <w:rPr>
          <w:rFonts w:ascii="Arial" w:cs="Arial" w:eastAsia="Arial" w:hAnsi="Arial"/>
          <w:sz w:val="16"/>
          <w:szCs w:val="16"/>
          <w:i w:val="1"/>
          <w:iCs w:val="1"/>
          <w:color w:val="3E5588"/>
        </w:rPr>
        <w:t>POLR2A</w:t>
      </w:r>
      <w:r>
        <w:rPr>
          <w:rFonts w:ascii="Arial" w:cs="Arial" w:eastAsia="Arial" w:hAnsi="Arial"/>
          <w:sz w:val="16"/>
          <w:szCs w:val="16"/>
          <w:color w:val="3E5588"/>
        </w:rPr>
        <w:t xml:space="preserve">, a gene whose expression is not regulated by DUX4 protein. We observed that clinically achievable concentrations of losmapimod (30 to 100 nM) decreased DUX4-driven expression by 50% to 65%, as measured by quantitative polymerase chain reaction amplification of the </w:t>
      </w:r>
      <w:r>
        <w:rPr>
          <w:rFonts w:ascii="Arial" w:cs="Arial" w:eastAsia="Arial" w:hAnsi="Arial"/>
          <w:sz w:val="16"/>
          <w:szCs w:val="16"/>
          <w:i w:val="1"/>
          <w:iCs w:val="1"/>
          <w:color w:val="3E5588"/>
        </w:rPr>
        <w:t>MBD3L2</w:t>
      </w:r>
      <w:r>
        <w:rPr>
          <w:rFonts w:ascii="Arial" w:cs="Arial" w:eastAsia="Arial" w:hAnsi="Arial"/>
          <w:sz w:val="16"/>
          <w:szCs w:val="16"/>
          <w:color w:val="3E5588"/>
        </w:rPr>
        <w:t xml:space="preserve"> transcripts. The observed treatment effect was similar in all cells tested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regardless of genotype. We believe that this data suggests that losmapimod has the potential to treat FSHD patients across all genotypes.</w:t>
      </w:r>
    </w:p>
    <w:p>
      <w:pPr>
        <w:spacing w:after="0" w:line="225" w:lineRule="exact"/>
        <w:rPr>
          <w:sz w:val="20"/>
          <w:szCs w:val="20"/>
          <w:color w:val="auto"/>
        </w:rPr>
      </w:pPr>
    </w:p>
    <w:p>
      <w:pPr>
        <w:jc w:val="both"/>
        <w:ind w:firstLine="460"/>
        <w:spacing w:after="0" w:line="259" w:lineRule="auto"/>
        <w:rPr>
          <w:sz w:val="20"/>
          <w:szCs w:val="20"/>
          <w:color w:val="auto"/>
        </w:rPr>
      </w:pPr>
      <w:r>
        <w:rPr>
          <w:rFonts w:ascii="Arial" w:cs="Arial" w:eastAsia="Arial" w:hAnsi="Arial"/>
          <w:sz w:val="18"/>
          <w:szCs w:val="18"/>
          <w:color w:val="3E5588"/>
        </w:rPr>
        <w:t>The graphic below shows the least square mean estimates for DUX4-driven gene expression from 11 FSHD primary cells and healthy cells treated with losmapimod presented as mean and 95% confidence intervals, which demonstrates that losmapimod reduced DUX4-driven gene expression, as measured by MBD3L2 and POLR2A transcript levels in a concentration-dependent manner.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01"/>
        </w:rPr>
        <w:t>Reduction of DUX4-driven gene expression at increasing concentrations of losmapimod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152400</wp:posOffset>
            </wp:positionV>
            <wp:extent cx="3447415" cy="25730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47415" cy="257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color w:val="3E5588"/>
        </w:rPr>
        <w:t>In our preclinical studies, we have also observed that treatment of FSHD patient-derived myotubes with losmapimod is highly specific for DUX4-driven gene expression. We conducted a study in which we measured the FSHD gene expression signature and observed a minimal impact on myogenesis when healthy human myotubes were treated with losmapimod. We treated FSHD cells with losmapimod for five days and a subsequent RNA-seq analysis revealed that only 89 transcripts (0.45%) out of approximately 20,000 protein coding genes were differentially expressed more than four-fold. Of these 89 differentially expressed transcripts, 90% were transcripts directly regulated by DUX4. We believe that this is strong evidence that the effects of losmapimod in affected skeletal muscle are highly specific for the treatment of the root cause of FSHD. Importantly, we did not observe changes in levels of myogenin, a transcriptional activator that promotes transcription of muscle-specific genes and plays a role in muscle differentiation, cell cycle exit and muscle atrophy, and observed minimal impact on other myogenic factors during myoblast differentiation into myotubes.</w:t>
      </w:r>
    </w:p>
    <w:p>
      <w:pPr>
        <w:spacing w:after="0" w:line="172" w:lineRule="exact"/>
        <w:rPr>
          <w:sz w:val="20"/>
          <w:szCs w:val="20"/>
          <w:color w:val="auto"/>
        </w:rPr>
      </w:pPr>
    </w:p>
    <w:p>
      <w:pPr>
        <w:jc w:val="both"/>
        <w:ind w:right="20" w:firstLine="493"/>
        <w:spacing w:after="0" w:line="268" w:lineRule="auto"/>
        <w:rPr>
          <w:sz w:val="20"/>
          <w:szCs w:val="20"/>
          <w:color w:val="auto"/>
        </w:rPr>
      </w:pPr>
      <w:r>
        <w:rPr>
          <w:rFonts w:ascii="Arial" w:cs="Arial" w:eastAsia="Arial" w:hAnsi="Arial"/>
          <w:sz w:val="18"/>
          <w:szCs w:val="18"/>
          <w:color w:val="3E5588"/>
        </w:rPr>
        <w:t>The graphic below depicts the gene expression signature in FSHD at increasing concentrations of losmapimod as compared to a high concentration of losmapimod in healthy wild type, or WT, myotubes.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the graphic, darker pink tones indicate more gene expression and darker blue tones indicate less gene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148590</wp:posOffset>
            </wp:positionV>
            <wp:extent cx="5377180" cy="42792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7718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firstLine="391"/>
        <w:spacing w:after="0" w:line="256" w:lineRule="auto"/>
        <w:rPr>
          <w:sz w:val="20"/>
          <w:szCs w:val="20"/>
          <w:color w:val="auto"/>
        </w:rPr>
      </w:pPr>
      <w:r>
        <w:rPr>
          <w:rFonts w:ascii="Arial" w:cs="Arial" w:eastAsia="Arial" w:hAnsi="Arial"/>
          <w:sz w:val="18"/>
          <w:szCs w:val="18"/>
          <w:color w:val="3E5588"/>
        </w:rPr>
        <w:t>GSK observed concentrations of losmapimod in human plasma of 28.4 ng/mL to 74.1 ng/mL with an average of 50.5 ng/mL at a 15 mg twice per day dose in its clinical trials. In preclinical studies in animal models, we observed that losmapimod reached muscle tissue and engaged the p38a/b target in the muscle tissue. As shown below, we detected similar concentrations of losmapimod in rat plasma and muscle, and significant target engagement is observed at concentrations that we expect to achieve in clinical trials using a 15 mg twice per day dose.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01"/>
        </w:rPr>
        <w:t>p38a/b target engagement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152400</wp:posOffset>
            </wp:positionV>
            <wp:extent cx="3970655" cy="27787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970655"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3E5588"/>
        </w:rPr>
        <w:t>We obtained further evidence that losmapimod distributed to muscle from a preclinical study in which GSK profiled distribution of losmapimod to all tissues in rats. Our review of this data similarly confirmed that muscles were well exposed to losmapimod.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Clinical Development Overview</w:t>
      </w:r>
    </w:p>
    <w:p>
      <w:pPr>
        <w:spacing w:after="0" w:line="225"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3E5588"/>
        </w:rPr>
        <w:t>We began dosing in a Phase 1 clinical trial of losmapimod in healthy volunteers and patients with FSHD in Europe in February 2019 following the filing of a CTA in December 2018. We plan to conduct a randomized, double-blind placebo-controlled Phase 2b clinical trial with approximately 66 patients with FSHD to investigate whether oral administration of 15 mg of losmapimod twice per day reduces expression of DUX4-driven genes in affected skeletal muscle. We also plan to concurrently conduct an open label Phase 2 clinical trial in 16 patients with FSHD to investigate the safety and tolerability of 15 mg losmapimod twice per day for chronic use and to evaluate the ability of losmapimod to reduce expression of DUX4-driven genes in affected skeletal muscle over varying durations of treatment. We are planning an open label extension trial to enable patients in our Phase 2b clinical trial who are treated with losmapimod to continue receiving treatment after the 24-week treatment period and to enable patients given placebo in our Phase 2b clinical trial to be treated with losmapimod.</w:t>
      </w:r>
    </w:p>
    <w:p>
      <w:pPr>
        <w:spacing w:after="0" w:line="172"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8"/>
          <w:szCs w:val="18"/>
          <w:color w:val="3E5588"/>
        </w:rPr>
        <w:t>We believe that a 15 mg twice per day dose of losmapimod is an appropriate dose for the treatment of patients with FSHD based on previous clinical data and p38a/b target engagement data generated by GSK and p38a/b target engagement data from our preclinical studies.</w:t>
      </w:r>
    </w:p>
    <w:p>
      <w:pPr>
        <w:spacing w:after="0" w:line="186"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3E5588"/>
        </w:rPr>
        <w:t>We submitted a CTA in Europe for the open label Phase 2 clinical trial in April 2019 and submitted CTAs in Europe and Canada for the Phase 2b clinical trial in May 2019. The FDA accepted the IND in June 2019. We expect to initiate the randomized Phase 2b clinical trial and the open label Phase 2 clinical trial in mid-2019.</w:t>
      </w:r>
    </w:p>
    <w:p>
      <w:pPr>
        <w:spacing w:after="0" w:line="194" w:lineRule="exact"/>
        <w:rPr>
          <w:sz w:val="20"/>
          <w:szCs w:val="20"/>
          <w:color w:val="auto"/>
        </w:rPr>
      </w:pPr>
    </w:p>
    <w:p>
      <w:pPr>
        <w:jc w:val="both"/>
        <w:ind w:firstLine="600"/>
        <w:spacing w:after="0" w:line="306" w:lineRule="auto"/>
        <w:rPr>
          <w:sz w:val="20"/>
          <w:szCs w:val="20"/>
          <w:color w:val="auto"/>
        </w:rPr>
      </w:pPr>
      <w:r>
        <w:rPr>
          <w:rFonts w:ascii="Arial" w:cs="Arial" w:eastAsia="Arial" w:hAnsi="Arial"/>
          <w:sz w:val="16"/>
          <w:szCs w:val="16"/>
          <w:color w:val="3E5588"/>
        </w:rPr>
        <w:t>We are also conducting several preparatory non-drug studies to assess biomarker endpoints and clinical outcome assessments. In addition, we are participating in a natural history study that will follow 150 subjects with FSHD in the United States and 70 subjects in Europe over 18 months. We expect to utilize the data generated from our non-drug studies and the natural history study to inform discussions with regulatory agencies and future clinical trial design.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3E5588"/>
        </w:rPr>
        <w:t>We believe that the safety data from GSK's prior losmapimod clinical trials, together with safety and efficacy data from our Phase 1 and Phase 2 clinical trials, may enable us to apply for accelerated approval. We believe a treatment for FSHD may be eligible for accelerated approval because FSHD is a rare, slowly progressive and disabling disease with no approved treatments. We plan to discuss accelerated approval with regulatory agencies if we observe positive results in our Phase 2b clinical trial based on biomarker endpoints that we believe are likely to predict clinical benefit. We also plan to apply for orphan drug designation for FSHD in the United States and Europe in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Prior Clinical Development of Losmapimod by GSK</w:t>
      </w:r>
    </w:p>
    <w:p>
      <w:pPr>
        <w:spacing w:after="0" w:line="225"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3E5588"/>
        </w:rPr>
        <w:t>GSK conducted multiple Phase 1 and Phase 2 clinical trials and one Phase 3 clinical trial of losmapimod, including in patients with chronic obstructive pulmonary disease, or COPD, acute coronary syndrome and other cardiovascular diseases, neuropathic pain, major depression disorder, focal segmental glomerulosclerosis, and rheumatoid arthritis. Nearly 3,500 subjects in 24 trials were given losmapimod with single doses as high as 60 mg and repeated oral doses as high as 15 mg twice per day for up to 52 weeks. We plan to use a dose of 15 mg twice per day in our clinical trials of losmapimod in FSHD. GSK did not conduct a clinical trial of losmapimod in patients with FSHD or any other muscle disorder.</w:t>
      </w:r>
    </w:p>
    <w:p>
      <w:pPr>
        <w:spacing w:after="0" w:line="170" w:lineRule="exact"/>
        <w:rPr>
          <w:sz w:val="20"/>
          <w:szCs w:val="20"/>
          <w:color w:val="auto"/>
        </w:rPr>
      </w:pPr>
    </w:p>
    <w:p>
      <w:pPr>
        <w:jc w:val="both"/>
        <w:ind w:firstLine="414"/>
        <w:spacing w:after="0" w:line="291" w:lineRule="auto"/>
        <w:rPr>
          <w:sz w:val="20"/>
          <w:szCs w:val="20"/>
          <w:color w:val="auto"/>
        </w:rPr>
      </w:pPr>
      <w:r>
        <w:rPr>
          <w:rFonts w:ascii="Arial" w:cs="Arial" w:eastAsia="Arial" w:hAnsi="Arial"/>
          <w:sz w:val="16"/>
          <w:szCs w:val="16"/>
          <w:color w:val="3E5588"/>
        </w:rPr>
        <w:t>In clinical trials of losmapimod conducted by GSK, no significant differences were observed in the frequency of adverse events, or AEs, in subjects given losmapimod and subjects given placebo. GSK generally observed a similar frequency of serious adverse events, or SAEs, and deaths between patients given losmapimod and patients given placebo. These trials included extensive evaluation of the cardiovascular risk profile of losmapimod, including completion of an evaluation of the potential to prolong corrected QT. GSK reported that there was no clinically relevant difference with regard to the occurrence of electrocardiogram abnormalities post-baseline or vital signs with losmapimod as compared to placebo. GSK did not identify a safety signal attributed to losmapimod in any of these trials. There were no SAEs reported in 14 of these 24 clinical trials of losmapimod.</w:t>
      </w:r>
    </w:p>
    <w:p>
      <w:pPr>
        <w:spacing w:after="0" w:line="174"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3E5588"/>
        </w:rPr>
        <w:t>The table below presents safety data from the largest placebo-controlled clinical trial of losmapimod, which was a Phase 3 clinical trial for the treatment of acute coronary syndrome following a heart attack, in which over 1,700 patients were given 7.5 mg of losmapimod or placebo twice per day for 12 weeks and were followed for an additional 12 weeks. In this trial, GSK observed a similar proportion of AEs in the placebo group as compared to the losmapimod group. The data in the table below presents the SAEs reported by more than 0.5% of patients in any group in the trial through 24 weeks.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E5588"/>
        </w:rPr>
        <w:t>Safety data from GSK's Phase 3 clinical trial of losmapimod in patients with acute coronary syndrome</w:t>
      </w:r>
    </w:p>
    <w:tbl>
      <w:tblPr>
        <w:tblLayout w:type="fixed"/>
        <w:tblInd w:w="1720" w:type="dxa"/>
        <w:tblCellMar>
          <w:top w:w="0" w:type="dxa"/>
          <w:left w:w="0" w:type="dxa"/>
          <w:bottom w:w="0" w:type="dxa"/>
          <w:right w:w="0" w:type="dxa"/>
        </w:tblCellMar>
      </w:tblPr>
      <w:tr>
        <w:trPr>
          <w:trHeight w:val="142"/>
        </w:trPr>
        <w:tc>
          <w:tcPr>
            <w:tcW w:w="6180" w:type="dxa"/>
            <w:vAlign w:val="bottom"/>
            <w:tcBorders>
              <w:top w:val="single" w:sz="8" w:color="3E5588"/>
            </w:tcBorders>
          </w:tcPr>
          <w:p>
            <w:pPr>
              <w:spacing w:after="0"/>
              <w:rPr>
                <w:sz w:val="12"/>
                <w:szCs w:val="12"/>
                <w:color w:val="auto"/>
              </w:rPr>
            </w:pPr>
          </w:p>
        </w:tc>
        <w:tc>
          <w:tcPr>
            <w:tcW w:w="820" w:type="dxa"/>
            <w:vAlign w:val="bottom"/>
            <w:tcBorders>
              <w:top w:val="single" w:sz="8" w:color="3E5588"/>
              <w:bottom w:val="single" w:sz="8" w:color="3E5588"/>
            </w:tcBorders>
            <w:gridSpan w:val="2"/>
          </w:tcPr>
          <w:p>
            <w:pPr>
              <w:jc w:val="center"/>
              <w:spacing w:after="0" w:line="142" w:lineRule="exact"/>
              <w:rPr>
                <w:sz w:val="20"/>
                <w:szCs w:val="20"/>
                <w:color w:val="auto"/>
              </w:rPr>
            </w:pPr>
            <w:r>
              <w:rPr>
                <w:rFonts w:ascii="Arial" w:cs="Arial" w:eastAsia="Arial" w:hAnsi="Arial"/>
                <w:sz w:val="14"/>
                <w:szCs w:val="14"/>
                <w:b w:val="1"/>
                <w:bCs w:val="1"/>
                <w:color w:val="3E5588"/>
                <w:w w:val="85"/>
              </w:rPr>
              <w:t>Placebo</w:t>
            </w:r>
          </w:p>
        </w:tc>
        <w:tc>
          <w:tcPr>
            <w:tcW w:w="160" w:type="dxa"/>
            <w:vAlign w:val="bottom"/>
            <w:tcBorders>
              <w:top w:val="single" w:sz="8" w:color="3E5588"/>
            </w:tcBorders>
          </w:tcPr>
          <w:p>
            <w:pPr>
              <w:spacing w:after="0"/>
              <w:rPr>
                <w:sz w:val="12"/>
                <w:szCs w:val="12"/>
                <w:color w:val="auto"/>
              </w:rPr>
            </w:pPr>
          </w:p>
        </w:tc>
        <w:tc>
          <w:tcPr>
            <w:tcW w:w="820" w:type="dxa"/>
            <w:vAlign w:val="bottom"/>
            <w:tcBorders>
              <w:top w:val="single" w:sz="8" w:color="3E5588"/>
              <w:bottom w:val="single" w:sz="8" w:color="3E5588"/>
            </w:tcBorders>
            <w:gridSpan w:val="2"/>
          </w:tcPr>
          <w:p>
            <w:pPr>
              <w:jc w:val="center"/>
              <w:spacing w:after="0" w:line="142" w:lineRule="exact"/>
              <w:rPr>
                <w:sz w:val="20"/>
                <w:szCs w:val="20"/>
                <w:color w:val="auto"/>
              </w:rPr>
            </w:pPr>
            <w:r>
              <w:rPr>
                <w:rFonts w:ascii="Arial" w:cs="Arial" w:eastAsia="Arial" w:hAnsi="Arial"/>
                <w:sz w:val="14"/>
                <w:szCs w:val="14"/>
                <w:b w:val="1"/>
                <w:bCs w:val="1"/>
                <w:color w:val="3E5588"/>
                <w:w w:val="87"/>
              </w:rPr>
              <w:t>Losmapimod</w:t>
            </w:r>
          </w:p>
        </w:tc>
      </w:tr>
      <w:tr>
        <w:trPr>
          <w:trHeight w:val="210"/>
        </w:trPr>
        <w:tc>
          <w:tcPr>
            <w:tcW w:w="6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3E5588"/>
                <w:w w:val="89"/>
              </w:rPr>
              <w:t>N = 1,752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3E5588"/>
                <w:w w:val="89"/>
              </w:rPr>
              <w:t>N = 1,724</w:t>
            </w:r>
          </w:p>
        </w:tc>
      </w:tr>
      <w:tr>
        <w:trPr>
          <w:trHeight w:val="216"/>
        </w:trPr>
        <w:tc>
          <w:tcPr>
            <w:tcW w:w="618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3E5588"/>
                <w:w w:val="92"/>
              </w:rPr>
              <w:t>n (%)</w:t>
            </w:r>
          </w:p>
        </w:tc>
        <w:tc>
          <w:tcPr>
            <w:tcW w:w="16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color w:val="3E5588"/>
                <w:w w:val="92"/>
              </w:rPr>
              <w:t>n (%)</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3E5588"/>
              </w:rPr>
              <w:t>Any SAE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3"/>
              </w:rPr>
              <w:t>323</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3E5588"/>
                <w:w w:val="97"/>
              </w:rPr>
              <w:t>(18.4)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363</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3E5588"/>
                <w:w w:val="93"/>
              </w:rPr>
              <w:t>(21.1)</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3E5588"/>
              </w:rPr>
              <w:t>Cardiac disorders</w:t>
            </w:r>
          </w:p>
        </w:tc>
        <w:tc>
          <w:tcPr>
            <w:tcW w:w="820" w:type="dxa"/>
            <w:vAlign w:val="bottom"/>
            <w:gridSpan w:val="2"/>
          </w:tcPr>
          <w:p>
            <w:pPr>
              <w:jc w:val="center"/>
              <w:spacing w:after="0"/>
              <w:rPr>
                <w:sz w:val="20"/>
                <w:szCs w:val="20"/>
                <w:color w:val="auto"/>
              </w:rPr>
            </w:pPr>
            <w:r>
              <w:rPr>
                <w:rFonts w:ascii="Arial" w:cs="Arial" w:eastAsia="Arial" w:hAnsi="Arial"/>
                <w:sz w:val="18"/>
                <w:szCs w:val="18"/>
                <w:color w:val="3E5588"/>
                <w:w w:val="88"/>
              </w:rPr>
              <w:t>114 (6.5)</w:t>
            </w:r>
          </w:p>
        </w:tc>
        <w:tc>
          <w:tcPr>
            <w:tcW w:w="980" w:type="dxa"/>
            <w:vAlign w:val="bottom"/>
            <w:gridSpan w:val="3"/>
          </w:tcPr>
          <w:p>
            <w:pPr>
              <w:jc w:val="center"/>
              <w:ind w:left="92"/>
              <w:spacing w:after="0"/>
              <w:rPr>
                <w:sz w:val="20"/>
                <w:szCs w:val="20"/>
                <w:color w:val="auto"/>
              </w:rPr>
            </w:pPr>
            <w:r>
              <w:rPr>
                <w:rFonts w:ascii="Arial" w:cs="Arial" w:eastAsia="Arial" w:hAnsi="Arial"/>
                <w:sz w:val="18"/>
                <w:szCs w:val="18"/>
                <w:color w:val="3E5588"/>
                <w:w w:val="88"/>
              </w:rPr>
              <w:t>138 (8.0)</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Infections and infestations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54</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3E5588"/>
              </w:rPr>
              <w:t>(3.1)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55</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3E5588"/>
              </w:rPr>
              <w:t>(3.2)</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3E5588"/>
              </w:rPr>
              <w:t>Respiratory, thoracic and mediastinal disorders</w:t>
            </w:r>
          </w:p>
        </w:tc>
        <w:tc>
          <w:tcPr>
            <w:tcW w:w="320" w:type="dxa"/>
            <w:vAlign w:val="bottom"/>
          </w:tcPr>
          <w:p>
            <w:pPr>
              <w:jc w:val="right"/>
              <w:spacing w:after="0"/>
              <w:rPr>
                <w:sz w:val="20"/>
                <w:szCs w:val="20"/>
                <w:color w:val="auto"/>
              </w:rPr>
            </w:pPr>
            <w:r>
              <w:rPr>
                <w:rFonts w:ascii="Arial" w:cs="Arial" w:eastAsia="Arial" w:hAnsi="Arial"/>
                <w:sz w:val="18"/>
                <w:szCs w:val="18"/>
                <w:color w:val="3E5588"/>
              </w:rPr>
              <w:t>24</w:t>
            </w:r>
          </w:p>
        </w:tc>
        <w:tc>
          <w:tcPr>
            <w:tcW w:w="500" w:type="dxa"/>
            <w:vAlign w:val="bottom"/>
          </w:tcPr>
          <w:p>
            <w:pPr>
              <w:ind w:left="20"/>
              <w:spacing w:after="0"/>
              <w:rPr>
                <w:sz w:val="20"/>
                <w:szCs w:val="20"/>
                <w:color w:val="auto"/>
              </w:rPr>
            </w:pPr>
            <w:r>
              <w:rPr>
                <w:rFonts w:ascii="Arial" w:cs="Arial" w:eastAsia="Arial" w:hAnsi="Arial"/>
                <w:sz w:val="18"/>
                <w:szCs w:val="18"/>
                <w:color w:val="3E5588"/>
              </w:rPr>
              <w:t>(1.4)</w:t>
            </w:r>
          </w:p>
        </w:tc>
        <w:tc>
          <w:tcPr>
            <w:tcW w:w="500" w:type="dxa"/>
            <w:vAlign w:val="bottom"/>
            <w:gridSpan w:val="2"/>
          </w:tcPr>
          <w:p>
            <w:pPr>
              <w:jc w:val="right"/>
              <w:spacing w:after="0"/>
              <w:rPr>
                <w:sz w:val="20"/>
                <w:szCs w:val="20"/>
                <w:color w:val="auto"/>
              </w:rPr>
            </w:pPr>
            <w:r>
              <w:rPr>
                <w:rFonts w:ascii="Arial" w:cs="Arial" w:eastAsia="Arial" w:hAnsi="Arial"/>
                <w:sz w:val="18"/>
                <w:szCs w:val="18"/>
                <w:color w:val="3E5588"/>
              </w:rPr>
              <w:t>41</w:t>
            </w:r>
          </w:p>
        </w:tc>
        <w:tc>
          <w:tcPr>
            <w:tcW w:w="480" w:type="dxa"/>
            <w:vAlign w:val="bottom"/>
          </w:tcPr>
          <w:p>
            <w:pPr>
              <w:ind w:left="20"/>
              <w:spacing w:after="0"/>
              <w:rPr>
                <w:sz w:val="20"/>
                <w:szCs w:val="20"/>
                <w:color w:val="auto"/>
              </w:rPr>
            </w:pPr>
            <w:r>
              <w:rPr>
                <w:rFonts w:ascii="Arial" w:cs="Arial" w:eastAsia="Arial" w:hAnsi="Arial"/>
                <w:sz w:val="18"/>
                <w:szCs w:val="18"/>
                <w:color w:val="3E5588"/>
              </w:rPr>
              <w:t>(2.4)</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General disorders and administration site conditions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35</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3E5588"/>
              </w:rPr>
              <w:t>(2.0)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26</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3E5588"/>
              </w:rPr>
              <w:t>(1.5)</w:t>
            </w:r>
          </w:p>
        </w:tc>
      </w:tr>
      <w:tr>
        <w:trPr>
          <w:trHeight w:val="216"/>
        </w:trPr>
        <w:tc>
          <w:tcPr>
            <w:tcW w:w="6180" w:type="dxa"/>
            <w:vAlign w:val="bottom"/>
          </w:tcPr>
          <w:p>
            <w:pPr>
              <w:ind w:left="180"/>
              <w:spacing w:after="0"/>
              <w:rPr>
                <w:sz w:val="20"/>
                <w:szCs w:val="20"/>
                <w:color w:val="auto"/>
              </w:rPr>
            </w:pPr>
            <w:r>
              <w:rPr>
                <w:rFonts w:ascii="Arial" w:cs="Arial" w:eastAsia="Arial" w:hAnsi="Arial"/>
                <w:sz w:val="18"/>
                <w:szCs w:val="18"/>
                <w:color w:val="3E5588"/>
              </w:rPr>
              <w:t>Renal and urinary disorders</w:t>
            </w:r>
          </w:p>
        </w:tc>
        <w:tc>
          <w:tcPr>
            <w:tcW w:w="320" w:type="dxa"/>
            <w:vAlign w:val="bottom"/>
          </w:tcPr>
          <w:p>
            <w:pPr>
              <w:jc w:val="right"/>
              <w:spacing w:after="0"/>
              <w:rPr>
                <w:sz w:val="20"/>
                <w:szCs w:val="20"/>
                <w:color w:val="auto"/>
              </w:rPr>
            </w:pPr>
            <w:r>
              <w:rPr>
                <w:rFonts w:ascii="Arial" w:cs="Arial" w:eastAsia="Arial" w:hAnsi="Arial"/>
                <w:sz w:val="18"/>
                <w:szCs w:val="18"/>
                <w:color w:val="3E5588"/>
              </w:rPr>
              <w:t>18</w:t>
            </w:r>
          </w:p>
        </w:tc>
        <w:tc>
          <w:tcPr>
            <w:tcW w:w="500" w:type="dxa"/>
            <w:vAlign w:val="bottom"/>
          </w:tcPr>
          <w:p>
            <w:pPr>
              <w:ind w:left="20"/>
              <w:spacing w:after="0"/>
              <w:rPr>
                <w:sz w:val="20"/>
                <w:szCs w:val="20"/>
                <w:color w:val="auto"/>
              </w:rPr>
            </w:pPr>
            <w:r>
              <w:rPr>
                <w:rFonts w:ascii="Arial" w:cs="Arial" w:eastAsia="Arial" w:hAnsi="Arial"/>
                <w:sz w:val="18"/>
                <w:szCs w:val="18"/>
                <w:color w:val="3E5588"/>
              </w:rPr>
              <w:t>(1.0)</w:t>
            </w:r>
          </w:p>
        </w:tc>
        <w:tc>
          <w:tcPr>
            <w:tcW w:w="500" w:type="dxa"/>
            <w:vAlign w:val="bottom"/>
            <w:gridSpan w:val="2"/>
          </w:tcPr>
          <w:p>
            <w:pPr>
              <w:jc w:val="right"/>
              <w:spacing w:after="0"/>
              <w:rPr>
                <w:sz w:val="20"/>
                <w:szCs w:val="20"/>
                <w:color w:val="auto"/>
              </w:rPr>
            </w:pPr>
            <w:r>
              <w:rPr>
                <w:rFonts w:ascii="Arial" w:cs="Arial" w:eastAsia="Arial" w:hAnsi="Arial"/>
                <w:sz w:val="18"/>
                <w:szCs w:val="18"/>
                <w:color w:val="3E5588"/>
              </w:rPr>
              <w:t>31</w:t>
            </w:r>
          </w:p>
        </w:tc>
        <w:tc>
          <w:tcPr>
            <w:tcW w:w="480" w:type="dxa"/>
            <w:vAlign w:val="bottom"/>
          </w:tcPr>
          <w:p>
            <w:pPr>
              <w:ind w:left="20"/>
              <w:spacing w:after="0"/>
              <w:rPr>
                <w:sz w:val="20"/>
                <w:szCs w:val="20"/>
                <w:color w:val="auto"/>
              </w:rPr>
            </w:pPr>
            <w:r>
              <w:rPr>
                <w:rFonts w:ascii="Arial" w:cs="Arial" w:eastAsia="Arial" w:hAnsi="Arial"/>
                <w:sz w:val="18"/>
                <w:szCs w:val="18"/>
                <w:color w:val="3E5588"/>
              </w:rPr>
              <w:t>(1.8)</w:t>
            </w: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Investigations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28</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3E5588"/>
              </w:rPr>
              <w:t>(1.6)</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18</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3E5588"/>
              </w:rPr>
              <w:t>(1.0)</w:t>
            </w:r>
          </w:p>
        </w:tc>
      </w:tr>
      <w:tr>
        <w:trPr>
          <w:trHeight w:val="222"/>
        </w:trPr>
        <w:tc>
          <w:tcPr>
            <w:tcW w:w="6180" w:type="dxa"/>
            <w:vAlign w:val="bottom"/>
          </w:tcPr>
          <w:p>
            <w:pPr>
              <w:ind w:left="180"/>
              <w:spacing w:after="0"/>
              <w:rPr>
                <w:sz w:val="20"/>
                <w:szCs w:val="20"/>
                <w:color w:val="auto"/>
              </w:rPr>
            </w:pPr>
            <w:r>
              <w:rPr>
                <w:rFonts w:ascii="Arial" w:cs="Arial" w:eastAsia="Arial" w:hAnsi="Arial"/>
                <w:sz w:val="18"/>
                <w:szCs w:val="18"/>
                <w:color w:val="3E5588"/>
              </w:rPr>
              <w:t>Musculoskeletal and connective tissue disorders</w:t>
            </w:r>
          </w:p>
        </w:tc>
        <w:tc>
          <w:tcPr>
            <w:tcW w:w="320" w:type="dxa"/>
            <w:vAlign w:val="bottom"/>
          </w:tcPr>
          <w:p>
            <w:pPr>
              <w:jc w:val="right"/>
              <w:spacing w:after="0"/>
              <w:rPr>
                <w:sz w:val="20"/>
                <w:szCs w:val="20"/>
                <w:color w:val="auto"/>
              </w:rPr>
            </w:pPr>
            <w:r>
              <w:rPr>
                <w:rFonts w:ascii="Arial" w:cs="Arial" w:eastAsia="Arial" w:hAnsi="Arial"/>
                <w:sz w:val="18"/>
                <w:szCs w:val="18"/>
                <w:color w:val="3E5588"/>
              </w:rPr>
              <w:t>14</w:t>
            </w:r>
          </w:p>
        </w:tc>
        <w:tc>
          <w:tcPr>
            <w:tcW w:w="500" w:type="dxa"/>
            <w:vAlign w:val="bottom"/>
          </w:tcPr>
          <w:p>
            <w:pPr>
              <w:ind w:left="20"/>
              <w:spacing w:after="0"/>
              <w:rPr>
                <w:sz w:val="20"/>
                <w:szCs w:val="20"/>
                <w:color w:val="auto"/>
              </w:rPr>
            </w:pPr>
            <w:r>
              <w:rPr>
                <w:rFonts w:ascii="Arial" w:cs="Arial" w:eastAsia="Arial" w:hAnsi="Arial"/>
                <w:sz w:val="18"/>
                <w:szCs w:val="18"/>
                <w:color w:val="3E5588"/>
              </w:rPr>
              <w:t>(0.8)</w:t>
            </w:r>
          </w:p>
        </w:tc>
        <w:tc>
          <w:tcPr>
            <w:tcW w:w="500" w:type="dxa"/>
            <w:vAlign w:val="bottom"/>
            <w:gridSpan w:val="2"/>
          </w:tcPr>
          <w:p>
            <w:pPr>
              <w:jc w:val="right"/>
              <w:spacing w:after="0"/>
              <w:rPr>
                <w:sz w:val="20"/>
                <w:szCs w:val="20"/>
                <w:color w:val="auto"/>
              </w:rPr>
            </w:pPr>
            <w:r>
              <w:rPr>
                <w:rFonts w:ascii="Arial" w:cs="Arial" w:eastAsia="Arial" w:hAnsi="Arial"/>
                <w:sz w:val="18"/>
                <w:szCs w:val="18"/>
                <w:color w:val="3E5588"/>
              </w:rPr>
              <w:t>25</w:t>
            </w:r>
          </w:p>
        </w:tc>
        <w:tc>
          <w:tcPr>
            <w:tcW w:w="480" w:type="dxa"/>
            <w:vAlign w:val="bottom"/>
          </w:tcPr>
          <w:p>
            <w:pPr>
              <w:ind w:left="20"/>
              <w:spacing w:after="0"/>
              <w:rPr>
                <w:sz w:val="20"/>
                <w:szCs w:val="20"/>
                <w:color w:val="auto"/>
              </w:rPr>
            </w:pPr>
            <w:r>
              <w:rPr>
                <w:rFonts w:ascii="Arial" w:cs="Arial" w:eastAsia="Arial" w:hAnsi="Arial"/>
                <w:sz w:val="18"/>
                <w:szCs w:val="18"/>
                <w:color w:val="3E5588"/>
              </w:rPr>
              <w:t>(1.5)</w:t>
            </w:r>
          </w:p>
        </w:tc>
      </w:tr>
    </w:tbl>
    <w:p>
      <w:pPr>
        <w:spacing w:after="0" w:line="201"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3E5588"/>
        </w:rPr>
        <w:t>There were also ten fatal SAEs in the placebo group and 13 fatal SAEs in the losmapimod group. In the placebo group, the fatal SAEs were infections and infestations (two), general disorders and administrative site conditions (two), respiratory, thoracic and mediastinal disorders (three), cardiac disorder (one), gastrointestinal disorder (one) and neoplasm (one). In the losmapimod group, the fatal SAEs were infections and infestations (four), general disorders and administrative site conditions (three),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E5588"/>
        </w:rPr>
        <w:t>respiratory, thoracic and mediastinal disorders (two), cardiac disorder (one), injury poisoning and procedural complications (one), gastrointestinal disorder (one) and neoplasm (one).</w:t>
      </w:r>
    </w:p>
    <w:p>
      <w:pPr>
        <w:spacing w:after="0" w:line="186" w:lineRule="exact"/>
        <w:rPr>
          <w:sz w:val="20"/>
          <w:szCs w:val="20"/>
          <w:color w:val="auto"/>
        </w:rPr>
      </w:pPr>
    </w:p>
    <w:p>
      <w:pPr>
        <w:jc w:val="both"/>
        <w:ind w:firstLine="418"/>
        <w:spacing w:after="0" w:line="332" w:lineRule="auto"/>
        <w:rPr>
          <w:sz w:val="20"/>
          <w:szCs w:val="20"/>
          <w:color w:val="auto"/>
        </w:rPr>
      </w:pPr>
      <w:r>
        <w:rPr>
          <w:rFonts w:ascii="Arial" w:cs="Arial" w:eastAsia="Arial" w:hAnsi="Arial"/>
          <w:sz w:val="16"/>
          <w:szCs w:val="16"/>
          <w:color w:val="3E5588"/>
        </w:rPr>
        <w:t>The following table presents SAEs reported during treatment from a total of 11 Phase 1 and Phase 2 placebo-controlled clinical trials of losmapimod with repeat dosing for which GSK reported integrated data. The 11 trials presented include three of the 14 trials in which no SAEs were reported.</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3E5588"/>
        </w:rPr>
        <w:t>Safety data from 11 clinical trials of losmapimod conducted by GSK</w:t>
      </w:r>
    </w:p>
    <w:tbl>
      <w:tblPr>
        <w:tblLayout w:type="fixed"/>
        <w:tblInd w:w="1720" w:type="dxa"/>
        <w:tblCellMar>
          <w:top w:w="0" w:type="dxa"/>
          <w:left w:w="0" w:type="dxa"/>
          <w:bottom w:w="0" w:type="dxa"/>
          <w:right w:w="0" w:type="dxa"/>
        </w:tblCellMar>
      </w:tblPr>
      <w:tr>
        <w:trPr>
          <w:trHeight w:val="142"/>
        </w:trPr>
        <w:tc>
          <w:tcPr>
            <w:tcW w:w="6280" w:type="dxa"/>
            <w:vAlign w:val="bottom"/>
            <w:tcBorders>
              <w:top w:val="single" w:sz="8" w:color="3E5588"/>
            </w:tcBorders>
          </w:tcPr>
          <w:p>
            <w:pPr>
              <w:spacing w:after="0"/>
              <w:rPr>
                <w:sz w:val="12"/>
                <w:szCs w:val="12"/>
                <w:color w:val="auto"/>
              </w:rPr>
            </w:pPr>
          </w:p>
        </w:tc>
        <w:tc>
          <w:tcPr>
            <w:tcW w:w="720" w:type="dxa"/>
            <w:vAlign w:val="bottom"/>
            <w:tcBorders>
              <w:top w:val="single" w:sz="8" w:color="3E5588"/>
              <w:bottom w:val="single" w:sz="8" w:color="3E5588"/>
            </w:tcBorders>
          </w:tcPr>
          <w:p>
            <w:pPr>
              <w:jc w:val="center"/>
              <w:spacing w:after="0" w:line="142" w:lineRule="exact"/>
              <w:rPr>
                <w:sz w:val="20"/>
                <w:szCs w:val="20"/>
                <w:color w:val="auto"/>
              </w:rPr>
            </w:pPr>
            <w:r>
              <w:rPr>
                <w:rFonts w:ascii="Arial" w:cs="Arial" w:eastAsia="Arial" w:hAnsi="Arial"/>
                <w:sz w:val="14"/>
                <w:szCs w:val="14"/>
                <w:b w:val="1"/>
                <w:bCs w:val="1"/>
                <w:color w:val="3E5588"/>
                <w:w w:val="81"/>
              </w:rPr>
              <w:t>Placebo</w:t>
            </w:r>
          </w:p>
        </w:tc>
        <w:tc>
          <w:tcPr>
            <w:tcW w:w="160" w:type="dxa"/>
            <w:vAlign w:val="bottom"/>
            <w:tcBorders>
              <w:top w:val="single" w:sz="8" w:color="3E5588"/>
            </w:tcBorders>
          </w:tcPr>
          <w:p>
            <w:pPr>
              <w:spacing w:after="0"/>
              <w:rPr>
                <w:sz w:val="12"/>
                <w:szCs w:val="12"/>
                <w:color w:val="auto"/>
              </w:rPr>
            </w:pPr>
          </w:p>
        </w:tc>
        <w:tc>
          <w:tcPr>
            <w:tcW w:w="820" w:type="dxa"/>
            <w:vAlign w:val="bottom"/>
            <w:tcBorders>
              <w:top w:val="single" w:sz="8" w:color="3E5588"/>
              <w:bottom w:val="single" w:sz="8" w:color="3E5588"/>
            </w:tcBorders>
          </w:tcPr>
          <w:p>
            <w:pPr>
              <w:jc w:val="center"/>
              <w:spacing w:after="0" w:line="142" w:lineRule="exact"/>
              <w:rPr>
                <w:sz w:val="20"/>
                <w:szCs w:val="20"/>
                <w:color w:val="auto"/>
              </w:rPr>
            </w:pPr>
            <w:r>
              <w:rPr>
                <w:rFonts w:ascii="Arial" w:cs="Arial" w:eastAsia="Arial" w:hAnsi="Arial"/>
                <w:sz w:val="14"/>
                <w:szCs w:val="14"/>
                <w:b w:val="1"/>
                <w:bCs w:val="1"/>
                <w:color w:val="3E5588"/>
                <w:w w:val="87"/>
              </w:rPr>
              <w:t>Losmapimod</w:t>
            </w:r>
          </w:p>
        </w:tc>
      </w:tr>
      <w:tr>
        <w:trPr>
          <w:trHeight w:val="210"/>
        </w:trPr>
        <w:tc>
          <w:tcPr>
            <w:tcW w:w="628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8"/>
              </w:rPr>
              <w:t>N = 735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N = 1,327</w:t>
            </w:r>
          </w:p>
        </w:tc>
      </w:tr>
      <w:tr>
        <w:trPr>
          <w:trHeight w:val="216"/>
        </w:trPr>
        <w:tc>
          <w:tcPr>
            <w:tcW w:w="62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3E5588"/>
                <w:w w:val="92"/>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3E5588"/>
                <w:w w:val="92"/>
              </w:rPr>
              <w:t>n (%)</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3E5588"/>
              </w:rPr>
              <w:t>Any SAE</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3"/>
              </w:rPr>
              <w:t>47 (6)</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3E5588"/>
                <w:w w:val="87"/>
              </w:rPr>
              <w:t>120 (9)</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Cardiac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93"/>
              </w:rPr>
              <w:t>17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3E5588"/>
                <w:w w:val="89"/>
              </w:rPr>
              <w:t>41 (3)</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Respiratory, thoracic and mediastinal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4"/>
              </w:rPr>
              <w:t>11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3E5588"/>
                <w:w w:val="89"/>
              </w:rPr>
              <w:t>26 (2)</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Infections and infestations</w:t>
            </w:r>
          </w:p>
        </w:tc>
        <w:tc>
          <w:tcPr>
            <w:tcW w:w="720" w:type="dxa"/>
            <w:vAlign w:val="bottom"/>
          </w:tcPr>
          <w:p>
            <w:pPr>
              <w:jc w:val="center"/>
              <w:spacing w:after="0"/>
              <w:rPr>
                <w:sz w:val="20"/>
                <w:szCs w:val="20"/>
                <w:color w:val="auto"/>
              </w:rPr>
            </w:pPr>
            <w:r>
              <w:rPr>
                <w:rFonts w:ascii="Arial" w:cs="Arial" w:eastAsia="Arial" w:hAnsi="Arial"/>
                <w:sz w:val="18"/>
                <w:szCs w:val="18"/>
                <w:color w:val="3E5588"/>
                <w:w w:val="92"/>
              </w:rPr>
              <w:t>7 (&lt;1)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3E5588"/>
                <w:w w:val="89"/>
              </w:rPr>
              <w:t>14 (1)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General disorders and administrative site conditions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2"/>
              </w:rPr>
              <w:t>7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3E5588"/>
                <w:w w:val="90"/>
              </w:rPr>
              <w:t>13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Nervous system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92"/>
              </w:rPr>
              <w:t>5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3E5588"/>
                <w:w w:val="90"/>
              </w:rPr>
              <w:t>10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Injury, poisoning and procedural complications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3E5588"/>
                <w:w w:val="90"/>
              </w:rPr>
              <w:t>11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Gastrointestinal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92"/>
              </w:rPr>
              <w:t>1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3E5588"/>
                <w:w w:val="92"/>
              </w:rPr>
              <w:t>7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Vascular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3E5588"/>
                <w:w w:val="92"/>
              </w:rPr>
              <w:t>5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Renal and urinary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3E5588"/>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Musculoskeletal and connective tissue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2"/>
              </w:rPr>
              <w:t>2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3E5588"/>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Skin and subcutaneous tissue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3E5588"/>
                <w:w w:val="92"/>
              </w:rPr>
              <w:t>4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Hepatobiliary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3E5588"/>
                <w:w w:val="92"/>
              </w:rPr>
              <w:t>4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Psychiatric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92"/>
              </w:rPr>
              <w:t>2 (&lt;1)</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3E5588"/>
                <w:w w:val="92"/>
              </w:rPr>
              <w:t>3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Neoplasms (benign, malignant and unspecified)</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2"/>
              </w:rPr>
              <w:t>1 (&lt;1)</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3E5588"/>
                <w:w w:val="92"/>
              </w:rPr>
              <w:t>3 (&lt;1)</w:t>
            </w: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3E5588"/>
              </w:rPr>
              <w:t>Blood and lymphatic system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3E5588"/>
                <w:w w:val="92"/>
              </w:rPr>
              <w:t>1 (&lt;1)</w:t>
            </w: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Immune system disorders</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79"/>
              </w:rPr>
              <w:t>0</w:t>
            </w:r>
          </w:p>
        </w:tc>
        <w:tc>
          <w:tcPr>
            <w:tcW w:w="98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3E5588"/>
                <w:w w:val="92"/>
              </w:rPr>
              <w:t>1 (&lt;1)</w:t>
            </w:r>
          </w:p>
        </w:tc>
      </w:tr>
      <w:tr>
        <w:trPr>
          <w:trHeight w:val="222"/>
        </w:trPr>
        <w:tc>
          <w:tcPr>
            <w:tcW w:w="6280" w:type="dxa"/>
            <w:vAlign w:val="bottom"/>
          </w:tcPr>
          <w:p>
            <w:pPr>
              <w:ind w:left="180"/>
              <w:spacing w:after="0"/>
              <w:rPr>
                <w:sz w:val="20"/>
                <w:szCs w:val="20"/>
                <w:color w:val="auto"/>
              </w:rPr>
            </w:pPr>
            <w:r>
              <w:rPr>
                <w:rFonts w:ascii="Arial" w:cs="Arial" w:eastAsia="Arial" w:hAnsi="Arial"/>
                <w:sz w:val="18"/>
                <w:szCs w:val="18"/>
                <w:color w:val="3E5588"/>
              </w:rPr>
              <w:t>Metabolism and nutrition disorders</w:t>
            </w:r>
          </w:p>
        </w:tc>
        <w:tc>
          <w:tcPr>
            <w:tcW w:w="720" w:type="dxa"/>
            <w:vAlign w:val="bottom"/>
          </w:tcPr>
          <w:p>
            <w:pPr>
              <w:jc w:val="center"/>
              <w:spacing w:after="0"/>
              <w:rPr>
                <w:sz w:val="20"/>
                <w:szCs w:val="20"/>
                <w:color w:val="auto"/>
              </w:rPr>
            </w:pPr>
            <w:r>
              <w:rPr>
                <w:rFonts w:ascii="Arial" w:cs="Arial" w:eastAsia="Arial" w:hAnsi="Arial"/>
                <w:sz w:val="18"/>
                <w:szCs w:val="18"/>
                <w:color w:val="3E5588"/>
                <w:w w:val="79"/>
              </w:rPr>
              <w:t>0</w:t>
            </w:r>
          </w:p>
        </w:tc>
        <w:tc>
          <w:tcPr>
            <w:tcW w:w="980" w:type="dxa"/>
            <w:vAlign w:val="bottom"/>
            <w:gridSpan w:val="2"/>
          </w:tcPr>
          <w:p>
            <w:pPr>
              <w:jc w:val="center"/>
              <w:ind w:left="92"/>
              <w:spacing w:after="0"/>
              <w:rPr>
                <w:sz w:val="20"/>
                <w:szCs w:val="20"/>
                <w:color w:val="auto"/>
              </w:rPr>
            </w:pPr>
            <w:r>
              <w:rPr>
                <w:rFonts w:ascii="Arial" w:cs="Arial" w:eastAsia="Arial" w:hAnsi="Arial"/>
                <w:sz w:val="18"/>
                <w:szCs w:val="18"/>
                <w:color w:val="3E5588"/>
                <w:w w:val="92"/>
              </w:rPr>
              <w:t>1 (&lt;1)</w:t>
            </w:r>
          </w:p>
        </w:tc>
      </w:tr>
    </w:tbl>
    <w:p>
      <w:pPr>
        <w:spacing w:after="0" w:line="20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3E5588"/>
        </w:rPr>
        <w:t>This table includes safety data from the second largest clinical trial of losmapimod, which was a placebo-controlled Phase 2 clinical trial of losmapimod in patients with COPD, in which 602 adult patients were given 2.5 mg, 7.5 mg or 15 mg of losmapimod or placebo twice per day for 24 weeks and were followed for an additional week. In this trial, GSK observed a similar proportion of AEs in the placebo group as compared to the losmapimod group. Additionally, in this trial there were three fatal SAEs in the placebo group due to severe exacerbation of COPD, acute myocardial infarction and pulmonary embolism, one fatal SAE in the losmapimod 7.5 mg group due to acute myocardial infarction and associated pulmonary edema and two fatal SAEs in the 15 mg group due to respiratory failure and bilateral purulent pleuritis and mediastinitis. The most common SAE observed in the trial was exacerbation of COPD, which was experienced by eight subjects in the placebo group, six subjects in the losmapimod 2.5 mg group, two subjects in the losmapimod 7.5 mg group and three subjects in the losmapimod 15 mg group. Other SAEs in the placebo group included a liver event, eczema, leukoplakia, sinobronchitis and anxiety. Other SAEs in the losmapimod groups included two subjects with liver events, one subject with eczema and leukoplakia, one subject with pyrexia and one subject with pemphigoid.</w:t>
      </w:r>
    </w:p>
    <w:p>
      <w:pPr>
        <w:spacing w:after="0" w:line="174" w:lineRule="exact"/>
        <w:rPr>
          <w:sz w:val="20"/>
          <w:szCs w:val="20"/>
          <w:color w:val="auto"/>
        </w:rPr>
      </w:pPr>
    </w:p>
    <w:p>
      <w:pPr>
        <w:jc w:val="both"/>
        <w:ind w:firstLine="525"/>
        <w:spacing w:after="0" w:line="259" w:lineRule="auto"/>
        <w:rPr>
          <w:sz w:val="20"/>
          <w:szCs w:val="20"/>
          <w:color w:val="auto"/>
        </w:rPr>
      </w:pPr>
      <w:r>
        <w:rPr>
          <w:rFonts w:ascii="Arial" w:cs="Arial" w:eastAsia="Arial" w:hAnsi="Arial"/>
          <w:sz w:val="18"/>
          <w:szCs w:val="18"/>
          <w:color w:val="3E5588"/>
        </w:rPr>
        <w:t>In addition to the trials and data summarized above, GSK also conducted a placebo-controlled Phase 2 clinical trial in which 184 adult patients with frequently exacerbating COPD were given 15 mg of losmapimod or placebo twice per day for up to 52 weeks. In this trial, the proportion of subjects with AEs and SAEs was higher in the losmapimod group than in the placebo group; there was one fatal SAE in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E5588"/>
        </w:rPr>
        <w:t>placebo group and three fatal SAEs in the losmapimod group, none of which was considered related to losmapimod. The data in the table below presents the SAEs reported in the trial.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3E5588"/>
        </w:rPr>
        <w:t>Safety data from GSK's Phase 2 clinical trial of losmapimod in patients with COPD</w:t>
      </w:r>
    </w:p>
    <w:tbl>
      <w:tblPr>
        <w:tblLayout w:type="fixed"/>
        <w:tblInd w:w="1720" w:type="dxa"/>
        <w:tblCellMar>
          <w:top w:w="0" w:type="dxa"/>
          <w:left w:w="0" w:type="dxa"/>
          <w:bottom w:w="0" w:type="dxa"/>
          <w:right w:w="0" w:type="dxa"/>
        </w:tblCellMar>
      </w:tblPr>
      <w:tr>
        <w:trPr>
          <w:trHeight w:val="142"/>
        </w:trPr>
        <w:tc>
          <w:tcPr>
            <w:tcW w:w="6380" w:type="dxa"/>
            <w:vAlign w:val="bottom"/>
            <w:tcBorders>
              <w:top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center"/>
              <w:spacing w:after="0" w:line="142" w:lineRule="exact"/>
              <w:rPr>
                <w:sz w:val="20"/>
                <w:szCs w:val="20"/>
                <w:color w:val="auto"/>
              </w:rPr>
            </w:pPr>
            <w:r>
              <w:rPr>
                <w:rFonts w:ascii="Arial" w:cs="Arial" w:eastAsia="Arial" w:hAnsi="Arial"/>
                <w:sz w:val="14"/>
                <w:szCs w:val="14"/>
                <w:b w:val="1"/>
                <w:bCs w:val="1"/>
                <w:color w:val="3E5588"/>
                <w:w w:val="85"/>
              </w:rPr>
              <w:t>Placebo</w:t>
            </w:r>
          </w:p>
        </w:tc>
        <w:tc>
          <w:tcPr>
            <w:tcW w:w="160" w:type="dxa"/>
            <w:vAlign w:val="bottom"/>
            <w:tcBorders>
              <w:top w:val="single" w:sz="8" w:color="3E5588"/>
            </w:tcBorders>
          </w:tcPr>
          <w:p>
            <w:pPr>
              <w:spacing w:after="0"/>
              <w:rPr>
                <w:sz w:val="12"/>
                <w:szCs w:val="12"/>
                <w:color w:val="auto"/>
              </w:rPr>
            </w:pPr>
          </w:p>
        </w:tc>
        <w:tc>
          <w:tcPr>
            <w:tcW w:w="820" w:type="dxa"/>
            <w:vAlign w:val="bottom"/>
            <w:tcBorders>
              <w:top w:val="single" w:sz="8" w:color="3E5588"/>
              <w:bottom w:val="single" w:sz="8" w:color="3E5588"/>
            </w:tcBorders>
          </w:tcPr>
          <w:p>
            <w:pPr>
              <w:jc w:val="center"/>
              <w:spacing w:after="0" w:line="142" w:lineRule="exact"/>
              <w:rPr>
                <w:sz w:val="20"/>
                <w:szCs w:val="20"/>
                <w:color w:val="auto"/>
              </w:rPr>
            </w:pPr>
            <w:r>
              <w:rPr>
                <w:rFonts w:ascii="Arial" w:cs="Arial" w:eastAsia="Arial" w:hAnsi="Arial"/>
                <w:sz w:val="14"/>
                <w:szCs w:val="14"/>
                <w:b w:val="1"/>
                <w:bCs w:val="1"/>
                <w:color w:val="3E5588"/>
                <w:w w:val="87"/>
              </w:rPr>
              <w:t>Losmapimod</w:t>
            </w:r>
          </w:p>
        </w:tc>
      </w:tr>
      <w:tr>
        <w:trPr>
          <w:trHeight w:val="210"/>
        </w:trPr>
        <w:tc>
          <w:tcPr>
            <w:tcW w:w="638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3"/>
              </w:rPr>
              <w:t>N = 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3"/>
              </w:rPr>
              <w:t>N = 90</w:t>
            </w:r>
          </w:p>
        </w:tc>
      </w:tr>
      <w:tr>
        <w:trPr>
          <w:trHeight w:val="216"/>
        </w:trPr>
        <w:tc>
          <w:tcPr>
            <w:tcW w:w="638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3E5588"/>
                <w:w w:val="88"/>
              </w:rPr>
              <w:t>n (%)</w:t>
            </w:r>
          </w:p>
        </w:tc>
        <w:tc>
          <w:tcPr>
            <w:tcW w:w="1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3E5588"/>
                <w:w w:val="92"/>
              </w:rPr>
              <w:t>n (%)</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3E5588"/>
              </w:rPr>
              <w:t>Any SAE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0"/>
              </w:rPr>
              <w:t>8 (9%)</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3E5588"/>
                <w:w w:val="90"/>
              </w:rPr>
              <w:t>18 (20%)</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3E5588"/>
              </w:rPr>
              <w:t>Respiratory, thoracic and mediastinal disorders</w:t>
            </w:r>
          </w:p>
        </w:tc>
        <w:tc>
          <w:tcPr>
            <w:tcW w:w="620" w:type="dxa"/>
            <w:vAlign w:val="bottom"/>
          </w:tcPr>
          <w:p>
            <w:pPr>
              <w:jc w:val="center"/>
              <w:spacing w:after="0"/>
              <w:rPr>
                <w:sz w:val="20"/>
                <w:szCs w:val="20"/>
                <w:color w:val="auto"/>
              </w:rPr>
            </w:pPr>
            <w:r>
              <w:rPr>
                <w:rFonts w:ascii="Arial" w:cs="Arial" w:eastAsia="Arial" w:hAnsi="Arial"/>
                <w:sz w:val="18"/>
                <w:szCs w:val="18"/>
                <w:color w:val="3E5588"/>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3E5588"/>
                <w:w w:val="91"/>
              </w:rPr>
              <w:t>7 (8)</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Cardiac disorders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1"/>
              </w:rPr>
              <w:t>3 (3)</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3E5588"/>
                <w:w w:val="91"/>
              </w:rPr>
              <w:t>4 (4)</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3E5588"/>
              </w:rPr>
              <w:t>Infections and infestations</w:t>
            </w:r>
          </w:p>
        </w:tc>
        <w:tc>
          <w:tcPr>
            <w:tcW w:w="620" w:type="dxa"/>
            <w:vAlign w:val="bottom"/>
          </w:tcPr>
          <w:p>
            <w:pPr>
              <w:jc w:val="center"/>
              <w:spacing w:after="0"/>
              <w:rPr>
                <w:sz w:val="20"/>
                <w:szCs w:val="20"/>
                <w:color w:val="auto"/>
              </w:rPr>
            </w:pPr>
            <w:r>
              <w:rPr>
                <w:rFonts w:ascii="Arial" w:cs="Arial" w:eastAsia="Arial" w:hAnsi="Arial"/>
                <w:sz w:val="18"/>
                <w:szCs w:val="18"/>
                <w:color w:val="3E5588"/>
                <w:w w:val="91"/>
              </w:rPr>
              <w:t>1 (1)</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3E5588"/>
                <w:w w:val="91"/>
              </w:rPr>
              <w:t>6 (7)</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Injury, poisoning and procedural complications</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1"/>
              </w:rPr>
              <w:t>1 (1)</w:t>
            </w:r>
          </w:p>
        </w:tc>
        <w:tc>
          <w:tcPr>
            <w:tcW w:w="9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3E5588"/>
                <w:w w:val="91"/>
              </w:rPr>
              <w:t>2 (2)</w:t>
            </w:r>
          </w:p>
        </w:tc>
      </w:tr>
      <w:tr>
        <w:trPr>
          <w:trHeight w:val="222"/>
        </w:trPr>
        <w:tc>
          <w:tcPr>
            <w:tcW w:w="6380" w:type="dxa"/>
            <w:vAlign w:val="bottom"/>
          </w:tcPr>
          <w:p>
            <w:pPr>
              <w:ind w:left="180"/>
              <w:spacing w:after="0"/>
              <w:rPr>
                <w:sz w:val="20"/>
                <w:szCs w:val="20"/>
                <w:color w:val="auto"/>
              </w:rPr>
            </w:pPr>
            <w:r>
              <w:rPr>
                <w:rFonts w:ascii="Arial" w:cs="Arial" w:eastAsia="Arial" w:hAnsi="Arial"/>
                <w:sz w:val="18"/>
                <w:szCs w:val="18"/>
                <w:color w:val="3E5588"/>
              </w:rPr>
              <w:t>Neoplasms (benign, malignant and unspecified)</w:t>
            </w:r>
          </w:p>
        </w:tc>
        <w:tc>
          <w:tcPr>
            <w:tcW w:w="620" w:type="dxa"/>
            <w:vAlign w:val="bottom"/>
          </w:tcPr>
          <w:p>
            <w:pPr>
              <w:jc w:val="center"/>
              <w:spacing w:after="0"/>
              <w:rPr>
                <w:sz w:val="20"/>
                <w:szCs w:val="20"/>
                <w:color w:val="auto"/>
              </w:rPr>
            </w:pPr>
            <w:r>
              <w:rPr>
                <w:rFonts w:ascii="Arial" w:cs="Arial" w:eastAsia="Arial" w:hAnsi="Arial"/>
                <w:sz w:val="18"/>
                <w:szCs w:val="18"/>
                <w:color w:val="3E5588"/>
                <w:w w:val="91"/>
              </w:rPr>
              <w:t>2 (2)</w:t>
            </w:r>
          </w:p>
        </w:tc>
        <w:tc>
          <w:tcPr>
            <w:tcW w:w="980" w:type="dxa"/>
            <w:vAlign w:val="bottom"/>
            <w:gridSpan w:val="2"/>
          </w:tcPr>
          <w:p>
            <w:pPr>
              <w:jc w:val="center"/>
              <w:ind w:left="72"/>
              <w:spacing w:after="0"/>
              <w:rPr>
                <w:sz w:val="20"/>
                <w:szCs w:val="20"/>
                <w:color w:val="auto"/>
              </w:rPr>
            </w:pPr>
            <w:r>
              <w:rPr>
                <w:rFonts w:ascii="Arial" w:cs="Arial" w:eastAsia="Arial" w:hAnsi="Arial"/>
                <w:sz w:val="18"/>
                <w:szCs w:val="18"/>
                <w:color w:val="3E5588"/>
                <w:w w:val="91"/>
              </w:rPr>
              <w:t>1 (1)</w:t>
            </w:r>
          </w:p>
        </w:tc>
      </w:tr>
    </w:tbl>
    <w:p>
      <w:pPr>
        <w:spacing w:after="0" w:line="201" w:lineRule="exact"/>
        <w:rPr>
          <w:sz w:val="20"/>
          <w:szCs w:val="20"/>
          <w:color w:val="auto"/>
        </w:rPr>
      </w:pPr>
    </w:p>
    <w:p>
      <w:pPr>
        <w:jc w:val="both"/>
        <w:ind w:firstLine="442"/>
        <w:spacing w:after="0" w:line="256" w:lineRule="auto"/>
        <w:rPr>
          <w:sz w:val="20"/>
          <w:szCs w:val="20"/>
          <w:color w:val="auto"/>
        </w:rPr>
      </w:pPr>
      <w:r>
        <w:rPr>
          <w:rFonts w:ascii="Arial" w:cs="Arial" w:eastAsia="Arial" w:hAnsi="Arial"/>
          <w:sz w:val="18"/>
          <w:szCs w:val="18"/>
          <w:color w:val="3E5588"/>
        </w:rPr>
        <w:t>In addition to the 24 trials conducted by GSK, another sponsor conducted a placebo-controlled Phase 2 clinical trial of losmapimod in which 73 subjects with COPD with cardiovascular manifestations were given 7.5 mg of losmapimod or placebo for 16 weeks. There were 36 subjects in the losmapimod group and 37 in the placebo group. In this trial, there were a total of six (17%) SAEs in the losmapimod group, consisting of exacerbations of COPD and pneumonia, and there was one (3%) SAE in the placebo group.</w:t>
      </w:r>
    </w:p>
    <w:p>
      <w:pPr>
        <w:spacing w:after="0" w:line="197" w:lineRule="exact"/>
        <w:rPr>
          <w:sz w:val="20"/>
          <w:szCs w:val="20"/>
          <w:color w:val="auto"/>
        </w:rPr>
      </w:pPr>
    </w:p>
    <w:p>
      <w:pPr>
        <w:jc w:val="both"/>
        <w:ind w:firstLine="366"/>
        <w:spacing w:after="0" w:line="294" w:lineRule="auto"/>
        <w:rPr>
          <w:sz w:val="20"/>
          <w:szCs w:val="20"/>
          <w:color w:val="auto"/>
        </w:rPr>
      </w:pPr>
      <w:r>
        <w:rPr>
          <w:rFonts w:ascii="Arial" w:cs="Arial" w:eastAsia="Arial" w:hAnsi="Arial"/>
          <w:sz w:val="16"/>
          <w:szCs w:val="16"/>
          <w:color w:val="3E5588"/>
        </w:rPr>
        <w:t xml:space="preserve">In prior studies, GSK observed that the p38a/b target inhibition in humans was approximately 10%, 30% and 50% at trough and 40%, 60% and 70% at peak following twice per day doses of 2.5 mg, 7.5 mg and 15 mg, respectively. In addition, based on </w:t>
      </w:r>
      <w:r>
        <w:rPr>
          <w:rFonts w:ascii="Arial" w:cs="Arial" w:eastAsia="Arial" w:hAnsi="Arial"/>
          <w:sz w:val="16"/>
          <w:szCs w:val="16"/>
          <w:i w:val="1"/>
          <w:iCs w:val="1"/>
          <w:color w:val="3E5588"/>
        </w:rPr>
        <w:t>in vitro</w:t>
      </w:r>
      <w:r>
        <w:rPr>
          <w:rFonts w:ascii="Arial" w:cs="Arial" w:eastAsia="Arial" w:hAnsi="Arial"/>
          <w:sz w:val="16"/>
          <w:szCs w:val="16"/>
          <w:color w:val="3E5588"/>
        </w:rPr>
        <w:t xml:space="preserve"> data from our studies in FSHD myotubes with losmapimod, we believe that the muscle exposures that we have achieved in rodents, which are similar to concentrations in human blood from the 15 mg twice per day dose, will result in robust p38a/b target engagement and will reduce DUX4-driven gene expression in FSHD skeletal muscle by more than 50%. We believe that this data supports our determination that 15 mg of losmapimod twice per day is an appropriate dose for the treatment of patients with FSHD.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8920"/>
        <w:spacing w:after="0"/>
        <w:rPr>
          <w:sz w:val="20"/>
          <w:szCs w:val="20"/>
          <w:color w:val="auto"/>
        </w:rPr>
      </w:pPr>
      <w:r>
        <w:rPr>
          <w:rFonts w:ascii="Arial" w:cs="Arial" w:eastAsia="Arial" w:hAnsi="Arial"/>
          <w:sz w:val="16"/>
          <w:szCs w:val="16"/>
          <w:i w:val="1"/>
          <w:iCs w:val="1"/>
          <w:color w:val="3E5588"/>
        </w:rPr>
        <w:t>Our Clinical Development Strategy</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Preparatory Studies</w:t>
      </w:r>
    </w:p>
    <w:p>
      <w:pPr>
        <w:spacing w:after="0" w:line="225" w:lineRule="exact"/>
        <w:rPr>
          <w:sz w:val="20"/>
          <w:szCs w:val="20"/>
          <w:color w:val="auto"/>
        </w:rPr>
      </w:pPr>
    </w:p>
    <w:p>
      <w:pPr>
        <w:jc w:val="both"/>
        <w:ind w:firstLine="502"/>
        <w:spacing w:after="0" w:line="268" w:lineRule="auto"/>
        <w:rPr>
          <w:sz w:val="20"/>
          <w:szCs w:val="20"/>
          <w:color w:val="auto"/>
        </w:rPr>
      </w:pPr>
      <w:r>
        <w:rPr>
          <w:rFonts w:ascii="Arial" w:cs="Arial" w:eastAsia="Arial" w:hAnsi="Arial"/>
          <w:sz w:val="18"/>
          <w:szCs w:val="18"/>
          <w:color w:val="3E5588"/>
        </w:rPr>
        <w:t>There are currently four ongoing preparatory studies designed to inform molecular biomarker and clinical development efficacy endpoints for planned clinical trials of losmapimod in patients with FSHD.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3E5588"/>
                <w:w w:val="85"/>
              </w:rPr>
              <w:t>Subjects</w:t>
            </w:r>
          </w:p>
        </w:tc>
        <w:tc>
          <w:tcPr>
            <w:tcW w:w="1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3E5588"/>
              </w:rPr>
              <w:t>Study</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3E5588"/>
                <w:w w:val="90"/>
              </w:rPr>
              <w:t>(Planned)</w:t>
            </w:r>
          </w:p>
        </w:tc>
        <w:tc>
          <w:tcPr>
            <w:tcW w:w="160" w:type="dxa"/>
            <w:vAlign w:val="bottom"/>
          </w:tcPr>
          <w:p>
            <w:pPr>
              <w:spacing w:after="0"/>
              <w:rPr>
                <w:sz w:val="14"/>
                <w:szCs w:val="14"/>
                <w:color w:val="auto"/>
              </w:rPr>
            </w:pPr>
          </w:p>
        </w:tc>
        <w:tc>
          <w:tcPr>
            <w:tcW w:w="3920" w:type="dxa"/>
            <w:vAlign w:val="bottom"/>
          </w:tcPr>
          <w:p>
            <w:pPr>
              <w:ind w:left="1280"/>
              <w:spacing w:after="0"/>
              <w:rPr>
                <w:sz w:val="20"/>
                <w:szCs w:val="20"/>
                <w:color w:val="auto"/>
              </w:rPr>
            </w:pPr>
            <w:r>
              <w:rPr>
                <w:rFonts w:ascii="Arial" w:cs="Arial" w:eastAsia="Arial" w:hAnsi="Arial"/>
                <w:sz w:val="14"/>
                <w:szCs w:val="14"/>
                <w:b w:val="1"/>
                <w:bCs w:val="1"/>
                <w:color w:val="3E5588"/>
              </w:rPr>
              <w:t>Description / Endpoints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3E5588"/>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920" w:type="dxa"/>
            <w:vAlign w:val="bottom"/>
            <w:shd w:val="clear" w:color="auto" w:fill="3E55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3E5588"/>
              </w:rPr>
              <w:t>Biomarker Preparatory Study (Fulcrum SRA 002-2018)</w:t>
            </w:r>
          </w:p>
        </w:tc>
        <w:tc>
          <w:tcPr>
            <w:tcW w:w="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3E5588"/>
                <w:w w:val="89"/>
              </w:rPr>
              <w:t>18</w:t>
            </w:r>
          </w:p>
        </w:tc>
        <w:tc>
          <w:tcPr>
            <w:tcW w:w="408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3E5588"/>
                <w:w w:val="92"/>
              </w:rPr>
              <w:t>DUX4-driven gene expression in skeletal muscle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E5588"/>
              </w:rPr>
              <w:t>whole-body skeletal muscle MRI</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3E5588"/>
              </w:rPr>
              <w:t>Optimized Time Up and Go Test Preparatory Study</w:t>
            </w:r>
          </w:p>
        </w:tc>
        <w:tc>
          <w:tcPr>
            <w:tcW w:w="640" w:type="dxa"/>
            <w:vAlign w:val="bottom"/>
          </w:tcPr>
          <w:p>
            <w:pPr>
              <w:jc w:val="center"/>
              <w:spacing w:after="0"/>
              <w:rPr>
                <w:sz w:val="20"/>
                <w:szCs w:val="20"/>
                <w:color w:val="auto"/>
              </w:rPr>
            </w:pPr>
            <w:r>
              <w:rPr>
                <w:rFonts w:ascii="Arial" w:cs="Arial" w:eastAsia="Arial" w:hAnsi="Arial"/>
                <w:sz w:val="18"/>
                <w:szCs w:val="18"/>
                <w:color w:val="3E5588"/>
                <w:w w:val="89"/>
              </w:rPr>
              <w:t>22</w:t>
            </w:r>
          </w:p>
        </w:tc>
        <w:tc>
          <w:tcPr>
            <w:tcW w:w="4080" w:type="dxa"/>
            <w:vAlign w:val="bottom"/>
            <w:gridSpan w:val="2"/>
          </w:tcPr>
          <w:p>
            <w:pPr>
              <w:ind w:left="140"/>
              <w:spacing w:after="0"/>
              <w:rPr>
                <w:sz w:val="20"/>
                <w:szCs w:val="20"/>
                <w:color w:val="auto"/>
              </w:rPr>
            </w:pPr>
            <w:r>
              <w:rPr>
                <w:rFonts w:ascii="Arial" w:cs="Arial" w:eastAsia="Arial" w:hAnsi="Arial"/>
                <w:sz w:val="18"/>
                <w:szCs w:val="18"/>
                <w:color w:val="3E5588"/>
                <w:w w:val="96"/>
              </w:rPr>
              <w:t>Optimized time up and go test for FSHD, or FSHD-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3E5588"/>
              </w:rPr>
              <w:t>(Fulcrum SRA 003-2018)</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3E5588"/>
              </w:rPr>
              <w:t>TUG</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Direct Patient Input (Fulcrum SRA 004-2018)</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6"/>
              </w:rPr>
              <w:t>100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E5588"/>
              </w:rPr>
              <w:t>Direct patient input into the Phase 2b clinical trial</w:t>
            </w:r>
          </w:p>
        </w:tc>
        <w:tc>
          <w:tcPr>
            <w:tcW w:w="0" w:type="dxa"/>
            <w:vAlign w:val="bottom"/>
          </w:tcPr>
          <w:p>
            <w:pPr>
              <w:spacing w:after="0"/>
              <w:rPr>
                <w:sz w:val="1"/>
                <w:szCs w:val="1"/>
                <w:color w:val="auto"/>
              </w:rPr>
            </w:pPr>
          </w:p>
        </w:tc>
      </w:tr>
      <w:tr>
        <w:trPr>
          <w:trHeight w:val="424"/>
        </w:trPr>
        <w:tc>
          <w:tcPr>
            <w:tcW w:w="4420" w:type="dxa"/>
            <w:vAlign w:val="bottom"/>
            <w:gridSpan w:val="3"/>
          </w:tcPr>
          <w:p>
            <w:pPr>
              <w:spacing w:after="0"/>
              <w:rPr>
                <w:sz w:val="20"/>
                <w:szCs w:val="20"/>
                <w:color w:val="auto"/>
              </w:rPr>
            </w:pPr>
            <w:r>
              <w:rPr>
                <w:rFonts w:ascii="Arial" w:cs="Arial" w:eastAsia="Arial" w:hAnsi="Arial"/>
                <w:sz w:val="18"/>
                <w:szCs w:val="18"/>
                <w:color w:val="3E5588"/>
              </w:rPr>
              <w:t>ReSOLVE Natural History Study (NIH) and Reachable</w:t>
            </w:r>
          </w:p>
        </w:tc>
        <w:tc>
          <w:tcPr>
            <w:tcW w:w="640" w:type="dxa"/>
            <w:vAlign w:val="bottom"/>
          </w:tcPr>
          <w:p>
            <w:pPr>
              <w:jc w:val="center"/>
              <w:spacing w:after="0"/>
              <w:rPr>
                <w:sz w:val="20"/>
                <w:szCs w:val="20"/>
                <w:color w:val="auto"/>
              </w:rPr>
            </w:pPr>
            <w:r>
              <w:rPr>
                <w:rFonts w:ascii="Arial" w:cs="Arial" w:eastAsia="Arial" w:hAnsi="Arial"/>
                <w:sz w:val="18"/>
                <w:szCs w:val="18"/>
                <w:color w:val="3E5588"/>
                <w:w w:val="86"/>
              </w:rPr>
              <w:t>150</w:t>
            </w:r>
          </w:p>
        </w:tc>
        <w:tc>
          <w:tcPr>
            <w:tcW w:w="4080" w:type="dxa"/>
            <w:vAlign w:val="bottom"/>
            <w:gridSpan w:val="2"/>
          </w:tcPr>
          <w:p>
            <w:pPr>
              <w:ind w:left="140"/>
              <w:spacing w:after="0"/>
              <w:rPr>
                <w:sz w:val="20"/>
                <w:szCs w:val="20"/>
                <w:color w:val="auto"/>
              </w:rPr>
            </w:pPr>
            <w:r>
              <w:rPr>
                <w:rFonts w:ascii="Arial" w:cs="Arial" w:eastAsia="Arial" w:hAnsi="Arial"/>
                <w:sz w:val="18"/>
                <w:szCs w:val="18"/>
                <w:color w:val="3E5588"/>
              </w:rPr>
              <w:t>Natural history study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3E5588"/>
              </w:rPr>
              <w:t>Work Space (Fulcrum SRA 003-2017)</w:t>
            </w:r>
          </w:p>
        </w:tc>
        <w:tc>
          <w:tcPr>
            <w:tcW w:w="640" w:type="dxa"/>
            <w:vAlign w:val="bottom"/>
          </w:tcPr>
          <w:p>
            <w:pPr>
              <w:spacing w:after="0"/>
              <w:rPr>
                <w:sz w:val="19"/>
                <w:szCs w:val="19"/>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color w:val="3E5588"/>
              </w:rPr>
              <w:t>Reachable work space</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EU Natural History Study and Reachable Work Space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70</w:t>
            </w: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E5588"/>
              </w:rPr>
              <w:t>Natural history study</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(SRA 003-2017)</w:t>
            </w:r>
          </w:p>
        </w:tc>
        <w:tc>
          <w:tcPr>
            <w:tcW w:w="64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3E5588"/>
              </w:rPr>
              <w:t>Reachable work space</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Biomarker Preparatory Study (Fulcrum SRA 002-2018)</w:t>
      </w:r>
    </w:p>
    <w:p>
      <w:pPr>
        <w:spacing w:after="0" w:line="225" w:lineRule="exact"/>
        <w:rPr>
          <w:sz w:val="20"/>
          <w:szCs w:val="20"/>
          <w:color w:val="auto"/>
        </w:rPr>
      </w:pPr>
    </w:p>
    <w:p>
      <w:pPr>
        <w:jc w:val="both"/>
        <w:ind w:firstLine="437"/>
        <w:spacing w:after="0" w:line="259" w:lineRule="auto"/>
        <w:rPr>
          <w:sz w:val="20"/>
          <w:szCs w:val="20"/>
          <w:color w:val="auto"/>
        </w:rPr>
      </w:pPr>
      <w:r>
        <w:rPr>
          <w:rFonts w:ascii="Arial" w:cs="Arial" w:eastAsia="Arial" w:hAnsi="Arial"/>
          <w:sz w:val="18"/>
          <w:szCs w:val="18"/>
          <w:color w:val="3E5588"/>
        </w:rPr>
        <w:t>We designed this preparatory study to investigate, inform and optimize the DUX4-driven gene expression and MRI efficacy biomarker endpoints that we intend to use in clinical trials of losmapimod. We are evaluating 18 subjects at seven clinical sites. We completed enrollment in May 2019 and will use the data to inform our planned Phase 2 trials of losmapimod for the treatment of FSHD.</w:t>
      </w:r>
    </w:p>
    <w:p>
      <w:pPr>
        <w:spacing w:after="0" w:line="194" w:lineRule="exact"/>
        <w:rPr>
          <w:sz w:val="20"/>
          <w:szCs w:val="20"/>
          <w:color w:val="auto"/>
        </w:rPr>
      </w:pPr>
    </w:p>
    <w:p>
      <w:pPr>
        <w:jc w:val="both"/>
        <w:ind w:firstLine="537"/>
        <w:spacing w:after="0" w:line="255" w:lineRule="auto"/>
        <w:rPr>
          <w:sz w:val="20"/>
          <w:szCs w:val="20"/>
          <w:color w:val="auto"/>
        </w:rPr>
      </w:pPr>
      <w:r>
        <w:rPr>
          <w:rFonts w:ascii="Arial" w:cs="Arial" w:eastAsia="Arial" w:hAnsi="Arial"/>
          <w:sz w:val="18"/>
          <w:szCs w:val="18"/>
          <w:color w:val="3E5588"/>
        </w:rPr>
        <w:t>This preparatory study is designed to measure aberrant DUX4-driven gene expression in affected skeletal muscle via a subset of DUX4-driven gene transcripts in order to develop a molecular muscle endpoint designed to track the root cause of disease. We are using MRI to inform affected leg muscles selected for biopsy. We believe that the measurement could be a primary endpoint in a clinical trial to support accelerated approval of losmapimod for FSHD. We are also using whole-body MRI scans one to three months apart to evaluate changes in skeletal muscle health (lean muscle tissue volume and muscle tissue replaced by fat).</w:t>
      </w:r>
    </w:p>
    <w:p>
      <w:pPr>
        <w:spacing w:after="0" w:line="197" w:lineRule="exact"/>
        <w:rPr>
          <w:sz w:val="20"/>
          <w:szCs w:val="20"/>
          <w:color w:val="auto"/>
        </w:rPr>
      </w:pPr>
    </w:p>
    <w:p>
      <w:pPr>
        <w:jc w:val="both"/>
        <w:ind w:right="20" w:firstLine="367"/>
        <w:spacing w:after="0" w:line="332" w:lineRule="auto"/>
        <w:rPr>
          <w:sz w:val="20"/>
          <w:szCs w:val="20"/>
          <w:color w:val="auto"/>
        </w:rPr>
      </w:pPr>
      <w:r>
        <w:rPr>
          <w:rFonts w:ascii="Arial" w:cs="Arial" w:eastAsia="Arial" w:hAnsi="Arial"/>
          <w:sz w:val="16"/>
          <w:szCs w:val="16"/>
          <w:color w:val="3E5588"/>
        </w:rPr>
        <w:t>The subjects have clinical severity scores of two to four on the Ricci scale, which is the clinical impairment disability scale for patients with FSHD, where a zero indicates that a subject has no disability and five indicates that a subject is permanently dependent upon the use of a wheelchair for daily mobility activities.</w:t>
      </w:r>
    </w:p>
    <w:p>
      <w:pPr>
        <w:spacing w:after="0" w:line="139" w:lineRule="exact"/>
        <w:rPr>
          <w:sz w:val="20"/>
          <w:szCs w:val="20"/>
          <w:color w:val="auto"/>
        </w:rPr>
      </w:pPr>
    </w:p>
    <w:p>
      <w:pPr>
        <w:jc w:val="both"/>
        <w:ind w:firstLine="409"/>
        <w:spacing w:after="0" w:line="294" w:lineRule="auto"/>
        <w:rPr>
          <w:sz w:val="20"/>
          <w:szCs w:val="20"/>
          <w:color w:val="auto"/>
        </w:rPr>
      </w:pPr>
      <w:r>
        <w:rPr>
          <w:rFonts w:ascii="Arial" w:cs="Arial" w:eastAsia="Arial" w:hAnsi="Arial"/>
          <w:sz w:val="16"/>
          <w:szCs w:val="16"/>
          <w:color w:val="3E5588"/>
        </w:rPr>
        <w:t>We also plan to use other MRI-based measures as exploratory endpoints in our planned Phase 2 clinical trials. We believe that inflammation in muscles of patients with FSHD is predictive of muscle degradation and subsequent fat replacement. We intend to utilize MRI-based endpoints to identify the level of inflammation and the overall fat content in muscles. MRI imaging sequences, which are settings of pulses and gradients, have been developed that enable an increased contrast between tissues of interest. We use a T2 MRI sequence to observe and quantify areas of high muscle water content, or muscle edema, which is a marker of inflammation. These areas will have a higher T2 value than the background tissue. T2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E5588"/>
        </w:rPr>
        <w:t>provides information about the muscle's physiological status, however it is not specific for inflammation and may indicate other abnormal physiological conditions in muscle tissue. We plan to use the Dixon MRI sequence, or the Dixon method, to quantify the fat content of muscles, which is a marker for muscle degradation. The Dixon method separates the signals from water and fat and the separated fat signal can then be utilized to determine the fat fraction within the muscle. We intend to utilize these MRI-based approaches as exploratory endpoints in our Phase 2 and Phase 2b clinical trials to identify muscles with higher levels of inflammation, as evidenced by a higher signal in the T2 sequence, and muscle degradation, as evidenced by the muscle fat fraction determined using the Dixon method.</w:t>
      </w:r>
    </w:p>
    <w:p>
      <w:pPr>
        <w:spacing w:after="0" w:line="198" w:lineRule="exact"/>
        <w:rPr>
          <w:sz w:val="20"/>
          <w:szCs w:val="20"/>
          <w:color w:val="auto"/>
        </w:rPr>
      </w:pPr>
    </w:p>
    <w:p>
      <w:pPr>
        <w:jc w:val="both"/>
        <w:ind w:firstLine="390"/>
        <w:spacing w:after="0" w:line="254" w:lineRule="auto"/>
        <w:rPr>
          <w:sz w:val="20"/>
          <w:szCs w:val="20"/>
          <w:color w:val="auto"/>
        </w:rPr>
      </w:pPr>
      <w:r>
        <w:rPr>
          <w:rFonts w:ascii="Arial" w:cs="Arial" w:eastAsia="Arial" w:hAnsi="Arial"/>
          <w:sz w:val="18"/>
          <w:szCs w:val="18"/>
          <w:color w:val="3E5588"/>
        </w:rPr>
        <w:t>A third-party study found that these MRI techniques, when applied to skeletal muscles, were able to quantify the increase in inflammation, as measured by T2 signal, and fat fraction, as determined using the Dixon method, over a 20-month period. In particular, skeletal muscles with severe inflammation, as determined by elevated T2 signal, demonstrated worsening of fat fraction over this period. This effect was observed as early as six months. Skeletal muscles in patients with FSHD that had low inflammation, based on a low T2 signal, demonstrated both lower levels of fat fraction and slower fat fraction progression. We believe that these data suggest that fat fraction progression is higher in muscles with a higher level of inflammation and support the usage of these MRI-based exploratory endpoints in clinical trials.</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Optimized Time Up and Go Test Preparatory Study (Fulcrum SRA 003-2018)</w:t>
      </w:r>
    </w:p>
    <w:p>
      <w:pPr>
        <w:spacing w:after="0" w:line="225"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3E5588"/>
        </w:rPr>
        <w:t>We are evaluating a modified version of the classic time up and go, or classic TUG, test that we are optimizing as a clinical outcome assessment of mobility and ambulation, which we refer to as the FSHD-TUG test. The classic TUG test requires patients to get up from a chair, walk three meters, turn around, walk back to the chair and sit down. It was originally developed for clinical practice to assess mobility, balance, walking ability and fall risk in older adults prior to discharge from hospitalization and was used recently as a key secondary efficacy endpoint in a registration trial in multiple sclerosis in Europe. The classic TUG test is also one of the clinical outcome assessments in the ReSOLVE natural history study discussed below.</w:t>
      </w:r>
    </w:p>
    <w:p>
      <w:pPr>
        <w:spacing w:after="0" w:line="170"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3E5588"/>
        </w:rPr>
        <w:t>While we believe that the classic TUG test is a valid, reliable and objective test to quantify functional mobility in all age groups, we believe that a minor modification, asking patients to get up from a standardized bed, will be more appropriate for FSHD patients. We believe that the FSHD-TUG test may be more sensitive to measure treatment effects in patients with FSHD. Patients with FSHD generally have a difficult time rising from a chair and even more so from a recumbent position and this difficulty progresses over time. Patients with FSHD report that limitations in mobility and in the use of the shoulders and upper arms are the two most important areas of concern. The FSHD-TUG test may be a useful clinical outcome assessment endpoint for measurement of treatment effects of losmapimod on mobility.</w:t>
      </w:r>
    </w:p>
    <w:p>
      <w:pPr>
        <w:spacing w:after="0" w:line="198"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3E5588"/>
        </w:rPr>
        <w:t>We are currently testing the FSHD-TUG test in comparison to the classic TUG test in a group of 22 subjects with FSHD and in 20 healthy volunteers who are age and gender matched. The subjects will have clinical severity scores of one to four on the Ricci scale. We are evaluating the subjects in five visits over approximately 12 months.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Direct Patient Input (Fulcrum SRA 004-2018)</w:t>
      </w:r>
    </w:p>
    <w:p>
      <w:pPr>
        <w:spacing w:after="0" w:line="225" w:lineRule="exact"/>
        <w:rPr>
          <w:sz w:val="20"/>
          <w:szCs w:val="20"/>
          <w:color w:val="auto"/>
        </w:rPr>
      </w:pPr>
    </w:p>
    <w:p>
      <w:pPr>
        <w:jc w:val="both"/>
        <w:ind w:firstLine="394"/>
        <w:spacing w:after="0" w:line="294" w:lineRule="auto"/>
        <w:rPr>
          <w:sz w:val="20"/>
          <w:szCs w:val="20"/>
          <w:color w:val="auto"/>
        </w:rPr>
      </w:pPr>
      <w:r>
        <w:rPr>
          <w:rFonts w:ascii="Arial" w:cs="Arial" w:eastAsia="Arial" w:hAnsi="Arial"/>
          <w:sz w:val="16"/>
          <w:szCs w:val="16"/>
          <w:color w:val="3E5588"/>
        </w:rPr>
        <w:t>We are also seeking to obtain direct patient input into the design and feasibility of our planned Phase 2b clinical trial by having approximately 100 patients with FSHD complete a survey based on their review of the proposed schedule of clinical outcome assessments for the trial. The patients will provide their views on their willingness to participate and any potential barriers to their participation in our planned Phase 2b clinical trial. We conduct these surveys during a face-to-face interview in clinics in the United States and France, via an internet survey for members of an FSHD registry in the United Kingdom and through in-person groups in Canada. We have the ability to refine the protocol for our Phase 2b clinical trial to reflect the feedback from patients.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ReSOLVE Natural History Study</w:t>
      </w:r>
    </w:p>
    <w:p>
      <w:pPr>
        <w:spacing w:after="0" w:line="225"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3E5588"/>
        </w:rPr>
        <w:t>The Clinical Trial Readiness to Solve Barriers to Drug Development in FSHD, or ReSOLVE study, is an ongoing natural history study funded by the NIH to help identify the patient population, efficacy biomarker and clinical outcome assessments for future FSHD drug trials. The study is being coordinated by the University of Rochester and University of Kansas Medical Center and enrolled the first subject in April 2018. The study will follow approximately 150 subjects for 18 months across a network of eight U.S. clinical centers and will evaluate multiple biomarkers and clinical outcome assessments that may be suitable for clinical trials and will evaluate patient selection criteria based on genetic, demographic or clinical characteristics. Three sites in the European Union have joined the ReSOLVE protocol and will follow approximately 70 subjects for 18 months. As of June 2019, over 140 subjects have been enrolled. We believe that the results of this natural history study will inform the design and implementation of clinical trials and will inform discussions with regulatory agencies. We also believe that this study may provide valuable insights into the timeline for disease progression and functional changes in FSHD in the absence of treatment.</w:t>
      </w:r>
    </w:p>
    <w:p>
      <w:pPr>
        <w:spacing w:after="0" w:line="172"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color w:val="3E5588"/>
        </w:rPr>
        <w:t>In connection with the ReSOLVE study, we have funded the addition of a clinical outcome assessment, which we refer to as reachable work space, or RWS. RWS is an objective assessment of upper arm function in a quantitative manner by measuring arm and shoulder mobility with and without weights. A hallmark of FSHD progression is weakness in the shoulder muscles and upper arms that eventually leads to an inability of patients to lift their arms above their shoulders. The RWS assessments are analyzed by a central reader. We have provided standardized hardware, software, and testing conditions to evaluate RWS at eight sites that are part of the ReSOLVE study in the United States and at three European sites. To date, we have collected over 300 RWS assessments in the study.</w:t>
      </w:r>
    </w:p>
    <w:p>
      <w:pPr>
        <w:spacing w:after="0" w:line="170" w:lineRule="exact"/>
        <w:rPr>
          <w:sz w:val="20"/>
          <w:szCs w:val="20"/>
          <w:color w:val="auto"/>
        </w:rPr>
      </w:pPr>
    </w:p>
    <w:p>
      <w:pPr>
        <w:jc w:val="both"/>
        <w:ind w:right="20" w:firstLine="400"/>
        <w:spacing w:after="0" w:line="306" w:lineRule="auto"/>
        <w:rPr>
          <w:sz w:val="20"/>
          <w:szCs w:val="20"/>
          <w:color w:val="auto"/>
        </w:rPr>
      </w:pPr>
      <w:r>
        <w:rPr>
          <w:rFonts w:ascii="Arial" w:cs="Arial" w:eastAsia="Arial" w:hAnsi="Arial"/>
          <w:sz w:val="16"/>
          <w:szCs w:val="16"/>
          <w:color w:val="3E5588"/>
        </w:rPr>
        <w:t>A recent third-party study assessed changes in RWS for 18 subjects with FSHD for up to five years. The study concluded that the RWS measure is able to detect slow declines in upper extremity function in subjects with FSHD. The study also found that the most notable declines in RWS were in above-the-shoulder level quadrants with no significant changes in lower quadrants and that RWS declined more significantly if the subjects were challenged with 500-gram weights.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Phase 1 Clinical Trial</w:t>
      </w:r>
    </w:p>
    <w:p>
      <w:pPr>
        <w:spacing w:after="0" w:line="225" w:lineRule="exact"/>
        <w:rPr>
          <w:sz w:val="20"/>
          <w:szCs w:val="20"/>
          <w:color w:val="auto"/>
        </w:rPr>
      </w:pPr>
    </w:p>
    <w:p>
      <w:pPr>
        <w:jc w:val="both"/>
        <w:ind w:firstLine="420"/>
        <w:spacing w:after="0" w:line="332" w:lineRule="auto"/>
        <w:rPr>
          <w:sz w:val="20"/>
          <w:szCs w:val="20"/>
          <w:color w:val="auto"/>
        </w:rPr>
      </w:pPr>
      <w:r>
        <w:rPr>
          <w:rFonts w:ascii="Arial" w:cs="Arial" w:eastAsia="Arial" w:hAnsi="Arial"/>
          <w:sz w:val="16"/>
          <w:szCs w:val="16"/>
          <w:color w:val="3E5588"/>
        </w:rPr>
        <w:t>We are conducting a randomized Phase 1 clinical trial of losmapimod in healthy adult volunteers and patients with FSHD in Europe under a CTA that we filed in December 2018. We expect that this trial will be completed in 2019. We intend to present data in the fourth quarter of 2019 at a scientific conference.</w:t>
      </w:r>
    </w:p>
    <w:p>
      <w:pPr>
        <w:spacing w:after="0" w:line="139" w:lineRule="exact"/>
        <w:rPr>
          <w:sz w:val="20"/>
          <w:szCs w:val="20"/>
          <w:color w:val="auto"/>
        </w:rPr>
      </w:pPr>
    </w:p>
    <w:p>
      <w:pPr>
        <w:jc w:val="both"/>
        <w:ind w:firstLine="405"/>
        <w:spacing w:after="0" w:line="306" w:lineRule="auto"/>
        <w:rPr>
          <w:sz w:val="20"/>
          <w:szCs w:val="20"/>
          <w:color w:val="auto"/>
        </w:rPr>
      </w:pPr>
      <w:r>
        <w:rPr>
          <w:rFonts w:ascii="Arial" w:cs="Arial" w:eastAsia="Arial" w:hAnsi="Arial"/>
          <w:sz w:val="16"/>
          <w:szCs w:val="16"/>
          <w:color w:val="3E5588"/>
        </w:rPr>
        <w:t>In this trial, we have dosed eight healthy volunteers with 7.5 mg of losmapimod capsules, followed by a washout period, and subsequently dosed the same volunteers with a 15 mg dose of losmapimod capsules. As part of this trial, we have also dosed two healthy volunteers with placebo capsules in both periods. Consistent with the extensive data that we in-licensed from GSK, losmapimod has been well tolerated in this trial.</w:t>
      </w:r>
    </w:p>
    <w:p>
      <w:pPr>
        <w:spacing w:after="0" w:line="161"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color w:val="3E5588"/>
        </w:rPr>
        <w:t>Following the completion of the healthy volunteer cohort, we began dosing patients with FSHD in April 2019. We plan to enroll up to 20 patients in this trial. This trial is designed to obtain safety and tolerability of losmapimod in patients with FSHD. Patients are being randomized across three arms of 7.5 mg or 15 mg of losmapimod capsules or placebo twice per day for 14 days. We also intend to compare p38a/b target engagement in skeletal muscle of patients treated with a dose of 7.5 mg and 15 mg of losmapimod twice per day relative to that of patients on placebo. We aim to confirm that 15 mg twice per day is the appropriate dose for our Phase 2 trials based on higher muscle exposures and target engagement than the 7.5 mg twice per day dose. We will measure target engagement and other biomarkers in muscle needle biopsies before and after two weeks of treatment.</w:t>
      </w:r>
    </w:p>
    <w:p>
      <w:pPr>
        <w:spacing w:after="0" w:line="174" w:lineRule="exact"/>
        <w:rPr>
          <w:sz w:val="20"/>
          <w:szCs w:val="20"/>
          <w:color w:val="auto"/>
        </w:rPr>
      </w:pPr>
    </w:p>
    <w:p>
      <w:pPr>
        <w:jc w:val="both"/>
        <w:ind w:firstLine="419"/>
        <w:spacing w:after="0" w:line="332" w:lineRule="auto"/>
        <w:rPr>
          <w:sz w:val="20"/>
          <w:szCs w:val="20"/>
          <w:color w:val="auto"/>
        </w:rPr>
      </w:pPr>
      <w:r>
        <w:rPr>
          <w:rFonts w:ascii="Arial" w:cs="Arial" w:eastAsia="Arial" w:hAnsi="Arial"/>
          <w:sz w:val="16"/>
          <w:szCs w:val="16"/>
          <w:color w:val="3E5588"/>
        </w:rPr>
        <w:t>We manufactured the losmapimod capsules for this trial prior to our license agreement with GSK. For our Phase 2 clinical trials, we will use losmapimod tablets that were manufactured by GSK. We confirmed that the PK of the losmapimod capsules were consistent with published data on the PK of the losmapimod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tablets manufactured by GSK. In this trial, we are also confirming that the p38a/b target engagement in blood from our losmapimod capsules is consistent with the previous data on target engagement of the losmapimod tablets manufactured by GSK.</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Phase 2b Clinical Trial</w:t>
      </w:r>
    </w:p>
    <w:p>
      <w:pPr>
        <w:spacing w:after="0" w:line="225"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3E5588"/>
        </w:rPr>
        <w:t>We plan to initiate a randomized, double-blind, placebo-controlled Phase 2b clinical trial in approximately 66 patients with FSHD1 and clinical severity scores of two to four on the Ricci scale. In this trial, we will evaluate treatment with 15 mg of losmapimod or placebo tablets twice per day over a 24-week period. Patients will be randomized 1:1 between the treatment and placebo arms. The FDA accepted the IND for losmapimod in June 2019, and we also submitted CTAs in May 2019 to conduct the trial at sites in Europe and Canada and expect to initiate this trial in mid-2019.</w:t>
      </w:r>
    </w:p>
    <w:p>
      <w:pPr>
        <w:spacing w:after="0" w:line="167"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3E5588"/>
        </w:rPr>
        <w:t>The primary endpoint will be the reduction of DUX4-driven gene expression in affected skeletal muscle biopsies before treatment and after approximately 16 weeks of treatment. We selected the number of patients to enroll in this trial based on the magnitude of reduction of DUX4-driven gene expression that we have observed in our preclinical studies using losmapimod concentrations similar to those measured when dosing with 15 mg twice per day in clinical trials completed by GSK.</w:t>
      </w:r>
    </w:p>
    <w:p>
      <w:pPr>
        <w:spacing w:after="0" w:line="197" w:lineRule="exact"/>
        <w:rPr>
          <w:sz w:val="20"/>
          <w:szCs w:val="20"/>
          <w:color w:val="auto"/>
        </w:rPr>
      </w:pPr>
    </w:p>
    <w:p>
      <w:pPr>
        <w:jc w:val="both"/>
        <w:ind w:firstLine="482"/>
        <w:spacing w:after="0" w:line="298" w:lineRule="auto"/>
        <w:rPr>
          <w:sz w:val="20"/>
          <w:szCs w:val="20"/>
          <w:color w:val="auto"/>
        </w:rPr>
      </w:pPr>
      <w:r>
        <w:rPr>
          <w:rFonts w:ascii="Arial" w:cs="Arial" w:eastAsia="Arial" w:hAnsi="Arial"/>
          <w:sz w:val="16"/>
          <w:szCs w:val="16"/>
          <w:color w:val="3E5588"/>
        </w:rPr>
        <w:t>Secondary endpoints of the trial will include evaluation of safety and tolerability in FSHD patients, PK in blood, losmapimod concentration in skeletal muscle biopsies, and p38a/b target engagement in blood and in muscle biopsies. This trial will also include evaluation of exploratory efficacy endpoints including MRI biomarkers and clinical outcome assessments. The clinical outcome assessments include centrally read RWS, FSHD-TUG test and patient-reported outcomes and muscle strength measured by quantitative dynamometry and motor function ability measurements obtained by physical therapists.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graphic below presents the design of the Phase 2b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148590</wp:posOffset>
            </wp:positionV>
            <wp:extent cx="5711190" cy="22898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71119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Phase 2 Open Label Clinical Trial</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3E5588"/>
        </w:rPr>
        <w:t>In parallel with the Phase 2b clinical trial, we also plan to initiate enrollment in mid-2019 for an open label, single site Phase 2 clinical trial of losmapimod in 16 patients with FSHD1 and clinical severity scores of two to four on the Ricci scale. Patients will receive tablets containing 15 mg of losmapimod twice per day for up to 52 weeks. The treatment period will be preceded by eight weeks of pre-treatment assessments to establish a baseline for musculoskeletal MRI biomarkers and clinical outcome assessments. We filed a CTA for this trial in April 2019 and plan to conduct the trial at one site in the Netherlands.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3E5588"/>
        </w:rPr>
        <w:t>The primary objective is to investigate the safety and tolerability of losmapimod for chronic dosing in FSHD patients. The primary endpoints are to assess safety and tolerability over the 52-week period. The secondary endpoints are the change from baseline in pHSP27 and the ratio of pHSP27 to total HSP27 in blood and muscle for assessment of the inhibition of p38a/b during the dosing period. This trial is also designed to provide initial data regarding changes in DUX4-driven gene expression, MRI biomarkers, objective clinical outcome assessments and patient-reported outcomes that may occur at various times following initiation of treatment with losmapimod relative to the pre-treatment period. We intend to use this data to further guide our clinical development strategy for losmapimod in FSHD.</w:t>
      </w:r>
    </w:p>
    <w:p>
      <w:pPr>
        <w:spacing w:after="0" w:line="198"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3E5588"/>
        </w:rPr>
        <w:t>We will measure DUX4-driven gene expression before and during treatment using muscle needle biopsies in affected muscles. All patients will have a pre-treatment biopsy and we will obtain a second muscle needle biopsy from each patient, with half of the patients undergoing a biopsy after four weeks of treatment and the remaining half after approximately 40 weeks of treatment.</w:t>
      </w:r>
    </w:p>
    <w:p>
      <w:pPr>
        <w:spacing w:after="0" w:line="194"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8"/>
          <w:szCs w:val="18"/>
          <w:color w:val="3E5588"/>
        </w:rPr>
        <w:t>We will measure potential losmapimod treatment effects on shoulder and upper arm function and mobility/ambulation, as well as on muscle strength and function and quality of life and activities of daily living, similar to the assessments in the Phase 2b clinical trial. The clinical outcome assessments will be RWS, FSHD-TUG, muscle strength, motor function ability and generic and FSHD-specific patient reports of quality of life and activities of daily living. There will also be an assessment of day-to-day mobility using wearable sensors.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graphic below presents the design of the Phase 2 open label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147955</wp:posOffset>
            </wp:positionV>
            <wp:extent cx="5685790" cy="23666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8579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Market Research</w:t>
      </w:r>
    </w:p>
    <w:p>
      <w:pPr>
        <w:spacing w:after="0" w:line="225" w:lineRule="exact"/>
        <w:rPr>
          <w:sz w:val="20"/>
          <w:szCs w:val="20"/>
          <w:color w:val="auto"/>
        </w:rPr>
      </w:pPr>
    </w:p>
    <w:p>
      <w:pPr>
        <w:jc w:val="both"/>
        <w:ind w:firstLine="380"/>
        <w:spacing w:after="0" w:line="291" w:lineRule="auto"/>
        <w:rPr>
          <w:sz w:val="20"/>
          <w:szCs w:val="20"/>
          <w:color w:val="auto"/>
        </w:rPr>
      </w:pPr>
      <w:r>
        <w:rPr>
          <w:rFonts w:ascii="Arial" w:cs="Arial" w:eastAsia="Arial" w:hAnsi="Arial"/>
          <w:sz w:val="16"/>
          <w:szCs w:val="16"/>
          <w:color w:val="3E5588"/>
        </w:rPr>
        <w:t>We engaged Clarion Healthcare, LLC to conduct market research with physicians and payors to better understand the commercial landscape and to assist in our commercial planning. A total of 14 physicians in the United States, European Union and Asia and nine payors and payor experts in the United States and European Union were surveyed. Both groups acknowledged the severity of the disease and lack of any existing therapies for patients. Physicians were asked their views on potentially prescribing a small molecule product candidate that effectively repressed DUX4 gene expression in skeletal muscle and resulted in the preservation of muscle function. Based on an April 2018 report prepared by Clarion, we believe that physicians would be receptive to prescribing a product with these qualities, subject to the efficacy and safety of the product, due to the chronic nature of the disease.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Our Product Candidate for Hemoglobinopathies</w:t>
      </w:r>
    </w:p>
    <w:p>
      <w:pPr>
        <w:spacing w:after="0" w:line="225"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3E5588"/>
        </w:rPr>
        <w:t>Hemoglobinopathies are a category of genetic disorders affecting RBCs. We intend to develop FTX-HbF to elevate the level of fetal hemoglobin for the treatment of patients with certain hemoglobinopathies, namely sickle cell disease and for certain types of b-thalassemia.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Overview of Sickle Cell Disease</w:t>
      </w:r>
    </w:p>
    <w:p>
      <w:pPr>
        <w:spacing w:after="0" w:line="225"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3E5588"/>
        </w:rPr>
        <w:t>Sickle cell disease is a genetic disorder of RBCs. SCD patients typically suffer from serious clinical consequences, which may include vaso-occlusive crises, anemia, pain, infections, stroke, heart disease, pulmonary hypertension, kidney failure, liver disease and reduced life expectancy. According to a study published by the American Medical Association, approximately 32.5% of adult patients with SCD were hospitalized three or more times per year due to pain crises. SCD is reported to shorten patient life expectancy by approximately 20 to 30 years. Patients with SCD are primarily treated by hematologists.</w:t>
      </w:r>
    </w:p>
    <w:p>
      <w:pPr>
        <w:spacing w:after="0" w:line="167" w:lineRule="exact"/>
        <w:rPr>
          <w:sz w:val="20"/>
          <w:szCs w:val="20"/>
          <w:color w:val="auto"/>
        </w:rPr>
      </w:pPr>
    </w:p>
    <w:p>
      <w:pPr>
        <w:jc w:val="both"/>
        <w:ind w:right="20" w:firstLine="529"/>
        <w:spacing w:after="0" w:line="306" w:lineRule="auto"/>
        <w:rPr>
          <w:sz w:val="20"/>
          <w:szCs w:val="20"/>
          <w:color w:val="auto"/>
        </w:rPr>
      </w:pPr>
      <w:r>
        <w:rPr>
          <w:rFonts w:ascii="Arial" w:cs="Arial" w:eastAsia="Arial" w:hAnsi="Arial"/>
          <w:sz w:val="16"/>
          <w:szCs w:val="16"/>
          <w:color w:val="3E5588"/>
        </w:rPr>
        <w:t>In the United States, where newborn screening for SCD is mandatory, the estimated prevalence is approximately 100,000 individuals. In Europe, the estimated prevalence is approximately 134,000 individuals according to the European Medicines Agency, or EMA. According to the World Health Organization, the global incidence is estimated to be approximately 300,000 births annually. SCD is most prevalent in Africa and the Middle East.</w:t>
      </w:r>
    </w:p>
    <w:p>
      <w:pPr>
        <w:spacing w:after="0" w:line="161"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3E5588"/>
        </w:rPr>
        <w:t>Approved drug treatments for SCD focus primarily on the management and reduction of pain episodes. The two drug treatments approved in the United States are hydroxyurea and L-glutamine. Hydroxyurea is approved for the treatment of anemia related to SCD to reduce the frequency of painful crises and the need for blood transfusions. Hydroxyurea has a black box warning for myelosuppression and malignancy. In general, it is limited by its adverse side effects, inconsistent patient responses and concerns regarding the cytotoxic effect of the drug. L-glutamine is approved to reduce severe complications associated with the disorder. While treatment with L-glutamine decreases the mean number of pain crises, side effects include nausea, noncardiac chest pain, fatigue, and musculoskeletal pain.</w:t>
      </w:r>
    </w:p>
    <w:p>
      <w:pPr>
        <w:spacing w:after="0" w:line="198" w:lineRule="exact"/>
        <w:rPr>
          <w:sz w:val="20"/>
          <w:szCs w:val="20"/>
          <w:color w:val="auto"/>
        </w:rPr>
      </w:pPr>
    </w:p>
    <w:p>
      <w:pPr>
        <w:jc w:val="both"/>
        <w:ind w:firstLine="527"/>
        <w:spacing w:after="0" w:line="294" w:lineRule="auto"/>
        <w:rPr>
          <w:sz w:val="20"/>
          <w:szCs w:val="20"/>
          <w:color w:val="auto"/>
        </w:rPr>
      </w:pPr>
      <w:r>
        <w:rPr>
          <w:rFonts w:ascii="Arial" w:cs="Arial" w:eastAsia="Arial" w:hAnsi="Arial"/>
          <w:sz w:val="16"/>
          <w:szCs w:val="16"/>
          <w:color w:val="3E5588"/>
        </w:rPr>
        <w:t>Blood transfusions can be utilized to decrease the sickling of RBCs. While blood transfusions can be critical to manage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due to the difficulties of finding a suitable matching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424"/>
        <w:spacing w:after="0" w:line="287" w:lineRule="auto"/>
        <w:rPr>
          <w:sz w:val="20"/>
          <w:szCs w:val="20"/>
          <w:color w:val="auto"/>
        </w:rPr>
      </w:pPr>
      <w:r>
        <w:rPr>
          <w:rFonts w:ascii="Arial" w:cs="Arial" w:eastAsia="Arial" w:hAnsi="Arial"/>
          <w:sz w:val="16"/>
          <w:szCs w:val="16"/>
          <w:color w:val="3E5588"/>
        </w:rPr>
        <w:t>While multiple experimental approaches to treat SCD are being explored in clinical trials, the majority are focused on symptomatic relief or gene therapy approaches. Symptomatic approaches under investigation aim to affect issues associated with cell adhesion, sickling, thrombosis and iron homeostasis. We anticipate that a novel orally available therapy that affects the root cause of SCD may be used in combination with symptomatic therapeutics. Novartis AG, or Novartis, Global Blood Therapeutics, Inc. and GlycoMimetics Inc. in collaboration with Pfizer, Inc. are conducting late stage clinical trials aiming to provide symptomatic relief for patients with SCD. Several gene therapy approaches to treat SCD are focused on elevating fetal hemoglobin, however no gene therapy approaches have been approved for SCD and the efficacy, safety and durability of gene therapy approaches have yet to be established. Gene therapies need to be administered in an in-patient procedure through a bone marrow transplant, which is also referred to as a stem cell transplant or hematopoietic stem cell transplant. As part of the transplant process, the patient receives myeloablative chemotherapy which kills cells in the bone marrow in order to support the gene therapy. Despite ongoing efforts to develop gene therapies for SCD, we believe there is still a high unmet need that could be better addressed by a small molecule, oral therapy to treat the disease by increasing fetal hemoglobin.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SCD Biology</w:t>
      </w:r>
    </w:p>
    <w:p>
      <w:pPr>
        <w:spacing w:after="0" w:line="225"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3E5588"/>
        </w:rPr>
        <w:t xml:space="preserve">SCD is caused by a mutation in the </w:t>
      </w:r>
      <w:r>
        <w:rPr>
          <w:rFonts w:ascii="Arial" w:cs="Arial" w:eastAsia="Arial" w:hAnsi="Arial"/>
          <w:sz w:val="16"/>
          <w:szCs w:val="16"/>
          <w:i w:val="1"/>
          <w:iCs w:val="1"/>
          <w:color w:val="3E5588"/>
        </w:rPr>
        <w:t>HBB</w:t>
      </w:r>
      <w:r>
        <w:rPr>
          <w:rFonts w:ascii="Arial" w:cs="Arial" w:eastAsia="Arial" w:hAnsi="Arial"/>
          <w:sz w:val="16"/>
          <w:szCs w:val="16"/>
          <w:color w:val="3E5588"/>
        </w:rPr>
        <w:t xml:space="preserve"> gene. This gene encodes a protein that is a key component of hemoglobin, a protein complex whose function is to transport oxygen in the body. Hemoglobin in adults is a complex of four proteins, two hemoglobin b-subunits and two hemoglobin a-subunits. In patients with SCD, hemoglobin is composed of two mutant b-subunits and two a-subunits and the result is the formation of abnormal hemoglobin. The result of the mutation is less efficient oxygen transport and the formation of RBCs that have a sickle shape. These sickle shaped cells are much less flexible than healthy cells and can block blood vessels (vaso-occlusion) or rupture cells (lysis), leading to pain, anemia, irreversible organ damage or even death.</w:t>
      </w:r>
    </w:p>
    <w:p>
      <w:pPr>
        <w:spacing w:after="0" w:line="170" w:lineRule="exact"/>
        <w:rPr>
          <w:sz w:val="20"/>
          <w:szCs w:val="20"/>
          <w:color w:val="auto"/>
        </w:rPr>
      </w:pPr>
    </w:p>
    <w:p>
      <w:pPr>
        <w:jc w:val="both"/>
        <w:ind w:firstLine="417"/>
        <w:spacing w:after="0" w:line="306" w:lineRule="auto"/>
        <w:rPr>
          <w:sz w:val="20"/>
          <w:szCs w:val="20"/>
          <w:color w:val="auto"/>
        </w:rPr>
      </w:pPr>
      <w:r>
        <w:rPr>
          <w:rFonts w:ascii="Arial" w:cs="Arial" w:eastAsia="Arial" w:hAnsi="Arial"/>
          <w:sz w:val="16"/>
          <w:szCs w:val="16"/>
          <w:color w:val="3E5588"/>
        </w:rPr>
        <w:t xml:space="preserve">During fetal development, the major form of hemoglobin is fetal hemoglobin. Similar to hemoglobin in adults, fetal hemoglobin is also a complex of four proteins, two a-subunits and two g-subunits. Shortly after birth, the genes encoding the g-subunits, the </w:t>
      </w:r>
      <w:r>
        <w:rPr>
          <w:rFonts w:ascii="Arial" w:cs="Arial" w:eastAsia="Arial" w:hAnsi="Arial"/>
          <w:sz w:val="16"/>
          <w:szCs w:val="16"/>
          <w:i w:val="1"/>
          <w:iCs w:val="1"/>
          <w:color w:val="3E5588"/>
        </w:rPr>
        <w:t>HBG1</w:t>
      </w:r>
      <w:r>
        <w:rPr>
          <w:rFonts w:ascii="Arial" w:cs="Arial" w:eastAsia="Arial" w:hAnsi="Arial"/>
          <w:sz w:val="16"/>
          <w:szCs w:val="16"/>
          <w:color w:val="3E5588"/>
        </w:rPr>
        <w:t xml:space="preserve"> and </w:t>
      </w:r>
      <w:r>
        <w:rPr>
          <w:rFonts w:ascii="Arial" w:cs="Arial" w:eastAsia="Arial" w:hAnsi="Arial"/>
          <w:sz w:val="16"/>
          <w:szCs w:val="16"/>
          <w:i w:val="1"/>
          <w:iCs w:val="1"/>
          <w:color w:val="3E5588"/>
        </w:rPr>
        <w:t>HBG2</w:t>
      </w:r>
      <w:r>
        <w:rPr>
          <w:rFonts w:ascii="Arial" w:cs="Arial" w:eastAsia="Arial" w:hAnsi="Arial"/>
          <w:sz w:val="16"/>
          <w:szCs w:val="16"/>
          <w:color w:val="3E5588"/>
        </w:rPr>
        <w:t xml:space="preserve"> genes, are silenced and the </w:t>
      </w:r>
      <w:r>
        <w:rPr>
          <w:rFonts w:ascii="Arial" w:cs="Arial" w:eastAsia="Arial" w:hAnsi="Arial"/>
          <w:sz w:val="16"/>
          <w:szCs w:val="16"/>
          <w:i w:val="1"/>
          <w:iCs w:val="1"/>
          <w:color w:val="3E5588"/>
        </w:rPr>
        <w:t>HBB</w:t>
      </w:r>
      <w:r>
        <w:rPr>
          <w:rFonts w:ascii="Arial" w:cs="Arial" w:eastAsia="Arial" w:hAnsi="Arial"/>
          <w:sz w:val="16"/>
          <w:szCs w:val="16"/>
          <w:color w:val="3E5588"/>
        </w:rPr>
        <w:t xml:space="preserve"> gene is activated. As described above, SCD is caused by a mutation in the </w:t>
      </w:r>
      <w:r>
        <w:rPr>
          <w:rFonts w:ascii="Arial" w:cs="Arial" w:eastAsia="Arial" w:hAnsi="Arial"/>
          <w:sz w:val="16"/>
          <w:szCs w:val="16"/>
          <w:i w:val="1"/>
          <w:iCs w:val="1"/>
          <w:color w:val="3E5588"/>
        </w:rPr>
        <w:t>HBB</w:t>
      </w:r>
      <w:r>
        <w:rPr>
          <w:rFonts w:ascii="Arial" w:cs="Arial" w:eastAsia="Arial" w:hAnsi="Arial"/>
          <w:sz w:val="16"/>
          <w:szCs w:val="16"/>
          <w:color w:val="3E5588"/>
        </w:rPr>
        <w:t xml:space="preserve"> gene that gives rise to mutated b-subunits.</w:t>
      </w:r>
    </w:p>
    <w:p>
      <w:pPr>
        <w:spacing w:after="0" w:line="161"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3E5588"/>
        </w:rPr>
        <w:t>A small subset of individuals with the sickle cell mutation continue to produce high levels of fetal hemoglobin due to inheritance of additional genetic mutations, which is called Hereditary Persistence of Fetal Hemoglobin, or HPFH. The production of fetal hemoglobin in these individuals allows them to maintain at least 30% fetal hemoglobin. Patients with elevated fetal hemoglobin exhibit few, if any, clinical manifestations of SCD. Further, an increase of fetal hemoglobin as low as 3% over baseline in patients without HPFH, due to either therapeutic intervention or the inheritance of other genetic traits, can result in reduced clinical manifestations of the disease.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Our Approach to Address the Root Cause of SCD</w:t>
      </w:r>
    </w:p>
    <w:p>
      <w:pPr>
        <w:spacing w:after="0" w:line="225"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3E5588"/>
        </w:rPr>
        <w:t>Our strategy to address the root cause of SCD was to identify a drug mechanism that induces expression of fetal hemoglobin. We believe that FTX-HbF may address the root cause of SCD through this mechanism of action.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 xml:space="preserve">Overview of </w:t>
      </w:r>
      <w:r>
        <w:rPr>
          <w:rFonts w:ascii="Arial" w:cs="Arial" w:eastAsia="Arial" w:hAnsi="Arial"/>
          <w:sz w:val="18"/>
          <w:szCs w:val="18"/>
          <w:color w:val="3E5588"/>
        </w:rPr>
        <w:t>b</w:t>
      </w:r>
      <w:r>
        <w:rPr>
          <w:rFonts w:ascii="Arial" w:cs="Arial" w:eastAsia="Arial" w:hAnsi="Arial"/>
          <w:sz w:val="18"/>
          <w:szCs w:val="18"/>
          <w:i w:val="1"/>
          <w:iCs w:val="1"/>
          <w:color w:val="3E5588"/>
        </w:rPr>
        <w:t>-Thalassemia</w:t>
      </w:r>
    </w:p>
    <w:p>
      <w:pPr>
        <w:spacing w:after="0" w:line="225" w:lineRule="exact"/>
        <w:rPr>
          <w:sz w:val="20"/>
          <w:szCs w:val="20"/>
          <w:color w:val="auto"/>
        </w:rPr>
      </w:pPr>
    </w:p>
    <w:p>
      <w:pPr>
        <w:jc w:val="both"/>
        <w:ind w:firstLine="419"/>
        <w:spacing w:after="0" w:line="303" w:lineRule="auto"/>
        <w:rPr>
          <w:sz w:val="20"/>
          <w:szCs w:val="20"/>
          <w:color w:val="auto"/>
        </w:rPr>
      </w:pPr>
      <w:r>
        <w:rPr>
          <w:rFonts w:ascii="Arial" w:cs="Arial" w:eastAsia="Arial" w:hAnsi="Arial"/>
          <w:sz w:val="15"/>
          <w:szCs w:val="15"/>
          <w:color w:val="3E5588"/>
        </w:rPr>
        <w:t xml:space="preserve">b-thalassemia is a rare blood disorder associated with the absence or reduced production of b-globin, which is one of the two proteins that comprise adult hemoglobin. This results in an abnormally low level of hemoglobin as well as an excess of a-globin chains that cause destruction of RBCs. The severity of the phenotype is related to the degree of imbalance between a- and non-a-globin chain synthesis. The absence of b-globin due to </w:t>
      </w:r>
      <w:r>
        <w:rPr>
          <w:rFonts w:ascii="Arial" w:cs="Arial" w:eastAsia="Arial" w:hAnsi="Arial"/>
          <w:sz w:val="15"/>
          <w:szCs w:val="15"/>
          <w:i w:val="1"/>
          <w:iCs w:val="1"/>
          <w:color w:val="3E5588"/>
        </w:rPr>
        <w:t>HBB</w:t>
      </w:r>
      <w:r>
        <w:rPr>
          <w:rFonts w:ascii="Arial" w:cs="Arial" w:eastAsia="Arial" w:hAnsi="Arial"/>
          <w:sz w:val="15"/>
          <w:szCs w:val="15"/>
          <w:color w:val="3E5588"/>
        </w:rPr>
        <w:t xml:space="preserve"> gene deletions is referred to as</w:t>
      </w:r>
    </w:p>
    <w:p>
      <w:pPr>
        <w:spacing w:after="0" w:line="1" w:lineRule="exact"/>
        <w:rPr>
          <w:sz w:val="20"/>
          <w:szCs w:val="20"/>
          <w:color w:val="auto"/>
        </w:rPr>
      </w:pPr>
    </w:p>
    <w:p>
      <w:pPr>
        <w:jc w:val="both"/>
        <w:spacing w:after="0" w:line="200" w:lineRule="auto"/>
        <w:rPr>
          <w:sz w:val="20"/>
          <w:szCs w:val="20"/>
          <w:color w:val="auto"/>
        </w:rPr>
      </w:pPr>
      <w:r>
        <w:rPr>
          <w:rFonts w:ascii="Arial" w:cs="Arial" w:eastAsia="Arial" w:hAnsi="Arial"/>
          <w:sz w:val="18"/>
          <w:szCs w:val="18"/>
          <w:color w:val="3E5588"/>
        </w:rPr>
        <w:t>b</w:t>
      </w:r>
      <w:r>
        <w:rPr>
          <w:rFonts w:ascii="Arial" w:cs="Arial" w:eastAsia="Arial" w:hAnsi="Arial"/>
          <w:sz w:val="29"/>
          <w:szCs w:val="29"/>
          <w:color w:val="3E5588"/>
          <w:vertAlign w:val="superscript"/>
        </w:rPr>
        <w:t>0</w:t>
      </w:r>
      <w:r>
        <w:rPr>
          <w:rFonts w:ascii="Arial" w:cs="Arial" w:eastAsia="Arial" w:hAnsi="Arial"/>
          <w:sz w:val="18"/>
          <w:szCs w:val="18"/>
          <w:color w:val="3E5588"/>
        </w:rPr>
        <w:t xml:space="preserve"> thalassemia. Other </w:t>
      </w:r>
      <w:r>
        <w:rPr>
          <w:rFonts w:ascii="Arial" w:cs="Arial" w:eastAsia="Arial" w:hAnsi="Arial"/>
          <w:sz w:val="18"/>
          <w:szCs w:val="18"/>
          <w:i w:val="1"/>
          <w:iCs w:val="1"/>
          <w:color w:val="3E5588"/>
        </w:rPr>
        <w:t>HBB</w:t>
      </w:r>
      <w:r>
        <w:rPr>
          <w:rFonts w:ascii="Arial" w:cs="Arial" w:eastAsia="Arial" w:hAnsi="Arial"/>
          <w:sz w:val="18"/>
          <w:szCs w:val="18"/>
          <w:color w:val="3E5588"/>
        </w:rPr>
        <w:t xml:space="preserve"> gene alterations allow some b-globin to be produced but in reduced amounts. A reduced amount of b-globin is called b</w:t>
      </w:r>
      <w:r>
        <w:rPr>
          <w:rFonts w:ascii="Arial" w:cs="Arial" w:eastAsia="Arial" w:hAnsi="Arial"/>
          <w:sz w:val="29"/>
          <w:szCs w:val="29"/>
          <w:color w:val="3E5588"/>
          <w:vertAlign w:val="superscript"/>
        </w:rPr>
        <w:t>+</w:t>
      </w:r>
      <w:r>
        <w:rPr>
          <w:rFonts w:ascii="Arial" w:cs="Arial" w:eastAsia="Arial" w:hAnsi="Arial"/>
          <w:sz w:val="18"/>
          <w:szCs w:val="18"/>
          <w:color w:val="3E5588"/>
        </w:rPr>
        <w:t>thalassemia. Many patients with b-thalassemia require chronic blood transfusions due to severe anemia that results from low hemoglobin levels, which are referred to as transfusion-dependent patients. It is estimated that 40,000 babies are born worldwide with b-thalassemia per year of whom 25,000 require blood transfusions. Patients with b-thalassemia are primarily treated by hematologists.</w:t>
      </w:r>
    </w:p>
    <w:p>
      <w:pPr>
        <w:spacing w:after="0" w:line="214" w:lineRule="exact"/>
        <w:rPr>
          <w:sz w:val="20"/>
          <w:szCs w:val="20"/>
          <w:color w:val="auto"/>
        </w:rPr>
      </w:pPr>
    </w:p>
    <w:p>
      <w:pPr>
        <w:jc w:val="both"/>
        <w:ind w:firstLine="473"/>
        <w:spacing w:after="0" w:line="302" w:lineRule="auto"/>
        <w:rPr>
          <w:sz w:val="20"/>
          <w:szCs w:val="20"/>
          <w:color w:val="auto"/>
        </w:rPr>
      </w:pPr>
      <w:r>
        <w:rPr>
          <w:rFonts w:ascii="Arial" w:cs="Arial" w:eastAsia="Arial" w:hAnsi="Arial"/>
          <w:sz w:val="15"/>
          <w:szCs w:val="15"/>
          <w:color w:val="3E5588"/>
        </w:rPr>
        <w:t>b-thalassemia has been clinically characterized into three forms, depending on disease severity: major, intermedia and minor. The most severe form, b-thalassemia major (also known as Cooley's anemia), is generally diagnosed shortly after birth and patients have life-threatening anemia. Pediatric patients do not grow and gain weight at the typical rates, and often have liver, heart and bone problems. Many b-thalassemia major patients require frequent blood transfusions to prevent severe anemia, a treatment that itself can cause long-term problems due to a build-up of iron in the body. b-thalassemia intermedia is a less severe form of the disease that results in mild to moderate anemia. These patients sometimes require blood transfusions depending on the severity of the symptoms. Patients with</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3E5588"/>
        </w:rPr>
        <w:t>b-thalassemia minor suffer from very mild anemia and generally do not require treatment. Having either b</w:t>
      </w:r>
      <w:r>
        <w:rPr>
          <w:rFonts w:ascii="Arial" w:cs="Arial" w:eastAsia="Arial" w:hAnsi="Arial"/>
          <w:sz w:val="29"/>
          <w:szCs w:val="29"/>
          <w:color w:val="3E5588"/>
          <w:vertAlign w:val="superscript"/>
        </w:rPr>
        <w:t>0</w:t>
      </w:r>
      <w:r>
        <w:rPr>
          <w:rFonts w:ascii="Arial" w:cs="Arial" w:eastAsia="Arial" w:hAnsi="Arial"/>
          <w:sz w:val="18"/>
          <w:szCs w:val="18"/>
          <w:color w:val="3E5588"/>
        </w:rPr>
        <w:t xml:space="preserve"> or b</w:t>
      </w:r>
      <w:r>
        <w:rPr>
          <w:rFonts w:ascii="Arial" w:cs="Arial" w:eastAsia="Arial" w:hAnsi="Arial"/>
          <w:sz w:val="29"/>
          <w:szCs w:val="29"/>
          <w:color w:val="3E5588"/>
          <w:vertAlign w:val="superscript"/>
        </w:rPr>
        <w:t>+</w:t>
      </w:r>
      <w:r>
        <w:rPr>
          <w:rFonts w:ascii="Arial" w:cs="Arial" w:eastAsia="Arial" w:hAnsi="Arial"/>
          <w:sz w:val="18"/>
          <w:szCs w:val="18"/>
          <w:color w:val="3E5588"/>
        </w:rPr>
        <w:t xml:space="preserve"> thalassemia does not necessarily predict clinical disease severity as people with both types have been diagnosed with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thalassemia major and thalassemia intermedia. Any increase in fetal hemoglobin has the potential to ameliorate the disease.</w:t>
      </w:r>
    </w:p>
    <w:p>
      <w:pPr>
        <w:spacing w:after="0" w:line="225" w:lineRule="exact"/>
        <w:rPr>
          <w:sz w:val="20"/>
          <w:szCs w:val="20"/>
          <w:color w:val="auto"/>
        </w:rPr>
      </w:pPr>
    </w:p>
    <w:p>
      <w:pPr>
        <w:jc w:val="both"/>
        <w:ind w:firstLine="361"/>
        <w:spacing w:after="0" w:line="286" w:lineRule="auto"/>
        <w:rPr>
          <w:sz w:val="20"/>
          <w:szCs w:val="20"/>
          <w:color w:val="auto"/>
        </w:rPr>
      </w:pPr>
      <w:r>
        <w:rPr>
          <w:rFonts w:ascii="Arial" w:cs="Arial" w:eastAsia="Arial" w:hAnsi="Arial"/>
          <w:sz w:val="16"/>
          <w:szCs w:val="16"/>
          <w:color w:val="3E5588"/>
        </w:rPr>
        <w:t>The current standard of care for many patients with b-thalassemia is frequent blood transfusions to manage anemia. The only potentially curative therapy for b-thalassemia is allogeneic hematopoietic stem cell transplant, which is associated with risks of complications, including mortality, and is limited to patients with a suitable donor. The European Commission granted conditional marketing authorization for ZYNTEGLO, a gene therapy developed by bluebird bio, Inc., or bluebird, for the treatment of adult and adolescent patients with transfusion-dependent b-thalassemia and with certain genotypes, in Europe in June 2019. bluebird announced that it plans to file a biologics license application, or BLA, in the United States in 2019. Acceleron Pharma, Inc., or Acceleron, in collaboration with Celgene Corp., or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to the EMA in the second quarter of 2019. There are also multiple other experimental approaches to treat b-thalassemia being explored in clinical trials, including approaches that use small molecule, gene therapy and gene editing approaches. Despite ongoing efforts to develop new therapies for b-thalassemia, we believe there is still a high unmet need that could be addressed by a small molecule, oral therapy to treatment the disease by increasing fetal hemoglobin.</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Biology of b-Thalassemia</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3E5588"/>
        </w:rPr>
        <w:t xml:space="preserve">b-thalassemia is caused by genetic mutations in the </w:t>
      </w:r>
      <w:r>
        <w:rPr>
          <w:rFonts w:ascii="Arial" w:cs="Arial" w:eastAsia="Arial" w:hAnsi="Arial"/>
          <w:sz w:val="18"/>
          <w:szCs w:val="18"/>
          <w:i w:val="1"/>
          <w:iCs w:val="1"/>
          <w:color w:val="3E5588"/>
        </w:rPr>
        <w:t>HBB</w:t>
      </w:r>
      <w:r>
        <w:rPr>
          <w:rFonts w:ascii="Arial" w:cs="Arial" w:eastAsia="Arial" w:hAnsi="Arial"/>
          <w:sz w:val="18"/>
          <w:szCs w:val="18"/>
          <w:color w:val="3E5588"/>
        </w:rPr>
        <w:t xml:space="preserve"> gene. The mutations interfere with the production of b-globin. Some mutations result in no b-globin being produced, while other mutations result in a decreased amount of b-globin being produced.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3E5588"/>
        </w:rPr>
        <w:t>Our Approach to Address the Root Cause of b-Thalassemia</w:t>
      </w:r>
    </w:p>
    <w:p>
      <w:pPr>
        <w:spacing w:after="0" w:line="225" w:lineRule="exact"/>
        <w:rPr>
          <w:sz w:val="20"/>
          <w:szCs w:val="20"/>
          <w:color w:val="auto"/>
        </w:rPr>
      </w:pPr>
    </w:p>
    <w:p>
      <w:pPr>
        <w:jc w:val="both"/>
        <w:ind w:firstLine="371"/>
        <w:spacing w:after="0" w:line="277" w:lineRule="auto"/>
        <w:rPr>
          <w:sz w:val="20"/>
          <w:szCs w:val="20"/>
          <w:color w:val="auto"/>
        </w:rPr>
      </w:pPr>
      <w:r>
        <w:rPr>
          <w:rFonts w:ascii="Arial" w:cs="Arial" w:eastAsia="Arial" w:hAnsi="Arial"/>
          <w:sz w:val="17"/>
          <w:szCs w:val="17"/>
          <w:color w:val="3E5588"/>
        </w:rPr>
        <w:t>We believe that some types of b-thalassemia may be treated by a therapy that upregulates fetal hemoglobin. Babies born with b-thalassemia major generally do not have any symptoms shortly after birth because they have fetal hemoglobin in their blood. As the fetal hemoglobin levels decrease after birth and the b-globin fails to increase, anemia appears and the babies with b-thalassemia begin to exhibit symptoms of the disease. Patients with b-thalassemia intermedia that have higher levels of fetal hemoglobin have fewer symptoms than patients with low levels of fetal hemoglobin. We believe that FTX-HbF may be suitable for clinical development for the treatment of patients who are not b</w:t>
      </w:r>
      <w:r>
        <w:rPr>
          <w:rFonts w:ascii="Arial" w:cs="Arial" w:eastAsia="Arial" w:hAnsi="Arial"/>
          <w:sz w:val="28"/>
          <w:szCs w:val="28"/>
          <w:color w:val="3E5588"/>
          <w:vertAlign w:val="superscript"/>
        </w:rPr>
        <w:t>0</w:t>
      </w:r>
      <w:r>
        <w:rPr>
          <w:rFonts w:ascii="Arial" w:cs="Arial" w:eastAsia="Arial" w:hAnsi="Arial"/>
          <w:sz w:val="17"/>
          <w:szCs w:val="17"/>
          <w:color w:val="3E5588"/>
        </w:rPr>
        <w:t xml:space="preserve"> but who are transfusion dependent.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Our Product Engine Identified the Drug Target for SCD and b-Thalassemia</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3E5588"/>
        </w:rPr>
        <w:t xml:space="preserve">Applying our product engine, we conducted target identification and validation activities using human umbilical cord blood-derived erythroid progenitor 2, or HUDEP2, cells as a model to study fetal hemoglobin reactivation. HUDEP2 cells are immature RBCs. By screening our small molecule probe library and a CRISPR library, we identified several potential drug targets that activated the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genes and resulted in fetal hemoglobin elevation. Each screening approach identified the same protein complex which we believe plays an important role in the expression of genes responsible for the production of fetal hemoglobin. We conducted additional validation experiments in which we observed that inhibition of several components of this complex resulted in the desired elevation of fetal hemoglobin. We also observed that inhibition of these components did not adversely affect important cell health markers.</w:t>
      </w:r>
    </w:p>
    <w:p>
      <w:pPr>
        <w:spacing w:after="0" w:line="174"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3E5588"/>
        </w:rPr>
        <w:t xml:space="preserve">We selected a member of this protein complex for drug discovery activities following an assessment of its tractability as a drug target, which we refer to as the HbF drug target. The normal physiological role of the HbF drug target is to facilitate a post-translational protein modification, and the goal of our medicinal chemistry program was to optimize inhibitors of the HbF drug target. We developed </w:t>
      </w:r>
      <w:r>
        <w:rPr>
          <w:rFonts w:ascii="Arial" w:cs="Arial" w:eastAsia="Arial" w:hAnsi="Arial"/>
          <w:sz w:val="16"/>
          <w:szCs w:val="16"/>
          <w:i w:val="1"/>
          <w:iCs w:val="1"/>
          <w:color w:val="3E5588"/>
        </w:rPr>
        <w:t>in vitro</w:t>
      </w:r>
      <w:r>
        <w:rPr>
          <w:rFonts w:ascii="Arial" w:cs="Arial" w:eastAsia="Arial" w:hAnsi="Arial"/>
          <w:sz w:val="16"/>
          <w:szCs w:val="16"/>
          <w:color w:val="3E5588"/>
        </w:rPr>
        <w:t xml:space="preserve"> and </w:t>
      </w:r>
      <w:r>
        <w:rPr>
          <w:rFonts w:ascii="Arial" w:cs="Arial" w:eastAsia="Arial" w:hAnsi="Arial"/>
          <w:sz w:val="16"/>
          <w:szCs w:val="16"/>
          <w:i w:val="1"/>
          <w:iCs w:val="1"/>
          <w:color w:val="3E5588"/>
        </w:rPr>
        <w:t>in vivo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E5588"/>
        </w:rPr>
        <w:t>target engagement assays, as well as enabled X-ray crystallography, to discover and develop FTX-HbF, a novel small molecule inhibitor of the HbF drug target.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FTX-HbF</w:t>
      </w:r>
    </w:p>
    <w:p>
      <w:pPr>
        <w:spacing w:after="0" w:line="225" w:lineRule="exact"/>
        <w:rPr>
          <w:sz w:val="20"/>
          <w:szCs w:val="20"/>
          <w:color w:val="auto"/>
        </w:rPr>
      </w:pPr>
    </w:p>
    <w:p>
      <w:pPr>
        <w:jc w:val="both"/>
        <w:ind w:firstLine="474"/>
        <w:spacing w:after="0" w:line="255" w:lineRule="auto"/>
        <w:rPr>
          <w:sz w:val="20"/>
          <w:szCs w:val="20"/>
          <w:color w:val="auto"/>
        </w:rPr>
      </w:pPr>
      <w:r>
        <w:rPr>
          <w:rFonts w:ascii="Arial" w:cs="Arial" w:eastAsia="Arial" w:hAnsi="Arial"/>
          <w:sz w:val="18"/>
          <w:szCs w:val="18"/>
          <w:color w:val="3E5588"/>
        </w:rPr>
        <w:t xml:space="preserve">FTX-HbF, our novel small molecule that we designed to inhibit the HbF drug target and thereby elevate fetal hemoglobin, possesses properties that we believe are well aligned with preferred parameters for oral drug delivery. We studied the cellular potency and the PK data of FTX-HbF in preclinical animal models and observed that its profile would be predictive of once or twice daily oral administration. We have not observed any off-target concerns in our </w:t>
      </w:r>
      <w:r>
        <w:rPr>
          <w:rFonts w:ascii="Arial" w:cs="Arial" w:eastAsia="Arial" w:hAnsi="Arial"/>
          <w:sz w:val="18"/>
          <w:szCs w:val="18"/>
          <w:i w:val="1"/>
          <w:iCs w:val="1"/>
          <w:color w:val="3E5588"/>
        </w:rPr>
        <w:t>in vitro</w:t>
      </w:r>
      <w:r>
        <w:rPr>
          <w:rFonts w:ascii="Arial" w:cs="Arial" w:eastAsia="Arial" w:hAnsi="Arial"/>
          <w:sz w:val="18"/>
          <w:szCs w:val="18"/>
          <w:color w:val="3E5588"/>
        </w:rPr>
        <w:t xml:space="preserve"> profiling studies, and we are conducting </w:t>
      </w:r>
      <w:r>
        <w:rPr>
          <w:rFonts w:ascii="Arial" w:cs="Arial" w:eastAsia="Arial" w:hAnsi="Arial"/>
          <w:sz w:val="18"/>
          <w:szCs w:val="18"/>
          <w:i w:val="1"/>
          <w:iCs w:val="1"/>
          <w:color w:val="3E5588"/>
        </w:rPr>
        <w:t>in vivo</w:t>
      </w:r>
      <w:r>
        <w:rPr>
          <w:rFonts w:ascii="Arial" w:cs="Arial" w:eastAsia="Arial" w:hAnsi="Arial"/>
          <w:sz w:val="18"/>
          <w:szCs w:val="18"/>
          <w:color w:val="3E5588"/>
        </w:rPr>
        <w:t xml:space="preserve"> toxicology studies to evaluate FTX-HbF. We have initiated IND-enabling activities and we aim to submit an IND in mid-2020.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Preclinical Studies</w:t>
      </w:r>
    </w:p>
    <w:p>
      <w:pPr>
        <w:spacing w:after="0" w:line="225"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3E5588"/>
        </w:rPr>
        <w:t xml:space="preserve">We have observed </w:t>
      </w:r>
      <w:r>
        <w:rPr>
          <w:rFonts w:ascii="Arial" w:cs="Arial" w:eastAsia="Arial" w:hAnsi="Arial"/>
          <w:sz w:val="18"/>
          <w:szCs w:val="18"/>
          <w:i w:val="1"/>
          <w:iCs w:val="1"/>
          <w:color w:val="3E5588"/>
        </w:rPr>
        <w:t>in vitro</w:t>
      </w:r>
      <w:r>
        <w:rPr>
          <w:rFonts w:ascii="Arial" w:cs="Arial" w:eastAsia="Arial" w:hAnsi="Arial"/>
          <w:sz w:val="18"/>
          <w:szCs w:val="18"/>
          <w:color w:val="3E5588"/>
        </w:rPr>
        <w:t xml:space="preserve"> and </w:t>
      </w:r>
      <w:r>
        <w:rPr>
          <w:rFonts w:ascii="Arial" w:cs="Arial" w:eastAsia="Arial" w:hAnsi="Arial"/>
          <w:sz w:val="18"/>
          <w:szCs w:val="18"/>
          <w:i w:val="1"/>
          <w:iCs w:val="1"/>
          <w:color w:val="3E5588"/>
        </w:rPr>
        <w:t>in vivo</w:t>
      </w:r>
      <w:r>
        <w:rPr>
          <w:rFonts w:ascii="Arial" w:cs="Arial" w:eastAsia="Arial" w:hAnsi="Arial"/>
          <w:sz w:val="18"/>
          <w:szCs w:val="18"/>
          <w:color w:val="3E5588"/>
        </w:rPr>
        <w:t xml:space="preserve"> activation of the </w:t>
      </w:r>
      <w:r>
        <w:rPr>
          <w:rFonts w:ascii="Arial" w:cs="Arial" w:eastAsia="Arial" w:hAnsi="Arial"/>
          <w:sz w:val="18"/>
          <w:szCs w:val="18"/>
          <w:i w:val="1"/>
          <w:iCs w:val="1"/>
          <w:color w:val="3E5588"/>
        </w:rPr>
        <w:t>HBG1/2</w:t>
      </w:r>
      <w:r>
        <w:rPr>
          <w:rFonts w:ascii="Arial" w:cs="Arial" w:eastAsia="Arial" w:hAnsi="Arial"/>
          <w:sz w:val="18"/>
          <w:szCs w:val="18"/>
          <w:color w:val="3E5588"/>
        </w:rPr>
        <w:t xml:space="preserve"> genes in preclinical studies with FTX-HbF. We observed that FTX-HbF elevated levels of fetal hemoglobin with minimal adverse effect on important cellular health markers. As depicted in the graphic below, we also observed </w:t>
      </w:r>
      <w:r>
        <w:rPr>
          <w:rFonts w:ascii="Arial" w:cs="Arial" w:eastAsia="Arial" w:hAnsi="Arial"/>
          <w:sz w:val="18"/>
          <w:szCs w:val="18"/>
          <w:i w:val="1"/>
          <w:iCs w:val="1"/>
          <w:color w:val="3E5588"/>
        </w:rPr>
        <w:t>in vitro</w:t>
      </w:r>
      <w:r>
        <w:rPr>
          <w:rFonts w:ascii="Arial" w:cs="Arial" w:eastAsia="Arial" w:hAnsi="Arial"/>
          <w:sz w:val="18"/>
          <w:szCs w:val="18"/>
          <w:color w:val="3E5588"/>
        </w:rPr>
        <w:t xml:space="preserve"> upregulation of fetal hemoglobin in primary human CD34+ cells differentiated into RBCs from five different human donors after five days of drug treatment. FTX-HbF showed a significant elevation of fetal hemoglobin over baseline in each of these five cell lines.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01"/>
        </w:rPr>
        <w:t>Effect of FTX-HbF treatment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0001"/>
        </w:rPr>
        <w:t>in differentiated primary human CD34+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144145</wp:posOffset>
            </wp:positionV>
            <wp:extent cx="3816350" cy="23152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16350" cy="2315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442"/>
        <w:spacing w:after="0" w:line="259" w:lineRule="auto"/>
        <w:rPr>
          <w:sz w:val="20"/>
          <w:szCs w:val="20"/>
          <w:color w:val="auto"/>
        </w:rPr>
      </w:pPr>
      <w:r>
        <w:rPr>
          <w:rFonts w:ascii="Arial" w:cs="Arial" w:eastAsia="Arial" w:hAnsi="Arial"/>
          <w:sz w:val="18"/>
          <w:szCs w:val="18"/>
          <w:color w:val="3E5588"/>
        </w:rPr>
        <w:t>Additionally, we compared the effect of FTX-HbF in CD34+ derived cells relative to that of hydroxyurea. We observed that hydroxyurea had a minimal impact on fetal hemoglobin elevation, whereas we observed that FTX-HbF significantly elevated fetal hemoglobin. In cells treated with the combination of FTX-HbF and hydroxyurea, we observed an increased effect relative to either compound alone.</w:t>
      </w:r>
    </w:p>
    <w:p>
      <w:pPr>
        <w:spacing w:after="0" w:line="19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3E5588"/>
        </w:rPr>
        <w:t xml:space="preserve">In preclinical PK/PD studies in mice, we observed that blood cells had dose-dependent drug target engagement after 4.5 days of oral treatment. We believe our drug target is conserved between species, which is supported by our observation of a concomitant upregulation of the mouse embryonic globin gene under conditions where we observed drug target engagement. Since mice do not have the </w:t>
      </w:r>
      <w:r>
        <w:rPr>
          <w:rFonts w:ascii="Arial" w:cs="Arial" w:eastAsia="Arial" w:hAnsi="Arial"/>
          <w:sz w:val="16"/>
          <w:szCs w:val="16"/>
          <w:i w:val="1"/>
          <w:iCs w:val="1"/>
          <w:color w:val="3E5588"/>
        </w:rPr>
        <w:t>HBG1/2</w:t>
      </w:r>
      <w:r>
        <w:rPr>
          <w:rFonts w:ascii="Arial" w:cs="Arial" w:eastAsia="Arial" w:hAnsi="Arial"/>
          <w:sz w:val="16"/>
          <w:szCs w:val="16"/>
          <w:color w:val="3E5588"/>
        </w:rPr>
        <w:t xml:space="preserve"> genes found in humans, we used the mouse embryonic globin gene </w:t>
      </w:r>
      <w:r>
        <w:rPr>
          <w:rFonts w:ascii="Arial" w:cs="Arial" w:eastAsia="Arial" w:hAnsi="Arial"/>
          <w:sz w:val="16"/>
          <w:szCs w:val="16"/>
          <w:i w:val="1"/>
          <w:iCs w:val="1"/>
          <w:color w:val="3E5588"/>
        </w:rPr>
        <w:t xml:space="preserve">hbb-bh1 </w:t>
      </w:r>
      <w:r>
        <w:rPr>
          <w:rFonts w:ascii="Arial" w:cs="Arial" w:eastAsia="Arial" w:hAnsi="Arial"/>
          <w:sz w:val="16"/>
          <w:szCs w:val="16"/>
          <w:color w:val="3E5588"/>
        </w:rPr>
        <w:t>as a surrogate for the human</w:t>
      </w:r>
      <w:r>
        <w:rPr>
          <w:rFonts w:ascii="Arial" w:cs="Arial" w:eastAsia="Arial" w:hAnsi="Arial"/>
          <w:sz w:val="16"/>
          <w:szCs w:val="16"/>
          <w:i w:val="1"/>
          <w:iCs w:val="1"/>
          <w:color w:val="3E5588"/>
        </w:rPr>
        <w:t xml:space="preserve"> HBG1/2 </w:t>
      </w:r>
      <w:r>
        <w:rPr>
          <w:rFonts w:ascii="Arial" w:cs="Arial" w:eastAsia="Arial" w:hAnsi="Arial"/>
          <w:sz w:val="16"/>
          <w:szCs w:val="16"/>
          <w:color w:val="3E5588"/>
        </w:rPr>
        <w:t>genes. We measured the target engagement in the mouse from whole blood. We concluded from the data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3E5588"/>
        </w:rPr>
        <w:t xml:space="preserve">that FTX-HbF engaged the drug target </w:t>
      </w:r>
      <w:r>
        <w:rPr>
          <w:rFonts w:ascii="Arial" w:cs="Arial" w:eastAsia="Arial" w:hAnsi="Arial"/>
          <w:sz w:val="18"/>
          <w:szCs w:val="18"/>
          <w:i w:val="1"/>
          <w:iCs w:val="1"/>
          <w:color w:val="3E5588"/>
        </w:rPr>
        <w:t>in vivo</w:t>
      </w:r>
      <w:r>
        <w:rPr>
          <w:rFonts w:ascii="Arial" w:cs="Arial" w:eastAsia="Arial" w:hAnsi="Arial"/>
          <w:sz w:val="18"/>
          <w:szCs w:val="18"/>
          <w:color w:val="3E5588"/>
        </w:rPr>
        <w:t xml:space="preserve"> and modulated the endogenous mouse globin gene expression program. The results of this study are depicted below.</w:t>
      </w:r>
    </w:p>
    <w:p>
      <w:pPr>
        <w:sectPr>
          <w:pgSz w:w="11900" w:h="16838" w:orient="portrait"/>
          <w:cols w:equalWidth="0" w:num="1">
            <w:col w:w="11420"/>
          </w:cols>
          <w:pgMar w:left="240" w:top="131" w:right="239" w:bottom="1440" w:gutter="0" w:footer="0" w:header="0"/>
        </w:sectPr>
      </w:pPr>
    </w:p>
    <w:p>
      <w:pPr>
        <w:spacing w:after="0" w:line="180" w:lineRule="exact"/>
        <w:rPr>
          <w:sz w:val="20"/>
          <w:szCs w:val="20"/>
          <w:color w:val="auto"/>
        </w:rPr>
      </w:pPr>
    </w:p>
    <w:p>
      <w:pPr>
        <w:jc w:val="center"/>
        <w:ind w:left="740"/>
        <w:spacing w:after="0"/>
        <w:rPr>
          <w:sz w:val="20"/>
          <w:szCs w:val="20"/>
          <w:color w:val="auto"/>
        </w:rPr>
      </w:pPr>
      <w:r>
        <w:rPr>
          <w:rFonts w:ascii="Arial" w:cs="Arial" w:eastAsia="Arial" w:hAnsi="Arial"/>
          <w:sz w:val="15"/>
          <w:szCs w:val="15"/>
          <w:b w:val="1"/>
          <w:bCs w:val="1"/>
          <w:color w:val="000001"/>
        </w:rPr>
        <w:t>Target engagement modification in</w:t>
      </w:r>
    </w:p>
    <w:p>
      <w:pPr>
        <w:spacing w:after="0" w:line="56" w:lineRule="exact"/>
        <w:rPr>
          <w:sz w:val="20"/>
          <w:szCs w:val="20"/>
          <w:color w:val="auto"/>
        </w:rPr>
      </w:pPr>
    </w:p>
    <w:p>
      <w:pPr>
        <w:jc w:val="center"/>
        <w:ind w:left="740"/>
        <w:spacing w:after="0"/>
        <w:rPr>
          <w:sz w:val="20"/>
          <w:szCs w:val="20"/>
          <w:color w:val="auto"/>
        </w:rPr>
      </w:pPr>
      <w:r>
        <w:rPr>
          <w:rFonts w:ascii="Arial" w:cs="Arial" w:eastAsia="Arial" w:hAnsi="Arial"/>
          <w:sz w:val="18"/>
          <w:szCs w:val="18"/>
          <w:b w:val="1"/>
          <w:bCs w:val="1"/>
          <w:color w:val="000001"/>
        </w:rPr>
        <w:t>mouse blood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161290</wp:posOffset>
            </wp:positionV>
            <wp:extent cx="2066925" cy="31127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66925" cy="3112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1900"/>
        <w:spacing w:after="0"/>
        <w:rPr>
          <w:sz w:val="20"/>
          <w:szCs w:val="20"/>
          <w:color w:val="auto"/>
        </w:rPr>
      </w:pPr>
      <w:r>
        <w:rPr>
          <w:rFonts w:ascii="Arial" w:cs="Arial" w:eastAsia="Arial" w:hAnsi="Arial"/>
          <w:sz w:val="15"/>
          <w:szCs w:val="15"/>
          <w:b w:val="1"/>
          <w:bCs w:val="1"/>
          <w:color w:val="000001"/>
        </w:rPr>
        <w:t>Mouse embryonic globin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465455</wp:posOffset>
            </wp:positionV>
            <wp:extent cx="2160905" cy="3061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60905" cy="3061335"/>
                    </a:xfrm>
                    <a:prstGeom prst="rect">
                      <a:avLst/>
                    </a:prstGeom>
                    <a:noFill/>
                  </pic:spPr>
                </pic:pic>
              </a:graphicData>
            </a:graphic>
          </wp:anchor>
        </w:drawing>
      </w:r>
    </w:p>
    <w:p>
      <w:pPr>
        <w:spacing w:after="0" w:line="462" w:lineRule="exact"/>
        <w:rPr>
          <w:sz w:val="20"/>
          <w:szCs w:val="20"/>
          <w:color w:val="auto"/>
        </w:rPr>
      </w:pPr>
    </w:p>
    <w:p>
      <w:pPr>
        <w:sectPr>
          <w:pgSz w:w="11900" w:h="16838" w:orient="portrait"/>
          <w:cols w:equalWidth="0" w:num="2">
            <w:col w:w="5940" w:space="720"/>
            <w:col w:w="476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ind w:firstLine="380"/>
        <w:spacing w:after="0" w:line="289" w:lineRule="auto"/>
        <w:rPr>
          <w:sz w:val="20"/>
          <w:szCs w:val="20"/>
          <w:color w:val="auto"/>
        </w:rPr>
      </w:pPr>
      <w:r>
        <w:rPr>
          <w:rFonts w:ascii="Arial" w:cs="Arial" w:eastAsia="Arial" w:hAnsi="Arial"/>
          <w:sz w:val="16"/>
          <w:szCs w:val="16"/>
          <w:color w:val="3E5588"/>
        </w:rPr>
        <w:t>In the graphic on the left, we measured the amount of drug target engagement modification in mouse blood cells after five days of treatment. In the vehicle-treated mice, we observed maximum levels of protein modification, whereas in the FTX-HbF treated mice, we observed significantly lower levels of modification, which indicates significant target engagement. Each point represents the value for a different mouse, shown as a percent of the average vehicle-treated value. In the graphic on the right, we determined the level of mouse embryonic globin mRNA levels in mouse blood after five days of treatment. The data is from an average of four or five mice per treatment. In these studies, we used a conventional method of assessing statistical significance known as a two-tailed test. The p-value for each of the studies depicted above was 0.0005. A p-value is a conventional statistical method for measuring the statistical significance of experimental results. A p-value of less than 0.05 is generally considered to represent statistical significance, meaning that there is a less than five percent likelihood that the observed results occurred by chance.</w:t>
      </w:r>
    </w:p>
    <w:p>
      <w:pPr>
        <w:spacing w:after="0" w:line="172" w:lineRule="exact"/>
        <w:rPr>
          <w:sz w:val="20"/>
          <w:szCs w:val="20"/>
          <w:color w:val="auto"/>
        </w:rPr>
      </w:pPr>
    </w:p>
    <w:p>
      <w:pPr>
        <w:jc w:val="both"/>
        <w:ind w:firstLine="406"/>
        <w:spacing w:after="0" w:line="323" w:lineRule="auto"/>
        <w:rPr>
          <w:sz w:val="20"/>
          <w:szCs w:val="20"/>
          <w:color w:val="auto"/>
        </w:rPr>
      </w:pPr>
      <w:r>
        <w:rPr>
          <w:rFonts w:ascii="Arial" w:cs="Arial" w:eastAsia="Arial" w:hAnsi="Arial"/>
          <w:sz w:val="15"/>
          <w:szCs w:val="15"/>
          <w:color w:val="3E5588"/>
        </w:rPr>
        <w:t xml:space="preserve">Additionally, we studied FTX-HbF in a mouse model of SCD, known as the Townes mouse model. In this model, mouse globin genes have been replaced with human globin genes, thereby allowing investigations of mechanisms that may regulate human hemoglobin gene expression. The Townes mouse model has been widely used to study potential treatments for SCD. As shown in the figures below, we observed that FTX-HbF resulted in a significant increase in </w:t>
      </w:r>
      <w:r>
        <w:rPr>
          <w:rFonts w:ascii="Arial" w:cs="Arial" w:eastAsia="Arial" w:hAnsi="Arial"/>
          <w:sz w:val="15"/>
          <w:szCs w:val="15"/>
          <w:i w:val="1"/>
          <w:iCs w:val="1"/>
          <w:color w:val="3E5588"/>
        </w:rPr>
        <w:t>HBG1</w:t>
      </w:r>
      <w:r>
        <w:rPr>
          <w:rFonts w:ascii="Arial" w:cs="Arial" w:eastAsia="Arial" w:hAnsi="Arial"/>
          <w:sz w:val="15"/>
          <w:szCs w:val="15"/>
          <w:color w:val="3E5588"/>
        </w:rPr>
        <w:t xml:space="preserve"> gene expression and HbF protein after 28 days of dosing at 5 mg/kg twice per day. Hydroxyurea did not result in a significant elevation of </w:t>
      </w:r>
      <w:r>
        <w:rPr>
          <w:rFonts w:ascii="Arial" w:cs="Arial" w:eastAsia="Arial" w:hAnsi="Arial"/>
          <w:sz w:val="15"/>
          <w:szCs w:val="15"/>
          <w:i w:val="1"/>
          <w:iCs w:val="1"/>
          <w:color w:val="3E5588"/>
        </w:rPr>
        <w:t>HBG1</w:t>
      </w:r>
      <w:r>
        <w:rPr>
          <w:rFonts w:ascii="Arial" w:cs="Arial" w:eastAsia="Arial" w:hAnsi="Arial"/>
          <w:sz w:val="15"/>
          <w:szCs w:val="15"/>
          <w:color w:val="3E5588"/>
        </w:rPr>
        <w:t xml:space="preserve"> gene expression.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2" w:name="page123"/>
    <w:bookmarkEnd w:id="12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31" w:right="239" w:bottom="1440" w:gutter="0" w:footer="0" w:header="0"/>
        </w:sectPr>
      </w:pPr>
    </w:p>
    <w:p>
      <w:pPr>
        <w:spacing w:after="0" w:line="254"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000001"/>
        </w:rPr>
        <w:t>HBG1 mRNA levels in Townes mouse</w:t>
      </w:r>
    </w:p>
    <w:p>
      <w:pPr>
        <w:spacing w:after="0" w:line="56" w:lineRule="exact"/>
        <w:rPr>
          <w:sz w:val="20"/>
          <w:szCs w:val="20"/>
          <w:color w:val="auto"/>
        </w:rPr>
      </w:pPr>
    </w:p>
    <w:p>
      <w:pPr>
        <w:jc w:val="center"/>
        <w:ind w:left="800"/>
        <w:spacing w:after="0"/>
        <w:rPr>
          <w:sz w:val="20"/>
          <w:szCs w:val="20"/>
          <w:color w:val="auto"/>
        </w:rPr>
      </w:pPr>
      <w:r>
        <w:rPr>
          <w:rFonts w:ascii="Arial" w:cs="Arial" w:eastAsia="Arial" w:hAnsi="Arial"/>
          <w:sz w:val="18"/>
          <w:szCs w:val="18"/>
          <w:b w:val="1"/>
          <w:bCs w:val="1"/>
          <w:color w:val="000001"/>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255905</wp:posOffset>
            </wp:positionV>
            <wp:extent cx="2684145" cy="22726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84145" cy="227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2020"/>
        <w:spacing w:after="0"/>
        <w:rPr>
          <w:sz w:val="20"/>
          <w:szCs w:val="20"/>
          <w:color w:val="auto"/>
        </w:rPr>
      </w:pPr>
      <w:r>
        <w:rPr>
          <w:rFonts w:ascii="Arial" w:cs="Arial" w:eastAsia="Arial" w:hAnsi="Arial"/>
          <w:sz w:val="15"/>
          <w:szCs w:val="15"/>
          <w:b w:val="1"/>
          <w:bCs w:val="1"/>
          <w:color w:val="000001"/>
        </w:rPr>
        <w:t>HbF protein levels in Townes mouse</w:t>
      </w:r>
    </w:p>
    <w:p>
      <w:pPr>
        <w:spacing w:after="0" w:line="56" w:lineRule="exact"/>
        <w:rPr>
          <w:sz w:val="20"/>
          <w:szCs w:val="20"/>
          <w:color w:val="auto"/>
        </w:rPr>
      </w:pPr>
    </w:p>
    <w:p>
      <w:pPr>
        <w:jc w:val="center"/>
        <w:ind w:right="2020"/>
        <w:spacing w:after="0"/>
        <w:rPr>
          <w:sz w:val="20"/>
          <w:szCs w:val="20"/>
          <w:color w:val="auto"/>
        </w:rPr>
      </w:pPr>
      <w:r>
        <w:rPr>
          <w:rFonts w:ascii="Arial" w:cs="Arial" w:eastAsia="Arial" w:hAnsi="Arial"/>
          <w:sz w:val="18"/>
          <w:szCs w:val="18"/>
          <w:b w:val="1"/>
          <w:bCs w:val="1"/>
          <w:color w:val="000001"/>
        </w:rPr>
        <w:t>treated with FTX-HbF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-535305</wp:posOffset>
            </wp:positionH>
            <wp:positionV relativeFrom="paragraph">
              <wp:posOffset>161290</wp:posOffset>
            </wp:positionV>
            <wp:extent cx="2778760" cy="23666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78760" cy="2366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80" w:space="720"/>
            <w:col w:w="4720"/>
          </w:cols>
          <w:pgMar w:left="240" w:top="1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3E5588"/>
        </w:rPr>
        <w:t>In the graphic on the left, we determined the level of human HBG1 mRNA for the four treatment conditions from mouse blood, shown as a percentage of vehicle-alone-treated SCD mice. In the graphic on the right, we determined the level of human HbF protein for the four treatment conditions, shown as a percentage of vehicle-alone-treated SCD mice. Each value represents the mean value from five or six mice per treatment after 28 days of treatment. In these studies, we used a conventional method of assessing statistical significance known as a one-way analysis of variance, or ANOVA. The p-value for the study depicted on the left was less than 0.0001 and the p-value for the study depicted on the right was less than 0.001.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Our Development Plan for FTX-HbF</w:t>
      </w:r>
    </w:p>
    <w:p>
      <w:pPr>
        <w:spacing w:after="0" w:line="225"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3E5588"/>
        </w:rPr>
        <w:t>We are currently conducting IND-enabling studies and intend to submit an IND for FTX-HbF in mid-2020. We intend to initiate a Phase 1 clinical trial of FTX-HbF in healthy volunteers in late 2020. The Phase 1 trial will be designed to investigate the safety and tolerability of single and multiple ascending doses of FTX-HbF and to define the relationship between PK and target engagement in blood.</w:t>
      </w:r>
    </w:p>
    <w:p>
      <w:pPr>
        <w:spacing w:after="0" w:line="194" w:lineRule="exact"/>
        <w:rPr>
          <w:sz w:val="20"/>
          <w:szCs w:val="20"/>
          <w:color w:val="auto"/>
        </w:rPr>
      </w:pPr>
    </w:p>
    <w:p>
      <w:pPr>
        <w:jc w:val="both"/>
        <w:ind w:firstLine="377"/>
        <w:spacing w:after="0" w:line="313" w:lineRule="auto"/>
        <w:rPr>
          <w:sz w:val="20"/>
          <w:szCs w:val="20"/>
          <w:color w:val="auto"/>
        </w:rPr>
      </w:pPr>
      <w:r>
        <w:rPr>
          <w:rFonts w:ascii="Arial" w:cs="Arial" w:eastAsia="Arial" w:hAnsi="Arial"/>
          <w:sz w:val="16"/>
          <w:szCs w:val="16"/>
          <w:color w:val="3E5588"/>
        </w:rPr>
        <w:t>Following completion of the Phase 1 trial, we would consider a parallel development path in SCD and b-thalassemia. We expect that our target SCD patient population will be adult SCD patients with inadequate disease control and that concomitant use of hydroxyurea and/or L-glutamine will be allowed when available. We expect that our target b-thalassemia patient population will be adult b-thalassemia patients who are not b</w:t>
      </w:r>
      <w:r>
        <w:rPr>
          <w:rFonts w:ascii="Arial" w:cs="Arial" w:eastAsia="Arial" w:hAnsi="Arial"/>
          <w:sz w:val="26"/>
          <w:szCs w:val="26"/>
          <w:color w:val="3E5588"/>
          <w:vertAlign w:val="superscript"/>
        </w:rPr>
        <w:t>0</w:t>
      </w:r>
      <w:r>
        <w:rPr>
          <w:rFonts w:ascii="Arial" w:cs="Arial" w:eastAsia="Arial" w:hAnsi="Arial"/>
          <w:sz w:val="16"/>
          <w:szCs w:val="16"/>
          <w:color w:val="3E5588"/>
        </w:rPr>
        <w:t xml:space="preserve"> but are transfusion-dependent.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Discovery Screening Programs</w:t>
      </w:r>
    </w:p>
    <w:p>
      <w:pPr>
        <w:spacing w:after="0" w:line="231" w:lineRule="exact"/>
        <w:rPr>
          <w:sz w:val="20"/>
          <w:szCs w:val="20"/>
          <w:color w:val="auto"/>
        </w:rPr>
      </w:pPr>
    </w:p>
    <w:p>
      <w:pPr>
        <w:jc w:val="both"/>
        <w:ind w:firstLine="388"/>
        <w:spacing w:after="0" w:line="256" w:lineRule="auto"/>
        <w:rPr>
          <w:sz w:val="20"/>
          <w:szCs w:val="20"/>
          <w:color w:val="auto"/>
        </w:rPr>
      </w:pPr>
      <w:r>
        <w:rPr>
          <w:rFonts w:ascii="Arial" w:cs="Arial" w:eastAsia="Arial" w:hAnsi="Arial"/>
          <w:sz w:val="18"/>
          <w:szCs w:val="18"/>
          <w:color w:val="3E5588"/>
        </w:rPr>
        <w:t>We have leveraged our proprietary product engine to discover targets that we are pursuing with small molecules for FSHD and SCD and b-thalassemia. We are leveraging the broad applicability of our product engine to discover drug targets for other rare, genetically defined diseases across neuromuscular and CNS diseases. We plan to complete four additional screens in 2019. These four diseases and our approach to identifying targets to address the root cause of each disease are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130810</wp:posOffset>
            </wp:positionV>
            <wp:extent cx="5556885" cy="1037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5688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92"/>
        <w:spacing w:after="0" w:line="298" w:lineRule="auto"/>
        <w:rPr>
          <w:sz w:val="20"/>
          <w:szCs w:val="20"/>
          <w:color w:val="auto"/>
        </w:rPr>
      </w:pPr>
      <w:r>
        <w:rPr>
          <w:rFonts w:ascii="Arial" w:cs="Arial" w:eastAsia="Arial" w:hAnsi="Arial"/>
          <w:sz w:val="16"/>
          <w:szCs w:val="16"/>
          <w:color w:val="3E5588"/>
        </w:rPr>
        <w:t>We currently plan to conduct six additional screens in 2020, and we are undergoing a rigorous disease assessment and selection process. Although we believe our product engine and screening efforts are robust and have a high likelihood of identifying drug targets for each new screen area, we intend to focus on advancing the most attractive targets and development candidates identified from our screening efforts for development. We may also selectively consider external partnerships for those areas that may be more appropriate for a partner to advance.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Duchenne Muscular Dystrophy</w:t>
      </w:r>
    </w:p>
    <w:p>
      <w:pPr>
        <w:spacing w:after="0" w:line="225"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3E5588"/>
        </w:rPr>
        <w:t>Duchenne muscular dystrophy, or DMD, is the most common childhood-onset muscular dystrophy with a prevalence of approximately one out of every 3,500 male births. Patients usually are diagnosed before five years of age and typically require the use of wheelchairs before their teens. Life-threatening cardiac and respiratory complications result in a life expectancy of 20-30 years without any treatment. Currently, management of these complications by standard of care treatment (</w:t>
      </w:r>
      <w:r>
        <w:rPr>
          <w:rFonts w:ascii="Arial" w:cs="Arial" w:eastAsia="Arial" w:hAnsi="Arial"/>
          <w:sz w:val="16"/>
          <w:szCs w:val="16"/>
          <w:i w:val="1"/>
          <w:iCs w:val="1"/>
          <w:color w:val="3E5588"/>
        </w:rPr>
        <w:t>e.g.</w:t>
      </w:r>
      <w:r>
        <w:rPr>
          <w:rFonts w:ascii="Arial" w:cs="Arial" w:eastAsia="Arial" w:hAnsi="Arial"/>
          <w:sz w:val="16"/>
          <w:szCs w:val="16"/>
          <w:color w:val="3E5588"/>
        </w:rPr>
        <w:t xml:space="preserve">, corticosteroids) can extend life expectancy, however, there are no approved disease-modifying therapies. This X-chromosome linked disease is caused by mutations in the </w:t>
      </w:r>
      <w:r>
        <w:rPr>
          <w:rFonts w:ascii="Arial" w:cs="Arial" w:eastAsia="Arial" w:hAnsi="Arial"/>
          <w:sz w:val="16"/>
          <w:szCs w:val="16"/>
          <w:i w:val="1"/>
          <w:iCs w:val="1"/>
          <w:color w:val="3E5588"/>
        </w:rPr>
        <w:t>DMD</w:t>
      </w:r>
      <w:r>
        <w:rPr>
          <w:rFonts w:ascii="Arial" w:cs="Arial" w:eastAsia="Arial" w:hAnsi="Arial"/>
          <w:sz w:val="16"/>
          <w:szCs w:val="16"/>
          <w:color w:val="3E5588"/>
        </w:rPr>
        <w:t xml:space="preserve"> gene resulting in the loss of expression or function of the protein dystrophin. Dystrophin is an integral component of a large multiprotein complex that functions by linking the sarcolemma (the plasma membrane in muscle fibers) with the cytoskeleton and other motor machinery. In the absence of dystrophin, progressive muscle fiber degeneration results in loss of function and clinical manifestation of the disease.</w:t>
      </w:r>
    </w:p>
    <w:p>
      <w:pPr>
        <w:spacing w:after="0" w:line="172" w:lineRule="exact"/>
        <w:rPr>
          <w:sz w:val="20"/>
          <w:szCs w:val="20"/>
          <w:color w:val="auto"/>
        </w:rPr>
      </w:pPr>
    </w:p>
    <w:p>
      <w:pPr>
        <w:jc w:val="both"/>
        <w:ind w:right="20" w:firstLine="469"/>
        <w:spacing w:after="0" w:line="306" w:lineRule="auto"/>
        <w:rPr>
          <w:sz w:val="20"/>
          <w:szCs w:val="20"/>
          <w:color w:val="auto"/>
        </w:rPr>
      </w:pPr>
      <w:r>
        <w:rPr>
          <w:rFonts w:ascii="Arial" w:cs="Arial" w:eastAsia="Arial" w:hAnsi="Arial"/>
          <w:sz w:val="16"/>
          <w:szCs w:val="16"/>
          <w:color w:val="3E5588"/>
        </w:rPr>
        <w:t>Our goal is to apply our product engine to identify drug targets to increase the expression of utrophin, a dystrophin-related protein, that can replace the function of dystrophin in the membrane and address the dysfunction due to damaged muscle fibers. Utrophin is normally expressed in other tissues and studies have shown that higher levels of this protein result in functional improvements in animal models of the disease.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Friedreich Ataxia</w:t>
      </w:r>
    </w:p>
    <w:p>
      <w:pPr>
        <w:spacing w:after="0" w:line="22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8"/>
          <w:szCs w:val="18"/>
          <w:color w:val="3E5588"/>
        </w:rPr>
        <w:t xml:space="preserve">Friedreich ataxia, or FA, a neuromuscular disorder affecting about one out of every 40,000 people, is the most common hereditary ataxia, with a typical age of onset between 10 and 15 years. The progressive impaired muscle coordination, ataxia, is caused by the degeneration of neurons in the cerebellum and dorsal root ganglia in the spinal cord. FA patients also commonly suffer from life-threatening heart conditions such as hypertrophic cardiomyopathy, myocardial fibrosis and heart failure. There are no approved disease-modifying therapies. The genetic root cause of FA is an expansion of a sequence in the frataxin gene, </w:t>
      </w:r>
      <w:r>
        <w:rPr>
          <w:rFonts w:ascii="Arial" w:cs="Arial" w:eastAsia="Arial" w:hAnsi="Arial"/>
          <w:sz w:val="18"/>
          <w:szCs w:val="18"/>
          <w:i w:val="1"/>
          <w:iCs w:val="1"/>
          <w:color w:val="3E5588"/>
        </w:rPr>
        <w:t>FXN,</w:t>
      </w:r>
      <w:r>
        <w:rPr>
          <w:rFonts w:ascii="Arial" w:cs="Arial" w:eastAsia="Arial" w:hAnsi="Arial"/>
          <w:sz w:val="18"/>
          <w:szCs w:val="18"/>
          <w:color w:val="3E5588"/>
        </w:rPr>
        <w:t xml:space="preserve"> which causes its downregulation. Loss of function of frataxin, an important protein involved in iron metabolism, results in oxidative stress and mitochondrial dysfunction.</w:t>
      </w:r>
    </w:p>
    <w:p>
      <w:pPr>
        <w:spacing w:after="0" w:line="198"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3E5588"/>
        </w:rPr>
        <w:t>Our goal is to apply our product engine to identify drug targets that can upregulate the levels of frataxin protein to levels that will impact and restore function to prevent neuronal and cardiac cell degeneration.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Myotonic Dystrophy 1</w:t>
      </w:r>
    </w:p>
    <w:p>
      <w:pPr>
        <w:spacing w:after="0" w:line="2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3E5588"/>
        </w:rPr>
        <w:t xml:space="preserve">Myotonic dystrophy 1, or DM1, is the most common adult-onset muscular dystrophy affecting about one out of every 8,000 people, with a typical age of onset between 20 and 40 years. It is characterized by muscle weakness and myotonia. Cardiopulmonary complications when present can be life-threatening and current treatments are directed toward managing these complications. There are no approved disease-modifying therapies. DM1 is caused by expansion of a triple nucleotide repeat present in the non-coding region of the </w:t>
      </w:r>
      <w:r>
        <w:rPr>
          <w:rFonts w:ascii="Arial" w:cs="Arial" w:eastAsia="Arial" w:hAnsi="Arial"/>
          <w:sz w:val="16"/>
          <w:szCs w:val="16"/>
          <w:i w:val="1"/>
          <w:iCs w:val="1"/>
          <w:color w:val="3E5588"/>
        </w:rPr>
        <w:t>DMPK</w:t>
      </w:r>
      <w:r>
        <w:rPr>
          <w:rFonts w:ascii="Arial" w:cs="Arial" w:eastAsia="Arial" w:hAnsi="Arial"/>
          <w:sz w:val="16"/>
          <w:szCs w:val="16"/>
          <w:color w:val="3E5588"/>
        </w:rPr>
        <w:t xml:space="preserve"> gene and are part of its mature transcript. More than 50 cytosine-thymine-guanine repeats are usually associated with pathology and disease severity is proportional to the number of repeats, which can expand to over 4,000. The accumulation of </w:t>
      </w:r>
      <w:r>
        <w:rPr>
          <w:rFonts w:ascii="Arial" w:cs="Arial" w:eastAsia="Arial" w:hAnsi="Arial"/>
          <w:sz w:val="16"/>
          <w:szCs w:val="16"/>
          <w:i w:val="1"/>
          <w:iCs w:val="1"/>
          <w:color w:val="3E5588"/>
        </w:rPr>
        <w:t>DMPK</w:t>
      </w:r>
      <w:r>
        <w:rPr>
          <w:rFonts w:ascii="Arial" w:cs="Arial" w:eastAsia="Arial" w:hAnsi="Arial"/>
          <w:sz w:val="16"/>
          <w:szCs w:val="16"/>
          <w:color w:val="3E5588"/>
        </w:rPr>
        <w:t xml:space="preserve"> gene transcripts containing long repeats result in the sequestration of proteins important for the correct splicing of important transcripts participating in the function of skeletal and cardiac muscle and other tissues.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3E5588"/>
        </w:rPr>
        <w:t xml:space="preserve">Our goal is to apply our product engine to identify drug targets that may lead to downregulation of the expression of the </w:t>
      </w:r>
      <w:r>
        <w:rPr>
          <w:rFonts w:ascii="Arial" w:cs="Arial" w:eastAsia="Arial" w:hAnsi="Arial"/>
          <w:sz w:val="18"/>
          <w:szCs w:val="18"/>
          <w:i w:val="1"/>
          <w:iCs w:val="1"/>
          <w:color w:val="3E5588"/>
        </w:rPr>
        <w:t>DMPK</w:t>
      </w:r>
      <w:r>
        <w:rPr>
          <w:rFonts w:ascii="Arial" w:cs="Arial" w:eastAsia="Arial" w:hAnsi="Arial"/>
          <w:sz w:val="18"/>
          <w:szCs w:val="18"/>
          <w:color w:val="3E5588"/>
        </w:rPr>
        <w:t xml:space="preserve"> gene in order to reduce the levels of the pathological repeats and improve muscle function. Reduction of </w:t>
      </w:r>
      <w:r>
        <w:rPr>
          <w:rFonts w:ascii="Arial" w:cs="Arial" w:eastAsia="Arial" w:hAnsi="Arial"/>
          <w:sz w:val="18"/>
          <w:szCs w:val="18"/>
          <w:i w:val="1"/>
          <w:iCs w:val="1"/>
          <w:color w:val="3E5588"/>
        </w:rPr>
        <w:t>DMPK</w:t>
      </w:r>
      <w:r>
        <w:rPr>
          <w:rFonts w:ascii="Arial" w:cs="Arial" w:eastAsia="Arial" w:hAnsi="Arial"/>
          <w:sz w:val="18"/>
          <w:szCs w:val="18"/>
          <w:color w:val="3E5588"/>
        </w:rPr>
        <w:t xml:space="preserve"> gene expression in DM1 models has been shown to reduce aberrant splicing and to be well tolerated.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a-Synucleinopathies</w:t>
      </w:r>
    </w:p>
    <w:p>
      <w:pPr>
        <w:spacing w:after="0" w:line="225" w:lineRule="exact"/>
        <w:rPr>
          <w:sz w:val="20"/>
          <w:szCs w:val="20"/>
          <w:color w:val="auto"/>
        </w:rPr>
      </w:pPr>
    </w:p>
    <w:p>
      <w:pPr>
        <w:jc w:val="both"/>
        <w:ind w:firstLine="390"/>
        <w:spacing w:after="0" w:line="290" w:lineRule="auto"/>
        <w:rPr>
          <w:sz w:val="20"/>
          <w:szCs w:val="20"/>
          <w:color w:val="auto"/>
        </w:rPr>
      </w:pPr>
      <w:r>
        <w:rPr>
          <w:rFonts w:ascii="Arial" w:cs="Arial" w:eastAsia="Arial" w:hAnsi="Arial"/>
          <w:sz w:val="16"/>
          <w:szCs w:val="16"/>
          <w:color w:val="3E5588"/>
        </w:rPr>
        <w:t xml:space="preserve">In rare cases, a-Synucleinopathies result from point mutations and multiplications in the </w:t>
      </w:r>
      <w:r>
        <w:rPr>
          <w:rFonts w:ascii="Arial" w:cs="Arial" w:eastAsia="Arial" w:hAnsi="Arial"/>
          <w:sz w:val="16"/>
          <w:szCs w:val="16"/>
          <w:i w:val="1"/>
          <w:iCs w:val="1"/>
          <w:color w:val="3E5588"/>
        </w:rPr>
        <w:t>SNCA</w:t>
      </w:r>
      <w:r>
        <w:rPr>
          <w:rFonts w:ascii="Arial" w:cs="Arial" w:eastAsia="Arial" w:hAnsi="Arial"/>
          <w:sz w:val="16"/>
          <w:szCs w:val="16"/>
          <w:color w:val="3E5588"/>
        </w:rPr>
        <w:t xml:space="preserve"> gene that encodes the protein a-synuclein. Familial forms of Parkinson's disease can result from these mutations and multiplications in the </w:t>
      </w:r>
      <w:r>
        <w:rPr>
          <w:rFonts w:ascii="Arial" w:cs="Arial" w:eastAsia="Arial" w:hAnsi="Arial"/>
          <w:sz w:val="16"/>
          <w:szCs w:val="16"/>
          <w:i w:val="1"/>
          <w:iCs w:val="1"/>
          <w:color w:val="3E5588"/>
        </w:rPr>
        <w:t>SNCA</w:t>
      </w:r>
      <w:r>
        <w:rPr>
          <w:rFonts w:ascii="Arial" w:cs="Arial" w:eastAsia="Arial" w:hAnsi="Arial"/>
          <w:sz w:val="16"/>
          <w:szCs w:val="16"/>
          <w:color w:val="3E5588"/>
        </w:rPr>
        <w:t xml:space="preserve"> gene. Parkinson's disease is a common progressive neurodegenerative disease characterized by movement disorders such as bradykinesia, rigidity and tremor. Genome wide association studies have linked single nucleotide polymorphisms in </w:t>
      </w:r>
      <w:r>
        <w:rPr>
          <w:rFonts w:ascii="Arial" w:cs="Arial" w:eastAsia="Arial" w:hAnsi="Arial"/>
          <w:sz w:val="16"/>
          <w:szCs w:val="16"/>
          <w:i w:val="1"/>
          <w:iCs w:val="1"/>
          <w:color w:val="3E5588"/>
        </w:rPr>
        <w:t xml:space="preserve">SNCA </w:t>
      </w:r>
      <w:r>
        <w:rPr>
          <w:rFonts w:ascii="Arial" w:cs="Arial" w:eastAsia="Arial" w:hAnsi="Arial"/>
          <w:sz w:val="16"/>
          <w:szCs w:val="16"/>
          <w:color w:val="3E5588"/>
        </w:rPr>
        <w:t>with increased risk of Parkinson's disease. These mutations have been shown to increase levels of pathological, aggregated a-synuclein, leading to the loss</w:t>
      </w:r>
      <w:r>
        <w:rPr>
          <w:rFonts w:ascii="Arial" w:cs="Arial" w:eastAsia="Arial" w:hAnsi="Arial"/>
          <w:sz w:val="16"/>
          <w:szCs w:val="16"/>
          <w:i w:val="1"/>
          <w:iCs w:val="1"/>
          <w:color w:val="3E5588"/>
        </w:rPr>
        <w:t xml:space="preserve"> </w:t>
      </w:r>
      <w:r>
        <w:rPr>
          <w:rFonts w:ascii="Arial" w:cs="Arial" w:eastAsia="Arial" w:hAnsi="Arial"/>
          <w:sz w:val="16"/>
          <w:szCs w:val="16"/>
          <w:color w:val="3E5588"/>
        </w:rPr>
        <w:t>of midbrain dopaminergic neurons important for motor control. Abnormal deposits of a-synuclein protein, or Lewy bodies, are the characteristic histological signature of Parkinson's disease at autopsy. According to the Parkinson's Foundation, nearly one million people will be living with Parkinson's disease in the United States by 2020.</w:t>
      </w:r>
    </w:p>
    <w:p>
      <w:pPr>
        <w:spacing w:after="0" w:line="172"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3E5588"/>
        </w:rPr>
        <w:t>Our goal is to use our product engine to identify drug targets for genetically defined a-synucleinopathies that may lead to reduction in a-synuclein levels in the most relevant cell type for Parkinson's disease—dopaminergic neurons. Our goal is to lower the overall a-synuclein load in the brain of patients with sporadic or genetic a-synucleinopathies by starting treatment early in their disease course to prevent further a-synuclein-dependent neurodegeneration, thus representing a potential disease-modifying approach across all a-synucleinopathies.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Right of Reference and License Agreement with GlaxoSmithKline</w:t>
      </w:r>
    </w:p>
    <w:p>
      <w:pPr>
        <w:spacing w:after="0" w:line="231"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3E5588"/>
        </w:rPr>
        <w:t>In February 2019, we entered into a right of reference and license agreement with affiliates of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reference and license agreement. The agreement obligates us to use commercially reasonable efforts to develop and commercialize a licensed product for the treatment of FSHD.</w:t>
      </w:r>
    </w:p>
    <w:p>
      <w:pPr>
        <w:spacing w:after="0" w:line="174" w:lineRule="exact"/>
        <w:rPr>
          <w:sz w:val="20"/>
          <w:szCs w:val="20"/>
          <w:color w:val="auto"/>
        </w:rPr>
      </w:pPr>
    </w:p>
    <w:p>
      <w:pPr>
        <w:jc w:val="both"/>
        <w:ind w:firstLine="553"/>
        <w:spacing w:after="0" w:line="255" w:lineRule="auto"/>
        <w:rPr>
          <w:sz w:val="20"/>
          <w:szCs w:val="20"/>
          <w:color w:val="auto"/>
        </w:rPr>
      </w:pPr>
      <w:r>
        <w:rPr>
          <w:rFonts w:ascii="Arial" w:cs="Arial" w:eastAsia="Arial" w:hAnsi="Arial"/>
          <w:sz w:val="18"/>
          <w:szCs w:val="18"/>
          <w:color w:val="3E5588"/>
        </w:rPr>
        <w:t>The agreement grants us an exclusive, sublicensable license under the licensed patent rights and data rights to research, develop and commercialize losmapimod or any product containing losmapimod as an API, which we refer to as a licensed product, to treat disease in humans. GSK retained the right, without the right to grant sublicenses, to conduct nonclinical research under the licensed patents and data rights and, with our consent, GSK may engage in certain developmental activities relating to the use of a licensed product in connection with a specified prophylactic use. GSK also agreed to and has since transferred to us its existing manufactured supply of losmapimod.</w:t>
      </w:r>
    </w:p>
    <w:p>
      <w:pPr>
        <w:spacing w:after="0" w:line="197"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3E5588"/>
        </w:rPr>
        <w:t>Under the agreement, we will be obligated to make milestone payments to GSK aggregating up to $37.5 million upon the achievement of specified clinical and regulatory milestones with respect to the first licensed product to achieve such milestones, and up to $60.0 million upon the achievement of one-time aggregate annual worldwide net sales milestones. We will also be obligated to pay royalties ranging from a mid single-digit percentage to a low double-digit, but less than teens, percentage to GSK based on our, and any of our affiliates' and sublicensees', annual net sales of licensed products. The royalties are payable on a product-by-product and country-by-country basis, and may be reduced in specified circumstances.</w:t>
      </w:r>
    </w:p>
    <w:p>
      <w:pPr>
        <w:spacing w:after="0" w:line="170"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3E5588"/>
        </w:rPr>
        <w:t>Our obligation to make royalty payments extends with respect to a licensed product in a country until the earlier of the approval of a generic version of such licensed product by the applicable regulatory agency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E5588"/>
        </w:rPr>
        <w:t>in such country or the tenth anniversary of the first commercial sale of such licensed product in such country, which we refer to as the royalty term. Following the expiration of any exclusive marketing rights or data exclusivity rights granted by a regulatory authority, other than patent rights, for any licensed product on a country-by-country basis, the applicable royalty rate will be reduced. Additionally, if we or our affiliates or sublicensees determine that it is necessary to obtain a license from a third party under any patent rights to exploit a licensed product in a country, then we may deduct a certain percentage of the license fees under such third party license payable by us to the third party from the royalty payment that would otherwise be due to GSK in such country.</w:t>
      </w:r>
    </w:p>
    <w:p>
      <w:pPr>
        <w:spacing w:after="0" w:line="170"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8"/>
          <w:szCs w:val="18"/>
          <w:color w:val="3E5588"/>
        </w:rPr>
        <w:t>If, prior to our completion of the first Phase 2 clinical trial for a licensed product, we wish to sublicense any of the licensed patent or data rights granted to us under the agreement to any third party outside of the United States, we must notify GSK of the terms on which we propose to grant such sublicense. GSK has the right to enter into negotiations with us for such sublicense, and if GSK so elects, then we must negotiate in good faith with GSK for a prescribed period. If we and GSK do not agree to a sublicense of the relevant rights, we may sublicense the relevant rights to the third party on terms no less favorable than any terms offered to us by GSK.</w:t>
      </w:r>
    </w:p>
    <w:p>
      <w:pPr>
        <w:spacing w:after="0" w:line="197"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3E5588"/>
        </w:rPr>
        <w:t>The agreement continues on a country-by-country and licensed product-by-licensed product basis until the expiration of the royalty term in each country, at which time the agreement expires with respect to such licensed product in such country and we shall have a fully-paid up, royalty-free and perpetual license to the licensed patent rights and data with respect to such licensed product in such country. Either party has the right to terminate the agreement if the other party has materially breached in the performance of its obligations under the agreement and such breach has not been cured within the applicable cure period.</w:t>
      </w:r>
    </w:p>
    <w:p>
      <w:pPr>
        <w:spacing w:after="0" w:line="167" w:lineRule="exact"/>
        <w:rPr>
          <w:sz w:val="20"/>
          <w:szCs w:val="20"/>
          <w:color w:val="auto"/>
        </w:rPr>
      </w:pPr>
    </w:p>
    <w:p>
      <w:pPr>
        <w:jc w:val="both"/>
        <w:ind w:firstLine="492"/>
        <w:spacing w:after="0" w:line="256" w:lineRule="auto"/>
        <w:rPr>
          <w:sz w:val="20"/>
          <w:szCs w:val="20"/>
          <w:color w:val="auto"/>
        </w:rPr>
      </w:pPr>
      <w:r>
        <w:rPr>
          <w:rFonts w:ascii="Arial" w:cs="Arial" w:eastAsia="Arial" w:hAnsi="Arial"/>
          <w:sz w:val="18"/>
          <w:szCs w:val="18"/>
          <w:color w:val="3E5588"/>
        </w:rPr>
        <w:t>We also agreed to provide GSK the opportunity to purchase shares of common stock in this offering or in a concurrent private placement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Intellectual Property</w:t>
      </w:r>
    </w:p>
    <w:p>
      <w:pPr>
        <w:spacing w:after="0" w:line="231" w:lineRule="exact"/>
        <w:rPr>
          <w:sz w:val="20"/>
          <w:szCs w:val="20"/>
          <w:color w:val="auto"/>
        </w:rPr>
      </w:pPr>
    </w:p>
    <w:p>
      <w:pPr>
        <w:jc w:val="both"/>
        <w:ind w:firstLine="506"/>
        <w:spacing w:after="0" w:line="306" w:lineRule="auto"/>
        <w:rPr>
          <w:sz w:val="20"/>
          <w:szCs w:val="20"/>
          <w:color w:val="auto"/>
        </w:rPr>
      </w:pPr>
      <w:r>
        <w:rPr>
          <w:rFonts w:ascii="Arial" w:cs="Arial" w:eastAsia="Arial" w:hAnsi="Arial"/>
          <w:sz w:val="16"/>
          <w:szCs w:val="16"/>
          <w:color w:val="3E5588"/>
        </w:rPr>
        <w:t>We strive to protect and enhance the proprietary technology, inventions and improvements that are commercially important to the development of our business, including by seeking, maintaining and defending patent rights, whether developed internally or licensed from third parties. We also rely on trade secrets, know-how, continuing technological innovation and in-licensing opportunities to develop, strengthen and maintain our proprietary position in our field.</w:t>
      </w:r>
    </w:p>
    <w:p>
      <w:pPr>
        <w:spacing w:after="0" w:line="161" w:lineRule="exact"/>
        <w:rPr>
          <w:sz w:val="20"/>
          <w:szCs w:val="20"/>
          <w:color w:val="auto"/>
        </w:rPr>
      </w:pPr>
    </w:p>
    <w:p>
      <w:pPr>
        <w:jc w:val="both"/>
        <w:ind w:firstLine="426"/>
        <w:spacing w:after="0" w:line="294" w:lineRule="auto"/>
        <w:rPr>
          <w:sz w:val="20"/>
          <w:szCs w:val="20"/>
          <w:color w:val="auto"/>
        </w:rPr>
      </w:pPr>
      <w:r>
        <w:rPr>
          <w:rFonts w:ascii="Arial" w:cs="Arial" w:eastAsia="Arial" w:hAnsi="Arial"/>
          <w:sz w:val="16"/>
          <w:szCs w:val="16"/>
          <w:color w:val="3E5588"/>
        </w:rPr>
        <w:t>Our future commercial success depends, in part, on our ability to: obtain and maintain patent and other proprietary protection for commercially important technology, inventions and know-how related to our business; defend and enforce in our intellectual property rights, in particular our patents rights; preserve the confidentiality of our trade secrets; and operate without infringing, misappropriating or violating the valid and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w:t>
      </w:r>
    </w:p>
    <w:p>
      <w:pPr>
        <w:spacing w:after="0" w:line="170" w:lineRule="exact"/>
        <w:rPr>
          <w:sz w:val="20"/>
          <w:szCs w:val="20"/>
          <w:color w:val="auto"/>
        </w:rPr>
      </w:pPr>
    </w:p>
    <w:p>
      <w:pPr>
        <w:jc w:val="both"/>
        <w:ind w:firstLine="390"/>
        <w:spacing w:after="0" w:line="254" w:lineRule="auto"/>
        <w:rPr>
          <w:sz w:val="20"/>
          <w:szCs w:val="20"/>
          <w:color w:val="auto"/>
        </w:rPr>
      </w:pPr>
      <w:r>
        <w:rPr>
          <w:rFonts w:ascii="Arial" w:cs="Arial" w:eastAsia="Arial" w:hAnsi="Arial"/>
          <w:sz w:val="18"/>
          <w:szCs w:val="18"/>
          <w:color w:val="3E5588"/>
        </w:rPr>
        <w:t>The patent positions of biotechnology and pharmaceutical companies like ours are generally uncertain and can involve complex legal, scientific and factual issues. We cannot predict whether the patent applications we are currently pursuing will issue as patents in any particular jurisdiction or whether the claims of any issued patents will provide sufficient proprietary protection from competitors. We also cannot ensure that patents will issue with respect to any patent applications that we or our licensors may file in the future, nor can we ensure that any of our owned or licensed patents or future patents will be commercially useful in protecting our product candidates and methods of manufacturing the same. In addition, the coverage claimed in a patent application may be significantly reduced before a patent 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3E5588"/>
        </w:rPr>
        <w:t>issued, and its scope can be reinterpreted and even challenged after issuance. As a result, we cannot guarantee that any of our products will be protected or remain protectable by enforceable patents. Moreover, any patents that we hold may be challenged, circumvented or invalidated by third parties. See "Risk Factors—Risks Related to Our Intellectual Property" for a more comprehensive description of risks related to our intellectual property.</w:t>
      </w:r>
    </w:p>
    <w:p>
      <w:pPr>
        <w:spacing w:after="0" w:line="161" w:lineRule="exact"/>
        <w:rPr>
          <w:sz w:val="20"/>
          <w:szCs w:val="20"/>
          <w:color w:val="auto"/>
        </w:rPr>
      </w:pPr>
    </w:p>
    <w:p>
      <w:pPr>
        <w:jc w:val="both"/>
        <w:ind w:firstLine="418"/>
        <w:spacing w:after="0" w:line="306" w:lineRule="auto"/>
        <w:rPr>
          <w:sz w:val="20"/>
          <w:szCs w:val="20"/>
          <w:color w:val="auto"/>
        </w:rPr>
      </w:pPr>
      <w:r>
        <w:rPr>
          <w:rFonts w:ascii="Arial" w:cs="Arial" w:eastAsia="Arial" w:hAnsi="Arial"/>
          <w:sz w:val="16"/>
          <w:szCs w:val="16"/>
          <w:color w:val="3E5588"/>
        </w:rPr>
        <w:t>We generally file patent applications directed to our key programs in an effort to secure our intellectual property positions vis-a-vis these programs. As of June 30, 2019, we owned one allowed U.S. patent application, one U.S. pending non-provisional patent application, four foreign pending patent applications, three pending Patent Cooperation Treaty, or PCT, applications and four U.S. provisional patent applications.</w:t>
      </w:r>
    </w:p>
    <w:p>
      <w:pPr>
        <w:spacing w:after="0" w:line="16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3E5588"/>
        </w:rPr>
        <w:t>The intellectual property portfolio for our most advanced programs as of June 30, 2019, is summarized below. Prosecution is a lengthy process, during which the scope of the claims initially submitted for examination by the U.S. Patent and Trademark Office may be significantly narrowed before issuance, if issued at all. We expect this may be the case with respect to some of our pending patent applications referred to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Losmapimod and Derivatives</w:t>
      </w:r>
    </w:p>
    <w:p>
      <w:pPr>
        <w:spacing w:after="0" w:line="225" w:lineRule="exact"/>
        <w:rPr>
          <w:sz w:val="20"/>
          <w:szCs w:val="20"/>
          <w:color w:val="auto"/>
        </w:rPr>
      </w:pPr>
    </w:p>
    <w:p>
      <w:pPr>
        <w:jc w:val="both"/>
        <w:ind w:firstLine="352"/>
        <w:spacing w:after="0" w:line="286" w:lineRule="auto"/>
        <w:rPr>
          <w:sz w:val="20"/>
          <w:szCs w:val="20"/>
          <w:color w:val="auto"/>
        </w:rPr>
      </w:pPr>
      <w:r>
        <w:rPr>
          <w:rFonts w:ascii="Arial" w:cs="Arial" w:eastAsia="Arial" w:hAnsi="Arial"/>
          <w:sz w:val="16"/>
          <w:szCs w:val="16"/>
          <w:color w:val="3E5588"/>
        </w:rPr>
        <w:t>The patent portfolio for losmapimod is based upon Fulcrum-owned patent applications and in-licensed patents directed to new methods of using losmapimod and other p38 inhibitors to treat FSHD, pharmaceutical compositions generically and specifically covering p38 inhibitors, and methods for identifying novel compositions to treat FSHD. As of June 30, 2019, we owned one allowed U.S. patent application, one U.S. pending non-provisional patent application, four foreign patent applications filed in Taiwan, Uruguay, Venezuela and Argentina and three pending PCT applications relating to our p38a/b program, primarily relating to methods of using losmapimod and certain other p38 inhibitors for the treatment of FSHD. On June 19, 2019, we were notified by the USPTO that a patent covering the use of losmapimod for the treatment of patients with FSHD will issue to us on July 9, 2019. We own the patent application relating to this patent and, once issued, we will own the patent. While we believe that the specific and generic claims contained in our allowed U.S. patent application provide protection for the method of using losmapimod for the treatment of FSHD, and is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 Any U.S. or ex-U.S. patents that may issue from pending applications that we own, if any, for our p38a/b program are projected to have a statutory expiration date in 2038, excluding any additional term for patent term adjustments or patent term extension, if applicable.</w:t>
      </w:r>
    </w:p>
    <w:p>
      <w:pPr>
        <w:spacing w:after="0" w:line="178"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3E5588"/>
        </w:rPr>
        <w:t>Losmapimod is currently protected by patents owned by GSK (as a composition of matter and certain uses which do not include FSHD) and certain of these patents are licensed to us. As soon as the patents covering the composition of matter expire on February 10, 2023, or are no longer in-force, the GSK-licensed patents will no longer be a barrier to entry for any unclaimed new uses, including FSHD. Even during the term of these composition of matter patents, losmapimod can still be developed in the meantime in certain geographies, including in the United States, under safe harbor regulations.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FTX-HbF</w:t>
      </w:r>
    </w:p>
    <w:p>
      <w:pPr>
        <w:spacing w:after="0" w:line="225" w:lineRule="exact"/>
        <w:rPr>
          <w:sz w:val="20"/>
          <w:szCs w:val="20"/>
          <w:color w:val="auto"/>
        </w:rPr>
      </w:pPr>
    </w:p>
    <w:p>
      <w:pPr>
        <w:jc w:val="both"/>
        <w:ind w:firstLine="341"/>
        <w:spacing w:after="0" w:line="298" w:lineRule="auto"/>
        <w:rPr>
          <w:sz w:val="20"/>
          <w:szCs w:val="20"/>
          <w:color w:val="auto"/>
        </w:rPr>
      </w:pPr>
      <w:r>
        <w:rPr>
          <w:rFonts w:ascii="Arial" w:cs="Arial" w:eastAsia="Arial" w:hAnsi="Arial"/>
          <w:sz w:val="16"/>
          <w:szCs w:val="16"/>
          <w:color w:val="3E5588"/>
        </w:rPr>
        <w:t>As of June 30, 2019, the intellectual property portfolio for our FTX-HbF program includes one U.S. provisional patent application directed to pharmaceutical compositions generically and specifically covering inhibitors of a certain protein or protein complex that regulate fetal hemoglobin, as well as to methods for using and making these compositions. In order to continue to pursue protection based on this provisional patent application, we will need to file a PCT, foreign applications, and/or U.S. non-provisional patent application prior to the applicable deadline. If we do continue to pursue protection, any patents that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3E5588"/>
        </w:rPr>
        <w:t>may issue from the non-provisional patent applications would be projected to have statutory expiration dates in 2039, excluding any additional term for patent term adjustments or patent term extension, if applicable. While we believe that the specific and generic claims, contained in our U.S. provisional patent application, if filed as U.S. non-provisional application, PCT application and/or foreign application(s), provide protection for the claimed pharmaceutical compositions and methods of use and are not implicated by invalidating prior art, third parties may nevertheless challenge such claims. If any such claims are invalidated or rendered unenforceable for any reason, we will lose valuable intellectual property rights and our ability to prevent others from competing with us would be impaired.</w:t>
      </w:r>
    </w:p>
    <w:p>
      <w:pPr>
        <w:spacing w:after="0" w:line="198" w:lineRule="exact"/>
        <w:rPr>
          <w:sz w:val="20"/>
          <w:szCs w:val="20"/>
          <w:color w:val="auto"/>
        </w:rPr>
      </w:pPr>
    </w:p>
    <w:p>
      <w:pPr>
        <w:jc w:val="both"/>
        <w:ind w:firstLine="369"/>
        <w:spacing w:after="0" w:line="268" w:lineRule="auto"/>
        <w:rPr>
          <w:sz w:val="20"/>
          <w:szCs w:val="20"/>
          <w:color w:val="auto"/>
        </w:rPr>
      </w:pPr>
      <w:r>
        <w:rPr>
          <w:rFonts w:ascii="Arial" w:cs="Arial" w:eastAsia="Arial" w:hAnsi="Arial"/>
          <w:sz w:val="18"/>
          <w:szCs w:val="18"/>
          <w:color w:val="3E5588"/>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86" w:lineRule="exact"/>
        <w:rPr>
          <w:sz w:val="20"/>
          <w:szCs w:val="20"/>
          <w:color w:val="auto"/>
        </w:rPr>
      </w:pPr>
    </w:p>
    <w:p>
      <w:pPr>
        <w:jc w:val="both"/>
        <w:ind w:firstLine="379"/>
        <w:spacing w:after="0" w:line="309" w:lineRule="auto"/>
        <w:rPr>
          <w:sz w:val="20"/>
          <w:szCs w:val="20"/>
          <w:color w:val="auto"/>
        </w:rPr>
      </w:pPr>
      <w:r>
        <w:rPr>
          <w:rFonts w:ascii="Arial" w:cs="Arial" w:eastAsia="Arial" w:hAnsi="Arial"/>
          <w:sz w:val="15"/>
          <w:szCs w:val="15"/>
          <w:color w:val="3E5588"/>
        </w:rPr>
        <w:t>In the United States, the term of a patent covering an FDA-approved drug may, in certain cases, be eligible for a patent term extension under the Drug Price Competition and Patent Term Restoration Act of 1984 as compensation for the loss of patent term during the FDA regulatory review process. The period of extension may be up to five years, but cannot extend the remaining term of a patent beyond a total of 14 years from the date of product approval. Only one patent among those eligible for an extension and only those claims covering the approved drug, a method for using it, or a method for manufacturing it may be extended. Similar provisions are available in Europe and in certain other jurisdictions to extend the term of a patent that covers an approved drug. It is possible that issued U.S. patents covering the use of losmapimod and products from our intellectual property may be entitled to patent term extensions. If our use of drug candidates or the drug candidate itself receive FDA approval, we intend to apply for patent term extensions, if available, to extend the term of patents that cover the approved use or drug candidate. We also intend to seek patent term extensions in any jurisdictions where available, however, there is no guarantee that the applicable authorities, including the FDA, will agree with our assessment of whether such extensions should be granted, and even if granted, the length of such extensions.</w:t>
      </w:r>
    </w:p>
    <w:p>
      <w:pPr>
        <w:spacing w:after="0" w:line="162" w:lineRule="exact"/>
        <w:rPr>
          <w:sz w:val="20"/>
          <w:szCs w:val="20"/>
          <w:color w:val="auto"/>
        </w:rPr>
      </w:pPr>
    </w:p>
    <w:p>
      <w:pPr>
        <w:jc w:val="both"/>
        <w:ind w:firstLine="413"/>
        <w:spacing w:after="0" w:line="286" w:lineRule="auto"/>
        <w:rPr>
          <w:sz w:val="20"/>
          <w:szCs w:val="20"/>
          <w:color w:val="auto"/>
        </w:rPr>
      </w:pPr>
      <w:r>
        <w:rPr>
          <w:rFonts w:ascii="Arial" w:cs="Arial" w:eastAsia="Arial" w:hAnsi="Arial"/>
          <w:sz w:val="16"/>
          <w:szCs w:val="16"/>
          <w:color w:val="3E5588"/>
        </w:rPr>
        <w:t>In addition to patent protection, we rely upon unpatented trade secrets and confidential know-how and continuing technological innovation to develop and maintain our competitive position. However, trade secrets and confidential know-how are difficult to protect. We seek to protect our proprietary information, in part, using confidentiality agreements with any collaborators, scientific advisors, employees and consultants and invention assignment agreements with our employees. We also have agreements requiring assignment of inventions with selected consultants, scientific advisors and collaborators. These agreements may not provide meaningful protection. These agreements may also be breached, and we may not have an adequate remedy for any such breach. In addition, our trade secrets and/or confidential know-how may become known or be independently developed by a third party, or misused by any collaborator to whom we disclose such information.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See "Risk Factors—Risks Related to our Intellectual Property" for a more comprehensive description of risks related to our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Manufacturing</w:t>
      </w:r>
    </w:p>
    <w:p>
      <w:pPr>
        <w:spacing w:after="0" w:line="231"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6"/>
          <w:szCs w:val="16"/>
          <w:color w:val="3E5588"/>
        </w:rPr>
        <w:t>We do not have any manufacturing facilities. We obtained sufficient losmapimod tablets, or drug product, from GSK to complete our planned Phase 2 clinical trials. We obtained losmapimod API from GSK and plan to engage a contract manufacturing organization to convert the API into losmapimod tablets. We believe that the quantity of API will be sufficient to complete further clinical trials in FSHD. We believe that we have all the necessary information from GSK to enable the required technology transfers to contract manufacturing organizations. We also intend to identify and engage contract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manufacturing organizations to prepare our own API and to manufacture tablets to support potential commercialization.</w:t>
      </w:r>
    </w:p>
    <w:p>
      <w:pPr>
        <w:spacing w:after="0" w:line="225"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3E5588"/>
        </w:rPr>
        <w:t>We expect to rely on third parties for the manufacture of FTX-HbF and any future product candidates for preclinical and clinical testing, as well as for commercial manufacture if our product candidates receive marketing approval. Our lead product candidates are small molecules and can be manufactured in reliable and reproducible synthetic processes from readily available starting materials. We expect to continue to develop product candidates that can be produced cost-effectively at contract manufacturing facilities.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Competition</w:t>
      </w:r>
    </w:p>
    <w:p>
      <w:pPr>
        <w:spacing w:after="0" w:line="231" w:lineRule="exact"/>
        <w:rPr>
          <w:sz w:val="20"/>
          <w:szCs w:val="20"/>
          <w:color w:val="auto"/>
        </w:rPr>
      </w:pPr>
    </w:p>
    <w:p>
      <w:pPr>
        <w:jc w:val="both"/>
        <w:ind w:firstLine="547"/>
        <w:spacing w:after="0" w:line="294" w:lineRule="auto"/>
        <w:rPr>
          <w:sz w:val="20"/>
          <w:szCs w:val="20"/>
          <w:color w:val="auto"/>
        </w:rPr>
      </w:pPr>
      <w:r>
        <w:rPr>
          <w:rFonts w:ascii="Arial" w:cs="Arial" w:eastAsia="Arial" w:hAnsi="Arial"/>
          <w:sz w:val="16"/>
          <w:szCs w:val="16"/>
          <w:color w:val="3E5588"/>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competition from many different sources, including major pharmaceutical, specialty pharmaceutical and biotechnology companies, academic institutions and governmental agencies and public and private research institutions. Any product candidates that we successfully develop and commercialize will compete with existing therapies and new therapies that may become available in the future.</w:t>
      </w:r>
    </w:p>
    <w:p>
      <w:pPr>
        <w:spacing w:after="0" w:line="170" w:lineRule="exact"/>
        <w:rPr>
          <w:sz w:val="20"/>
          <w:szCs w:val="20"/>
          <w:color w:val="auto"/>
        </w:rPr>
      </w:pPr>
    </w:p>
    <w:p>
      <w:pPr>
        <w:jc w:val="both"/>
        <w:ind w:firstLine="421"/>
        <w:spacing w:after="0" w:line="253" w:lineRule="auto"/>
        <w:rPr>
          <w:sz w:val="20"/>
          <w:szCs w:val="20"/>
          <w:color w:val="auto"/>
        </w:rPr>
      </w:pPr>
      <w:r>
        <w:rPr>
          <w:rFonts w:ascii="Arial" w:cs="Arial" w:eastAsia="Arial" w:hAnsi="Arial"/>
          <w:sz w:val="18"/>
          <w:szCs w:val="18"/>
          <w:color w:val="3E5588"/>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0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3E5588"/>
        </w:rPr>
        <w:t>The key competitive factors affecting the success of all of our therapeutic product candidates, if approved, are likely to be their efficacy, safety, convenience, price, the effectiveness of companion diagnostics in guiding the use of related therapeutics, the level of generic competition and the availability of reimbursement from government and other third-party payors.</w:t>
      </w:r>
    </w:p>
    <w:p>
      <w:pPr>
        <w:spacing w:after="0" w:line="19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3E5588"/>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w:t>
      </w:r>
    </w:p>
    <w:p>
      <w:pPr>
        <w:spacing w:after="0" w:line="198"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3E5588"/>
        </w:rPr>
        <w:t>If our lead product candidates are approved for the indications for which we are currently undertaking clinical trials, they will compete with the therapies and currently marketed drugs discussed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FSHD</w:t>
      </w:r>
    </w:p>
    <w:p>
      <w:pPr>
        <w:spacing w:after="0" w:line="225"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3E5588"/>
        </w:rPr>
        <w:t>There are no approved therapies for the treatment of FSHD. Controlled trials of albuterol, corticosteroids and a myostatin inhibitor all failed to demonstrate a clinical benefit to patients with FSHD. Low-intensity aerobic exercise tailored to the patient's distribution of weakness may provide some limited beneficial effect. Limited range of motion in the shoulder girdle can stem from periscapular muscle weakness, and in such cases surgical scapular fixation can result in some functional improvement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certain patients. There is also no standard practice regarding the use of physical or occupational therapy across countries and sites.</w:t>
      </w:r>
    </w:p>
    <w:p>
      <w:pPr>
        <w:spacing w:after="0" w:line="225"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3E5588"/>
        </w:rPr>
        <w:t>We are not aware of any product candidate currently in clinical development for FSHD with the same mechanism of action as losmapimod or that is designed to treat the root cause of FSHD. We are aware of ACE-083, a locally injected myostatin inhibitor for intermittent treatment of weakness for ankle dorsiflexion (foot drop) and elbow flexion, which is currently in Phase 2a clinical development for FSHD by Acceleron. aTyr Pharma, Inc., or aTyr, conducted a Phase 1/2 clinical trial of resolaris, a physiocrine immune modulation protein. aTyr discontinued development of resolaris in FSHD. aTyr publicly disclosed that they do not intend to further develop resolaris without a partner.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SCD</w:t>
      </w:r>
    </w:p>
    <w:p>
      <w:pPr>
        <w:spacing w:after="0" w:line="225" w:lineRule="exact"/>
        <w:rPr>
          <w:sz w:val="20"/>
          <w:szCs w:val="20"/>
          <w:color w:val="auto"/>
        </w:rPr>
      </w:pPr>
    </w:p>
    <w:p>
      <w:pPr>
        <w:jc w:val="both"/>
        <w:ind w:firstLine="446"/>
        <w:spacing w:after="0" w:line="256" w:lineRule="auto"/>
        <w:rPr>
          <w:sz w:val="20"/>
          <w:szCs w:val="20"/>
          <w:color w:val="auto"/>
        </w:rPr>
      </w:pPr>
      <w:r>
        <w:rPr>
          <w:rFonts w:ascii="Arial" w:cs="Arial" w:eastAsia="Arial" w:hAnsi="Arial"/>
          <w:sz w:val="18"/>
          <w:szCs w:val="18"/>
          <w:color w:val="3E5588"/>
        </w:rPr>
        <w:t>Approved drug treatments for SCD focus primarily on the management and reduction of pain episodes. The two drug treatments approved in the United States are hydroxyurea and L-glutamine. Hydroxyurea, marketed by Bristol-Myers Squibb Company, is approved for the treatment of anemia related to SCD, to reduce the frequency of painful crises and the need for blood transfusions. L-glutamine, marketed by Emmaus Life Sciences, Inc., is approved to reduce severe complications associated with the disorder.</w:t>
      </w:r>
    </w:p>
    <w:p>
      <w:pPr>
        <w:spacing w:after="0" w:line="197" w:lineRule="exact"/>
        <w:rPr>
          <w:sz w:val="20"/>
          <w:szCs w:val="20"/>
          <w:color w:val="auto"/>
        </w:rPr>
      </w:pPr>
    </w:p>
    <w:p>
      <w:pPr>
        <w:jc w:val="both"/>
        <w:ind w:firstLine="400"/>
        <w:spacing w:after="0" w:line="294" w:lineRule="auto"/>
        <w:rPr>
          <w:sz w:val="20"/>
          <w:szCs w:val="20"/>
          <w:color w:val="auto"/>
        </w:rPr>
      </w:pPr>
      <w:r>
        <w:rPr>
          <w:rFonts w:ascii="Arial" w:cs="Arial" w:eastAsia="Arial" w:hAnsi="Arial"/>
          <w:sz w:val="16"/>
          <w:szCs w:val="16"/>
          <w:color w:val="3E5588"/>
        </w:rPr>
        <w:t>Blood transfusions can be utilized to decrease the sickling of RBCs. While blood transfusions can be critically important to the management of SCD, there are a number of limitations associated with this therapeutic approach, including limited patient access and serious complications such as iron overload. The only potentially curative treatment currently approved for severe SCD is bone marrow transplantation. However, this treatment option is not commonly used given the difficulties of finding a suitable matched donor and the risks associated with the treatment, which include an approximately 5% mortality rate. Bone marrow transplantation is more commonly offered to pediatric patients with available sibling-matched donors.</w:t>
      </w:r>
    </w:p>
    <w:p>
      <w:pPr>
        <w:spacing w:after="0" w:line="170" w:lineRule="exact"/>
        <w:rPr>
          <w:sz w:val="20"/>
          <w:szCs w:val="20"/>
          <w:color w:val="auto"/>
        </w:rPr>
      </w:pPr>
    </w:p>
    <w:p>
      <w:pPr>
        <w:jc w:val="both"/>
        <w:ind w:firstLine="392"/>
        <w:spacing w:after="0" w:line="285" w:lineRule="auto"/>
        <w:rPr>
          <w:sz w:val="20"/>
          <w:szCs w:val="20"/>
          <w:color w:val="auto"/>
        </w:rPr>
      </w:pPr>
      <w:r>
        <w:rPr>
          <w:rFonts w:ascii="Arial" w:cs="Arial" w:eastAsia="Arial" w:hAnsi="Arial"/>
          <w:sz w:val="16"/>
          <w:szCs w:val="16"/>
          <w:color w:val="3E5588"/>
        </w:rPr>
        <w:t xml:space="preserve">FTX-HbF could face competition from a number of different therapeutic approaches in development for patients with SCD. Novartis is conducting Phase 3 clinical trials of crizanlizumab, an anti-P-selectin monoclonal antibody, for the prevention of vaso-occlusive crises in patients with SCD. In January 2019, Novartis announced that crizanlizumab was granted breakthrough therapy designation by the FDA, and that Novartis expected to file a BLA for crizanlizumab in the first half of 2019. Global Blood Therapeutics, Inc. is conducting a Phase 3 clinical trial of voxelotor (GBT440), a hemoglobin modifier, to prevent the sickling of RBCs. GlycoMimetics Inc. and Pfizer, Inc. are conducting a Phase 3 clinical trial of rivipansel (GMI-1070), a pan-selectin inhibitor. bluebird has been granted conditional marketing authorization by the European Commission for ZYNTEGLO, a gene therapy, as a one-time treatment for SCD that aims to treat SCD by inserting a functional human b-globin gene into the patient's own hematopoietic stem cells </w:t>
      </w:r>
      <w:r>
        <w:rPr>
          <w:rFonts w:ascii="Arial" w:cs="Arial" w:eastAsia="Arial" w:hAnsi="Arial"/>
          <w:sz w:val="16"/>
          <w:szCs w:val="16"/>
          <w:i w:val="1"/>
          <w:iCs w:val="1"/>
          <w:color w:val="3E5588"/>
        </w:rPr>
        <w:t>ex vivo</w:t>
      </w:r>
      <w:r>
        <w:rPr>
          <w:rFonts w:ascii="Arial" w:cs="Arial" w:eastAsia="Arial" w:hAnsi="Arial"/>
          <w:sz w:val="16"/>
          <w:szCs w:val="16"/>
          <w:color w:val="3E5588"/>
        </w:rPr>
        <w:t xml:space="preserve"> and then transplanting the modified stem cell into the patient's bloodstream. EpiDestiny, Inc., or EpiDestiny, in collaboration with Novo Nordisk A/S, is evaluating EPI01, a small molecule designed to increase production of fetal hemoglobin, in Phase 2 clinical trials. Imara, Inc. is evaluating IMR-687, a PDE9 inhibitor, in a Phase 2a clinical trial in patients with sickle cell anemia. Aruvant Sciences, Inc. is evaluating RVT-1801, a gene therapy, in a Phase 1/2 trial. Sangamo Therapeutics Inc., or Sangamo, in collaboration with Bioverativ Inc., or Bioverativ, is developing BIVV-003, a gene editing cell therapy that modifies cells to produce functional RBCs using fetal hemoglobin. There are also several other gene editing approaches being evaluated by Intellia Therapeutics, Inc. (in collaboration with Novartis), Editas Medicine, Inc. and CRISPR Therapeutics AG (in collaboration with Vertex Pharmaceuticals Incorporated, or Vertex). Pfizer conducted a Phase 1b clinical trial with PF-04447943, a PDE9 inhibitor, in patients with SCD.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b-thalassemia</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3E5588"/>
        </w:rPr>
        <w:t>The current standard of care for many patients with b-thalassemia is frequent blood transfusions to manage anemia. The only potentially curative therapy for b-thalassemia is allogeneic hematopoietic stem cell transplant, which is associated with serious risk and is limited to patients with a suitable donor. The European Commission granted conditional marketing authorization for ZYNTEGLO, a gene therapy developed by bluebird for the treatment of adult and adolescent patients with transfusion-dependent b-thalassemia and with certain genotypes, in Europe in June 2019. bluebird announced that it plans to file a BLA in the United States in 2019.</w:t>
      </w:r>
    </w:p>
    <w:p>
      <w:pPr>
        <w:spacing w:after="0" w:line="197" w:lineRule="exact"/>
        <w:rPr>
          <w:sz w:val="20"/>
          <w:szCs w:val="20"/>
          <w:color w:val="auto"/>
        </w:rPr>
      </w:pPr>
    </w:p>
    <w:p>
      <w:pPr>
        <w:jc w:val="both"/>
        <w:ind w:firstLine="359"/>
        <w:spacing w:after="0" w:line="298" w:lineRule="auto"/>
        <w:rPr>
          <w:sz w:val="20"/>
          <w:szCs w:val="20"/>
          <w:color w:val="auto"/>
        </w:rPr>
      </w:pPr>
      <w:r>
        <w:rPr>
          <w:rFonts w:ascii="Arial" w:cs="Arial" w:eastAsia="Arial" w:hAnsi="Arial"/>
          <w:sz w:val="16"/>
          <w:szCs w:val="16"/>
          <w:color w:val="3E5588"/>
        </w:rPr>
        <w:t>FTX-HbF could face competition from a number of different therapeutic approaches are in development as a therapeutic option for patients with transfusion-dependent b-thalassemia. Acceleron, in collaboration with Celgene, is conducting Phase 3 clinical trials of luspatercept (ACE-536), an erythroid maturation agent. Celgene submitted a BLA for luspatercept for the treatment of adult patients with anemia associated with b-thalassemia and who require frequent transfusions. Celgene and Acceleron submitted a marketing authorization application, or MAA, to the EMA in the second quarter of 2019.</w:t>
      </w:r>
    </w:p>
    <w:p>
      <w:pPr>
        <w:spacing w:after="0" w:line="167" w:lineRule="exact"/>
        <w:rPr>
          <w:sz w:val="20"/>
          <w:szCs w:val="20"/>
          <w:color w:val="auto"/>
        </w:rPr>
      </w:pPr>
    </w:p>
    <w:p>
      <w:pPr>
        <w:jc w:val="both"/>
        <w:ind w:firstLine="585"/>
        <w:spacing w:after="0" w:line="289" w:lineRule="auto"/>
        <w:rPr>
          <w:sz w:val="20"/>
          <w:szCs w:val="20"/>
          <w:color w:val="auto"/>
        </w:rPr>
      </w:pPr>
      <w:r>
        <w:rPr>
          <w:rFonts w:ascii="Arial" w:cs="Arial" w:eastAsia="Arial" w:hAnsi="Arial"/>
          <w:sz w:val="16"/>
          <w:szCs w:val="16"/>
          <w:color w:val="3E5588"/>
        </w:rPr>
        <w:t xml:space="preserve">Bellicum Pharmaceuticals, Inc. is conducting a Phase 1/2 clinical trial to evaluate a modified donor T cell therapy to be used in conjunction with hematopoietic stem cell transplant. Kiadis Pharma is conducting Phase 2 and Phase 3 clinical trials of an adjunctive T cell immunotherapy treatment in conjunction with hematopoietic stem cell transplant. EpiDestiny, in collaboration with Novo Nordisk A/S, is evaluating EPI01, a small molecule designed to increase production of fetal hemoglobin, in Phase 2 clinical trials. Orchard Therapeutics plc is conducting Phase 2 clinical trials of OTL-300, an autologous </w:t>
      </w:r>
      <w:r>
        <w:rPr>
          <w:rFonts w:ascii="Arial" w:cs="Arial" w:eastAsia="Arial" w:hAnsi="Arial"/>
          <w:sz w:val="16"/>
          <w:szCs w:val="16"/>
          <w:i w:val="1"/>
          <w:iCs w:val="1"/>
          <w:color w:val="3E5588"/>
        </w:rPr>
        <w:t>ex</w:t>
      </w:r>
      <w:r>
        <w:rPr>
          <w:rFonts w:ascii="Arial" w:cs="Arial" w:eastAsia="Arial" w:hAnsi="Arial"/>
          <w:sz w:val="16"/>
          <w:szCs w:val="16"/>
          <w:color w:val="3E5588"/>
        </w:rPr>
        <w:t xml:space="preserve"> </w:t>
      </w:r>
      <w:r>
        <w:rPr>
          <w:rFonts w:ascii="Arial" w:cs="Arial" w:eastAsia="Arial" w:hAnsi="Arial"/>
          <w:sz w:val="16"/>
          <w:szCs w:val="16"/>
          <w:i w:val="1"/>
          <w:iCs w:val="1"/>
          <w:color w:val="3E5588"/>
        </w:rPr>
        <w:t xml:space="preserve">vivo </w:t>
      </w:r>
      <w:r>
        <w:rPr>
          <w:rFonts w:ascii="Arial" w:cs="Arial" w:eastAsia="Arial" w:hAnsi="Arial"/>
          <w:sz w:val="16"/>
          <w:szCs w:val="16"/>
          <w:color w:val="3E5588"/>
        </w:rPr>
        <w:t>gene therapy for the treatment of transfusion-dependent b-thalassemia. Sangamo, in collaboration with Bioverativ, is conducting a Phase 1/2 clinical trial of</w:t>
      </w:r>
      <w:r>
        <w:rPr>
          <w:rFonts w:ascii="Arial" w:cs="Arial" w:eastAsia="Arial" w:hAnsi="Arial"/>
          <w:sz w:val="16"/>
          <w:szCs w:val="16"/>
          <w:i w:val="1"/>
          <w:iCs w:val="1"/>
          <w:color w:val="3E5588"/>
        </w:rPr>
        <w:t xml:space="preserve"> </w:t>
      </w:r>
      <w:r>
        <w:rPr>
          <w:rFonts w:ascii="Arial" w:cs="Arial" w:eastAsia="Arial" w:hAnsi="Arial"/>
          <w:sz w:val="16"/>
          <w:szCs w:val="16"/>
          <w:color w:val="3E5588"/>
        </w:rPr>
        <w:t>ST-400, which uses a genome-edited cell therapy approach designed to produce functional RBCs using fetal hemoglobin. CRISPR Therapeutics AG, in collaboration with Vertex, is conducting a Phase 1/2 clinical trial of CTX001, which uses a gene editing approach to upregulate the expression of fetal hemoglobin, in patients with transfusion-dependent b-thalassemia.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Government Regulation and Product Approvals</w:t>
      </w:r>
    </w:p>
    <w:p>
      <w:pPr>
        <w:spacing w:after="0" w:line="231" w:lineRule="exact"/>
        <w:rPr>
          <w:sz w:val="20"/>
          <w:szCs w:val="20"/>
          <w:color w:val="auto"/>
        </w:rPr>
      </w:pPr>
    </w:p>
    <w:p>
      <w:pPr>
        <w:jc w:val="both"/>
        <w:ind w:firstLine="474"/>
        <w:spacing w:after="0" w:line="294" w:lineRule="auto"/>
        <w:rPr>
          <w:sz w:val="20"/>
          <w:szCs w:val="20"/>
          <w:color w:val="auto"/>
        </w:rPr>
      </w:pPr>
      <w:r>
        <w:rPr>
          <w:rFonts w:ascii="Arial" w:cs="Arial" w:eastAsia="Arial" w:hAnsi="Arial"/>
          <w:sz w:val="16"/>
          <w:szCs w:val="16"/>
          <w:color w:val="3E5588"/>
        </w:rPr>
        <w:t>Government authorities in the United States at the federal, state and local level, and in other countries and jurisdictions, including the European Union, extensively regulate, among other things, the research, development, testing, manufacture, pricing, reimbursement, quality control, approval, packaging, storage, recordkeeping, labeling, advertising, promotion, distribution, marketing, post-approval monitoring and reporting, and import and export of biopharmaceutical products. The processes for obtaining marketing approvals in the United States and in foreign countries and jurisdictions, along with compliance with applicable statutes and regulations and other regulatory authorities, require the expenditure of substantial time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Approval and Regulation of Drugs in the United States</w:t>
      </w:r>
    </w:p>
    <w:p>
      <w:pPr>
        <w:spacing w:after="0" w:line="22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6"/>
          <w:szCs w:val="16"/>
          <w:color w:val="3E5588"/>
        </w:rPr>
        <w:t>In the United States, drug products are regulated under the Federal Food, Drug and Cosmetic Act, or FDCA, and applicable implementing regulations and guidance. The failure of an applicant to comply with the applicable regulatory requirements at any time during the product development process, including non-clinical testing, clinical testing, the approval process or post-approval process, may result in delays to the conduct of a study, regulatory review and approval and/or administrative or judicial sanctions. These sanctions may include, but are not limited to, the FDA's refusal to allow an applicant to proceed with clinical trials, refusal to approve pending applications, license suspension or revocation, withdrawal of an approval, imposition of a clinical hold, issuance of warning letters and other types of letters, adverse publicity, product recalls, product seizures, total or partial suspension of production or distribution, injunctions, fines, refusals of government contracts, restitution, disgorgement of profits or civil or criminal investigations and penalties brought by the FDA or Department of Justice, or DOJ, or other government entities, including state agencies.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418"/>
        <w:spacing w:after="0" w:line="268" w:lineRule="auto"/>
        <w:rPr>
          <w:sz w:val="20"/>
          <w:szCs w:val="20"/>
          <w:color w:val="auto"/>
        </w:rPr>
      </w:pPr>
      <w:r>
        <w:rPr>
          <w:rFonts w:ascii="Arial" w:cs="Arial" w:eastAsia="Arial" w:hAnsi="Arial"/>
          <w:sz w:val="18"/>
          <w:szCs w:val="18"/>
          <w:color w:val="3E5588"/>
        </w:rPr>
        <w:t>An applicant seeking approval to market and distribute a new drug in the United States generally must satisfactorily complete each of the following steps before the product candidate will be approved by the FDA:</w:t>
      </w:r>
    </w:p>
    <w:p>
      <w:pPr>
        <w:spacing w:after="0" w:line="199" w:lineRule="exact"/>
        <w:rPr>
          <w:sz w:val="20"/>
          <w:szCs w:val="20"/>
          <w:color w:val="auto"/>
        </w:rPr>
      </w:pPr>
    </w:p>
    <w:p>
      <w:pPr>
        <w:ind w:left="1080" w:hanging="532"/>
        <w:spacing w:after="0" w:line="268" w:lineRule="auto"/>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preclinical testing including laboratory tests, animal studies and formulation studies, which must be performed in accordance with the FDA's good laboratory practice, or GLP, regulations and standards;</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submission to the FDA of an IND for human clinical testing, which must become effective before human clinical trials may begin;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67"/>
        </w:numPr>
        <w:rPr>
          <w:rFonts w:ascii="Arial" w:cs="Arial" w:eastAsia="Arial" w:hAnsi="Arial"/>
          <w:sz w:val="16"/>
          <w:szCs w:val="16"/>
          <w:color w:val="3E5588"/>
        </w:rPr>
      </w:pPr>
      <w:r>
        <w:rPr>
          <w:rFonts w:ascii="Arial" w:cs="Arial" w:eastAsia="Arial" w:hAnsi="Arial"/>
          <w:sz w:val="16"/>
          <w:szCs w:val="16"/>
          <w:color w:val="3E5588"/>
        </w:rPr>
        <w:t>approval by an independent institutional review board, or IRB, representing each clinical site before each clinical trial may be initiated;</w:t>
      </w:r>
    </w:p>
    <w:p>
      <w:pPr>
        <w:spacing w:after="0" w:line="261"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performance of adequate and well-controlled human clinical trials to establish the safety, potency and purity of the product candidate for each proposed indication, in accordance with current good clinical practices, or GCP;</w:t>
      </w:r>
    </w:p>
    <w:p>
      <w:pPr>
        <w:spacing w:after="0" w:line="212"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preparation and submission to the FDA of a new drug application, or NDA, for a drug product which includes not only the results of the clinical trials, but also, detailed information on the chemistry, manufacture and quality controls for the product candidate and proposed labelling for one or more proposed indication(s);</w:t>
      </w:r>
    </w:p>
    <w:p>
      <w:pPr>
        <w:spacing w:after="0" w:line="207" w:lineRule="exact"/>
        <w:rPr>
          <w:rFonts w:ascii="Arial" w:cs="Arial" w:eastAsia="Arial" w:hAnsi="Arial"/>
          <w:sz w:val="18"/>
          <w:szCs w:val="18"/>
          <w:color w:val="3E5588"/>
        </w:rPr>
      </w:pPr>
    </w:p>
    <w:p>
      <w:pPr>
        <w:ind w:left="1080" w:hanging="532"/>
        <w:spacing w:after="0"/>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review of the product candidate by an FDA advisory committee, where appropriate or if applicable;</w:t>
      </w:r>
    </w:p>
    <w:p>
      <w:pPr>
        <w:spacing w:after="0" w:line="238" w:lineRule="exact"/>
        <w:rPr>
          <w:rFonts w:ascii="Arial" w:cs="Arial" w:eastAsia="Arial" w:hAnsi="Arial"/>
          <w:sz w:val="18"/>
          <w:szCs w:val="18"/>
          <w:color w:val="3E5588"/>
        </w:rPr>
      </w:pPr>
    </w:p>
    <w:p>
      <w:pPr>
        <w:jc w:val="both"/>
        <w:ind w:left="1080" w:hanging="532"/>
        <w:spacing w:after="0" w:line="306" w:lineRule="auto"/>
        <w:tabs>
          <w:tab w:leader="none" w:pos="1080" w:val="left"/>
        </w:tabs>
        <w:numPr>
          <w:ilvl w:val="0"/>
          <w:numId w:val="67"/>
        </w:numPr>
        <w:rPr>
          <w:rFonts w:ascii="Arial" w:cs="Arial" w:eastAsia="Arial" w:hAnsi="Arial"/>
          <w:sz w:val="16"/>
          <w:szCs w:val="16"/>
          <w:color w:val="3E5588"/>
        </w:rPr>
      </w:pPr>
      <w:r>
        <w:rPr>
          <w:rFonts w:ascii="Arial" w:cs="Arial" w:eastAsia="Arial" w:hAnsi="Arial"/>
          <w:sz w:val="16"/>
          <w:szCs w:val="16"/>
          <w:color w:val="3E5588"/>
        </w:rPr>
        <w:t>satisfactory completion of an FDA inspection of the manufacturing facility or facilities, including those of third parties, at which the product candidate or components thereof are manufactured to assess compliance with current good manufacturing practices, or cGMP, requirements and to assure that the facilities, methods and controls are adequate to preserve the product's identity, strength, quality and purity;</w:t>
      </w:r>
    </w:p>
    <w:p>
      <w:pPr>
        <w:spacing w:after="0" w:line="187" w:lineRule="exact"/>
        <w:rPr>
          <w:rFonts w:ascii="Arial" w:cs="Arial" w:eastAsia="Arial" w:hAnsi="Arial"/>
          <w:sz w:val="16"/>
          <w:szCs w:val="16"/>
          <w:color w:val="3E5588"/>
        </w:rPr>
      </w:pPr>
    </w:p>
    <w:p>
      <w:pPr>
        <w:ind w:left="1080" w:right="20" w:hanging="532"/>
        <w:spacing w:after="0" w:line="268" w:lineRule="auto"/>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satisfactory completion of any FDA audits of the non-clinical and clinical trial sites to assure compliance with GCP and the integrity of clinical data in support of the NDA;</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payment of user fees and securing FDA approval of the NDA to allow marketing of the new drug product; and</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67"/>
        </w:numPr>
        <w:rPr>
          <w:rFonts w:ascii="Arial" w:cs="Arial" w:eastAsia="Arial" w:hAnsi="Arial"/>
          <w:sz w:val="18"/>
          <w:szCs w:val="18"/>
          <w:color w:val="3E5588"/>
        </w:rPr>
      </w:pPr>
      <w:r>
        <w:rPr>
          <w:rFonts w:ascii="Arial" w:cs="Arial" w:eastAsia="Arial" w:hAnsi="Arial"/>
          <w:sz w:val="18"/>
          <w:szCs w:val="18"/>
          <w:color w:val="3E5588"/>
        </w:rPr>
        <w:t>compliance with any post-approval requirements, including the potential requirement to implement a Risk Evaluation and Mitigation Strategy, or REMS, and the potential requirement to conduct any post-approval studies required by the FDA.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Preclinical Studies</w:t>
      </w:r>
    </w:p>
    <w:p>
      <w:pPr>
        <w:spacing w:after="0" w:line="225"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3E5588"/>
        </w:rPr>
        <w:t xml:space="preserve">Before an applicant begins testing a product candidate with potential therapeutic value in humans, the product candidate enters the preclinical testing stage, including </w:t>
      </w:r>
      <w:r>
        <w:rPr>
          <w:rFonts w:ascii="Arial" w:cs="Arial" w:eastAsia="Arial" w:hAnsi="Arial"/>
          <w:sz w:val="16"/>
          <w:szCs w:val="16"/>
          <w:i w:val="1"/>
          <w:iCs w:val="1"/>
          <w:color w:val="3E5588"/>
        </w:rPr>
        <w:t>in vitro</w:t>
      </w:r>
      <w:r>
        <w:rPr>
          <w:rFonts w:ascii="Arial" w:cs="Arial" w:eastAsia="Arial" w:hAnsi="Arial"/>
          <w:sz w:val="16"/>
          <w:szCs w:val="16"/>
          <w:color w:val="3E5588"/>
        </w:rPr>
        <w:t xml:space="preserve"> and animal studies to assess the safety and activity of the drug for initial testing in humans and to establish a rationale for therapeutic use. Preclinical tests include laboratory evaluations of product chemistry, formulation and stability, as well as other studies to evaluate, among other things, the toxicity of the product candidate. The conduct of the preclinical tests and formulation of the compounds for testing must comply with federal regulations and requirements, including GLP regulations and standards. The results of the preclinical tests, together with manufacturing information, analytical data, any available clinical data or literature and plans for clinical trials, among other things, are submitted to the FDA as part of an IND. Some long-term preclinical testing, such as animal tests of reproductive adverse events and carcinogenicity and long-term toxicity studies may continue after the IND is submitted.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The IND and IRB Processes</w:t>
      </w:r>
    </w:p>
    <w:p>
      <w:pPr>
        <w:spacing w:after="0" w:line="225" w:lineRule="exact"/>
        <w:rPr>
          <w:sz w:val="20"/>
          <w:szCs w:val="20"/>
          <w:color w:val="auto"/>
        </w:rPr>
      </w:pPr>
    </w:p>
    <w:p>
      <w:pPr>
        <w:jc w:val="both"/>
        <w:ind w:right="20" w:firstLine="370"/>
        <w:spacing w:after="0" w:line="268" w:lineRule="auto"/>
        <w:rPr>
          <w:sz w:val="20"/>
          <w:szCs w:val="20"/>
          <w:color w:val="auto"/>
        </w:rPr>
      </w:pPr>
      <w:r>
        <w:rPr>
          <w:rFonts w:ascii="Arial" w:cs="Arial" w:eastAsia="Arial" w:hAnsi="Arial"/>
          <w:sz w:val="18"/>
          <w:szCs w:val="18"/>
          <w:color w:val="3E5588"/>
        </w:rPr>
        <w:t>Clinical trials involve the administration of the investigational product to human subjects under the supervision of qualified investigators in accordance with GCP requirements, which include, among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E5588"/>
        </w:rPr>
        <w:t>things, the requirement that all research subjects provide their voluntary informed consent in writing before their participation in any clinical trial. Clinical trials are conducted under written study protocols detailing, among other things, the inclusion and exclusion criteria, the objectives of the study, the parameters to be used in monitoring safety and the effectiveness criteria to be evaluated. A protocol for each clinical trial and any subsequent protocol amendments must be submitted to the FDA as part of the IND.</w:t>
      </w:r>
    </w:p>
    <w:p>
      <w:pPr>
        <w:spacing w:after="0" w:line="197" w:lineRule="exact"/>
        <w:rPr>
          <w:sz w:val="20"/>
          <w:szCs w:val="20"/>
          <w:color w:val="auto"/>
        </w:rPr>
      </w:pPr>
    </w:p>
    <w:p>
      <w:pPr>
        <w:jc w:val="both"/>
        <w:ind w:firstLine="436"/>
        <w:spacing w:after="0" w:line="288" w:lineRule="auto"/>
        <w:rPr>
          <w:sz w:val="20"/>
          <w:szCs w:val="20"/>
          <w:color w:val="auto"/>
        </w:rPr>
      </w:pPr>
      <w:r>
        <w:rPr>
          <w:rFonts w:ascii="Arial" w:cs="Arial" w:eastAsia="Arial" w:hAnsi="Arial"/>
          <w:sz w:val="16"/>
          <w:szCs w:val="16"/>
          <w:color w:val="3E5588"/>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NDA.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or thereafter, the FDA may raise concerns or questions about the conduct of the trials as outlined in the IND and impose a clinical hold or partial clinical hold. In these cases, the IND sponsor and the FDA must resolve any outstanding concerns before clinical trials can begin.</w:t>
      </w:r>
    </w:p>
    <w:p>
      <w:pPr>
        <w:spacing w:after="0" w:line="174" w:lineRule="exact"/>
        <w:rPr>
          <w:sz w:val="20"/>
          <w:szCs w:val="20"/>
          <w:color w:val="auto"/>
        </w:rPr>
      </w:pPr>
    </w:p>
    <w:p>
      <w:pPr>
        <w:jc w:val="both"/>
        <w:ind w:firstLine="437"/>
        <w:spacing w:after="0" w:line="289" w:lineRule="auto"/>
        <w:rPr>
          <w:sz w:val="20"/>
          <w:szCs w:val="20"/>
          <w:color w:val="auto"/>
        </w:rPr>
      </w:pPr>
      <w:r>
        <w:rPr>
          <w:rFonts w:ascii="Arial" w:cs="Arial" w:eastAsia="Arial" w:hAnsi="Arial"/>
          <w:sz w:val="16"/>
          <w:szCs w:val="16"/>
          <w:color w:val="3E5588"/>
        </w:rPr>
        <w:t>Following commencement of a clinical trial under an IND, the FDA may also place a clinical hold or partial clinical hold on that trial. Clinical holds are imposed by the FDA whenever there is concern for patient safety and may be a result of new data, findings, or developments in clinical, nonclinical, and/or chemistry, manufacturing, and controls. 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may not be allowed to proceed, while other protocols may be allowed. No more than 30 days after imposition of a clinical hold or partial clinical hold, the FDA will provide the sponsor a written explanation of the basis for the hold. Following issuance of a clinical hold or partial clinical hold, a clinical trial may only resume after the FDA has so notified the sponsor. The FDA will base that determination on information provided by the sponsor correcting the deficiencies previously cited or otherwise satisfying the FDA that the clinical trial can proceed.</w:t>
      </w:r>
    </w:p>
    <w:p>
      <w:pPr>
        <w:spacing w:after="0" w:line="172"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3E5588"/>
        </w:rPr>
        <w:t>A sponsor may choose, but is not required, to conduct a foreign clinical study under an IND. When a foreign clinical study is conducted under an IND, all FDA IND requirements must be met unless waived. When a foreign clinical study is not conducted under an IND, the sponsor must ensure that the study complies with certain regulatory requirements of the FDA in order to use the study as support for an IND or application for marketing approval. Specifically, on April 28, 2008, the FDA amended its regulations governing the acceptance of foreign clinical studies not conducted under an investigational new drug application as support for an IND or a new drug application. The final rule provides that such studies must be conducted in accordance with GCP, including review and approval by an independent ethics committee, or IEC, and informed consent from subjects. The GCP requirements in the final rule encompass both ethical and data integrity standards for clinical studies. The FDA's regulations are intended to help ensure the protection of human subjects enrolled in non-IND foreign clinical studies, as well as the quality and integrity of the resulting data. They further help ensure that non-IND foreign studies are conducted in a manner comparable to that required for IND studies.</w:t>
      </w:r>
    </w:p>
    <w:p>
      <w:pPr>
        <w:spacing w:after="0" w:line="174" w:lineRule="exact"/>
        <w:rPr>
          <w:sz w:val="20"/>
          <w:szCs w:val="20"/>
          <w:color w:val="auto"/>
        </w:rPr>
      </w:pPr>
    </w:p>
    <w:p>
      <w:pPr>
        <w:jc w:val="both"/>
        <w:ind w:firstLine="417"/>
        <w:spacing w:after="0" w:line="256" w:lineRule="auto"/>
        <w:rPr>
          <w:sz w:val="20"/>
          <w:szCs w:val="20"/>
          <w:color w:val="auto"/>
        </w:rPr>
      </w:pPr>
      <w:r>
        <w:rPr>
          <w:rFonts w:ascii="Arial" w:cs="Arial" w:eastAsia="Arial" w:hAnsi="Arial"/>
          <w:sz w:val="18"/>
          <w:szCs w:val="18"/>
          <w:color w:val="3E5588"/>
        </w:rPr>
        <w:t>In addition to the foregoing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86" w:lineRule="exact"/>
        <w:rPr>
          <w:sz w:val="20"/>
          <w:szCs w:val="20"/>
          <w:color w:val="auto"/>
        </w:rPr>
      </w:pPr>
    </w:p>
    <w:p>
      <w:pPr>
        <w:jc w:val="both"/>
        <w:ind w:firstLine="380"/>
        <w:spacing w:after="0" w:line="255" w:lineRule="auto"/>
        <w:rPr>
          <w:sz w:val="20"/>
          <w:szCs w:val="20"/>
          <w:color w:val="auto"/>
        </w:rPr>
      </w:pPr>
      <w:r>
        <w:rPr>
          <w:rFonts w:ascii="Arial" w:cs="Arial" w:eastAsia="Arial" w:hAnsi="Arial"/>
          <w:sz w:val="18"/>
          <w:szCs w:val="18"/>
          <w:color w:val="3E5588"/>
        </w:rPr>
        <w:t>Additionally, some trials are overseen by an independent group of qualified experts organized by the trial sponsor, known as a data safety monitoring board or committee. This group provides authorization as to whether or not a trial may move forward at designated check points based on access that only the 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the competitive environment.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Information about clinical trials must be submitted within specific timeframes to the NIH for public dissemination on its ClinicalTrials.gov website.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Expanded Access to an Investigational Drug for Treatment Use</w:t>
      </w:r>
    </w:p>
    <w:p>
      <w:pPr>
        <w:spacing w:after="0" w:line="225" w:lineRule="exact"/>
        <w:rPr>
          <w:sz w:val="20"/>
          <w:szCs w:val="20"/>
          <w:color w:val="auto"/>
        </w:rPr>
      </w:pPr>
    </w:p>
    <w:p>
      <w:pPr>
        <w:jc w:val="both"/>
        <w:ind w:firstLine="496"/>
        <w:spacing w:after="0" w:line="291" w:lineRule="auto"/>
        <w:rPr>
          <w:sz w:val="20"/>
          <w:szCs w:val="20"/>
          <w:color w:val="auto"/>
        </w:rPr>
      </w:pPr>
      <w:r>
        <w:rPr>
          <w:rFonts w:ascii="Arial" w:cs="Arial" w:eastAsia="Arial" w:hAnsi="Arial"/>
          <w:sz w:val="16"/>
          <w:szCs w:val="16"/>
          <w:color w:val="3E5588"/>
        </w:rPr>
        <w:t>Expanded access, sometimes called "compassionate use," is the use of investigational new drug products outside of clinical trials to treat patients with serious or immediately life-threatening diseases or conditions when there are no comparable or satisfactory alternative treatment options. The rules and regulations related to expanded access are intended to improve access to investigational drugs for patients who may benefit from investigational therapies. FDA regulations allow access to investigational drugs under an IND by the company or the treating physician for treatment purposes on a case-by-case basis for: individual patients (single-patient IND applications for treatment in emergency settings and non-emergency settings); intermediate-size patient populations; and larger populations for use of the drug under a treatment protocol or Treatment IND Application.</w:t>
      </w:r>
    </w:p>
    <w:p>
      <w:pPr>
        <w:spacing w:after="0" w:line="174"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3E5588"/>
        </w:rPr>
        <w:t>When considering an IND application for expanded access to an investigational product with the purpose of treating a patient or a group of patients, the sponsor and treating physicians or investigators will determine suitability when all of the following criteria apply: patient(s) have a serious or immediately life-threatening disease or condition, and there is no comparable or satisfactory alternative therapy to diagnose, monitor, or treat the disease or condition; the potential patient benefit justifies the potential risks of the treatment and the potential risks are not unreasonable in the context or condition to be treated; and the expanded use of the investigational drug for the requested treatment will not interfere with the initiation, conduct, or completion of clinical investigations that could support marketing approval of the product or otherwise compromise the potential development of the product.</w:t>
      </w:r>
    </w:p>
    <w:p>
      <w:pPr>
        <w:spacing w:after="0" w:line="175" w:lineRule="exact"/>
        <w:rPr>
          <w:sz w:val="20"/>
          <w:szCs w:val="20"/>
          <w:color w:val="auto"/>
        </w:rPr>
      </w:pPr>
    </w:p>
    <w:p>
      <w:pPr>
        <w:jc w:val="both"/>
        <w:ind w:firstLine="426"/>
        <w:spacing w:after="0" w:line="290" w:lineRule="auto"/>
        <w:rPr>
          <w:sz w:val="20"/>
          <w:szCs w:val="20"/>
          <w:color w:val="auto"/>
        </w:rPr>
      </w:pPr>
      <w:r>
        <w:rPr>
          <w:rFonts w:ascii="Arial" w:cs="Arial" w:eastAsia="Arial" w:hAnsi="Arial"/>
          <w:sz w:val="15"/>
          <w:szCs w:val="15"/>
          <w:color w:val="3E5588"/>
        </w:rPr>
        <w:t>On December 13, 2016, the 21</w:t>
      </w:r>
      <w:r>
        <w:rPr>
          <w:rFonts w:ascii="Arial" w:cs="Arial" w:eastAsia="Arial" w:hAnsi="Arial"/>
          <w:sz w:val="24"/>
          <w:szCs w:val="24"/>
          <w:color w:val="3E5588"/>
          <w:vertAlign w:val="superscript"/>
        </w:rPr>
        <w:t>st</w:t>
      </w:r>
      <w:r>
        <w:rPr>
          <w:rFonts w:ascii="Arial" w:cs="Arial" w:eastAsia="Arial" w:hAnsi="Arial"/>
          <w:sz w:val="15"/>
          <w:szCs w:val="15"/>
          <w:color w:val="3E5588"/>
        </w:rPr>
        <w:t xml:space="preserve"> Century Cures Act, or the Cures Act, established (and the 2017 Food and Drug Administration Reauthorization Act later amended) a requirement that sponsors of one or more investigational drugs for the treatment of a serious disease(s) or condition(s) make publicly available their policy for evaluating and responding to requests for expanded access for individual patients. Although these requirements were rolled out over time, they have now come into full effect. This provision requires drug and biologic companies to make publicly available their policies for expanded access for individual patient access to products intended for serious diseases. Sponsors are required to make such policies publicly available upon the earlier of initiation of a Phase 2 or Phase 3 study; or 15 days after the drug or biologic receives designation as a breakthrough therapy, fast track product, or regenerative medicine advanced therapy.</w:t>
      </w:r>
    </w:p>
    <w:p>
      <w:pPr>
        <w:spacing w:after="0" w:line="176"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3E5588"/>
        </w:rPr>
        <w:t>In addition, on May 30, 2018,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Human Clinical Trials in Support of an NDA</w:t>
      </w:r>
    </w:p>
    <w:p>
      <w:pPr>
        <w:spacing w:after="0" w:line="225" w:lineRule="exact"/>
        <w:rPr>
          <w:sz w:val="20"/>
          <w:szCs w:val="20"/>
          <w:color w:val="auto"/>
        </w:rPr>
      </w:pPr>
    </w:p>
    <w:p>
      <w:pPr>
        <w:jc w:val="both"/>
        <w:ind w:firstLine="494"/>
        <w:spacing w:after="0" w:line="298" w:lineRule="auto"/>
        <w:rPr>
          <w:sz w:val="20"/>
          <w:szCs w:val="20"/>
          <w:color w:val="auto"/>
        </w:rPr>
      </w:pPr>
      <w:r>
        <w:rPr>
          <w:rFonts w:ascii="Arial" w:cs="Arial" w:eastAsia="Arial" w:hAnsi="Arial"/>
          <w:sz w:val="16"/>
          <w:szCs w:val="16"/>
          <w:color w:val="3E5588"/>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criteria to be evaluated.</w:t>
      </w:r>
    </w:p>
    <w:p>
      <w:pPr>
        <w:spacing w:after="0" w:line="167"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3E5588"/>
        </w:rPr>
        <w:t>Human clinical trials are typically conducted in three sequential phases, but the phases may overlap or be combined. Additional studies may also be required after approval.</w:t>
      </w:r>
    </w:p>
    <w:p>
      <w:pPr>
        <w:spacing w:after="0" w:line="186"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i w:val="1"/>
          <w:iCs w:val="1"/>
          <w:color w:val="3E5588"/>
        </w:rPr>
        <w:t xml:space="preserve">Phase 1 </w:t>
      </w:r>
      <w:r>
        <w:rPr>
          <w:rFonts w:ascii="Arial" w:cs="Arial" w:eastAsia="Arial" w:hAnsi="Arial"/>
          <w:sz w:val="18"/>
          <w:szCs w:val="18"/>
          <w:color w:val="3E5588"/>
        </w:rPr>
        <w:t>clinical trials are initially conducted in a limited population to test the product candidate for safety, including adverse effects, dose tolerance,</w:t>
      </w:r>
      <w:r>
        <w:rPr>
          <w:rFonts w:ascii="Arial" w:cs="Arial" w:eastAsia="Arial" w:hAnsi="Arial"/>
          <w:sz w:val="18"/>
          <w:szCs w:val="18"/>
          <w:i w:val="1"/>
          <w:iCs w:val="1"/>
          <w:color w:val="3E5588"/>
        </w:rPr>
        <w:t xml:space="preserve"> </w:t>
      </w:r>
      <w:r>
        <w:rPr>
          <w:rFonts w:ascii="Arial" w:cs="Arial" w:eastAsia="Arial" w:hAnsi="Arial"/>
          <w:sz w:val="18"/>
          <w:szCs w:val="18"/>
          <w:color w:val="3E5588"/>
        </w:rPr>
        <w:t>absorption, metabolism, distribution, excretion and pharmacodynamics in healthy humans or in patients. During Phase 1 clinical trials, information about the investigational drug product's pharmacokinetics and pharmacological effects may be obtained to permit the design of well-controlled and scientifically valid Phase 2 clinical trials.</w:t>
      </w:r>
    </w:p>
    <w:p>
      <w:pPr>
        <w:spacing w:after="0" w:line="197" w:lineRule="exact"/>
        <w:rPr>
          <w:sz w:val="20"/>
          <w:szCs w:val="20"/>
          <w:color w:val="auto"/>
        </w:rPr>
      </w:pPr>
    </w:p>
    <w:p>
      <w:pPr>
        <w:jc w:val="both"/>
        <w:ind w:firstLine="365"/>
        <w:spacing w:after="0" w:line="256" w:lineRule="auto"/>
        <w:rPr>
          <w:sz w:val="20"/>
          <w:szCs w:val="20"/>
          <w:color w:val="auto"/>
        </w:rPr>
      </w:pPr>
      <w:r>
        <w:rPr>
          <w:rFonts w:ascii="Arial" w:cs="Arial" w:eastAsia="Arial" w:hAnsi="Arial"/>
          <w:sz w:val="18"/>
          <w:szCs w:val="18"/>
          <w:i w:val="1"/>
          <w:iCs w:val="1"/>
          <w:color w:val="3E5588"/>
        </w:rPr>
        <w:t xml:space="preserve">Phase 2 </w:t>
      </w:r>
      <w:r>
        <w:rPr>
          <w:rFonts w:ascii="Arial" w:cs="Arial" w:eastAsia="Arial" w:hAnsi="Arial"/>
          <w:sz w:val="18"/>
          <w:szCs w:val="18"/>
          <w:color w:val="3E5588"/>
        </w:rPr>
        <w:t>clinical trials are generally conducted in a limited patient population to identify possible adverse effects and safety risks, evaluate the efficacy of the</w:t>
      </w:r>
      <w:r>
        <w:rPr>
          <w:rFonts w:ascii="Arial" w:cs="Arial" w:eastAsia="Arial" w:hAnsi="Arial"/>
          <w:sz w:val="18"/>
          <w:szCs w:val="18"/>
          <w:i w:val="1"/>
          <w:iCs w:val="1"/>
          <w:color w:val="3E5588"/>
        </w:rPr>
        <w:t xml:space="preserve"> </w:t>
      </w:r>
      <w:r>
        <w:rPr>
          <w:rFonts w:ascii="Arial" w:cs="Arial" w:eastAsia="Arial" w:hAnsi="Arial"/>
          <w:sz w:val="18"/>
          <w:szCs w:val="18"/>
          <w:color w:val="3E5588"/>
        </w:rPr>
        <w:t>product candidate for specific targeted indications and determine dose tolerance and optimal dosage. Multiple Phase 2 clinical trials may be conducted by the sponsor to obtain information prior to beginning larger and more costly Phase 3 clinical trials. Phase 2 clinical trials are well controlled, closely monitored and conducted in a limited patient population.</w:t>
      </w:r>
    </w:p>
    <w:p>
      <w:pPr>
        <w:spacing w:after="0" w:line="197" w:lineRule="exact"/>
        <w:rPr>
          <w:sz w:val="20"/>
          <w:szCs w:val="20"/>
          <w:color w:val="auto"/>
        </w:rPr>
      </w:pPr>
    </w:p>
    <w:p>
      <w:pPr>
        <w:jc w:val="both"/>
        <w:ind w:firstLine="513"/>
        <w:spacing w:after="0" w:line="294" w:lineRule="auto"/>
        <w:rPr>
          <w:sz w:val="20"/>
          <w:szCs w:val="20"/>
          <w:color w:val="auto"/>
        </w:rPr>
      </w:pPr>
      <w:r>
        <w:rPr>
          <w:rFonts w:ascii="Arial" w:cs="Arial" w:eastAsia="Arial" w:hAnsi="Arial"/>
          <w:sz w:val="16"/>
          <w:szCs w:val="16"/>
          <w:i w:val="1"/>
          <w:iCs w:val="1"/>
          <w:color w:val="3E5588"/>
        </w:rPr>
        <w:t xml:space="preserve">Phase 3 </w:t>
      </w:r>
      <w:r>
        <w:rPr>
          <w:rFonts w:ascii="Arial" w:cs="Arial" w:eastAsia="Arial" w:hAnsi="Arial"/>
          <w:sz w:val="16"/>
          <w:szCs w:val="16"/>
          <w:color w:val="3E5588"/>
        </w:rPr>
        <w:t>clinical trials proceed if the Phase 2 clinical trials demonstrate that a dose range of the product candidate is potentially effective and has an</w:t>
      </w:r>
      <w:r>
        <w:rPr>
          <w:rFonts w:ascii="Arial" w:cs="Arial" w:eastAsia="Arial" w:hAnsi="Arial"/>
          <w:sz w:val="16"/>
          <w:szCs w:val="16"/>
          <w:i w:val="1"/>
          <w:iCs w:val="1"/>
          <w:color w:val="3E5588"/>
        </w:rPr>
        <w:t xml:space="preserve"> </w:t>
      </w:r>
      <w:r>
        <w:rPr>
          <w:rFonts w:ascii="Arial" w:cs="Arial" w:eastAsia="Arial" w:hAnsi="Arial"/>
          <w:sz w:val="16"/>
          <w:szCs w:val="16"/>
          <w:color w:val="3E5588"/>
        </w:rPr>
        <w:t>acceptable safety profile. Phase 3 clinical trials are undertaken within an expanded patient population to further evaluate dosage, provide substantial evidence of clinical efficacy and further test for safety in an expanded and diverse patient population at multiple, geographically dispersed clinical trial sites. A well-controlled, statistically robust Phase 3 clinical trial may be designed to deliver the data that regulatory authorities will use to decide whether or not to approve, and, if approved, how to appropriately label a drug. Such Phase 3 studies are referred to as "pivotal."</w:t>
      </w:r>
    </w:p>
    <w:p>
      <w:pPr>
        <w:spacing w:after="0" w:line="170" w:lineRule="exact"/>
        <w:rPr>
          <w:sz w:val="20"/>
          <w:szCs w:val="20"/>
          <w:color w:val="auto"/>
        </w:rPr>
      </w:pPr>
    </w:p>
    <w:p>
      <w:pPr>
        <w:jc w:val="both"/>
        <w:ind w:firstLine="485"/>
        <w:spacing w:after="0" w:line="255" w:lineRule="auto"/>
        <w:rPr>
          <w:sz w:val="20"/>
          <w:szCs w:val="20"/>
          <w:color w:val="auto"/>
        </w:rPr>
      </w:pPr>
      <w:r>
        <w:rPr>
          <w:rFonts w:ascii="Arial" w:cs="Arial" w:eastAsia="Arial" w:hAnsi="Arial"/>
          <w:sz w:val="18"/>
          <w:szCs w:val="18"/>
          <w:color w:val="3E5588"/>
        </w:rPr>
        <w:t>In some cases, the FDA may approve an NDA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drugs approved under accelerated approval regulations. Failure to exhibit due diligence with regard to conducting Phase 4 clinical trials could result in withdrawal of approval for products.</w:t>
      </w:r>
    </w:p>
    <w:p>
      <w:pPr>
        <w:spacing w:after="0" w:line="197"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3E5588"/>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Arial" w:cs="Arial" w:eastAsia="Arial" w:hAnsi="Arial"/>
          <w:sz w:val="16"/>
          <w:szCs w:val="16"/>
          <w:i w:val="1"/>
          <w:iCs w:val="1"/>
          <w:color w:val="3E5588"/>
        </w:rPr>
        <w:t>in vitro</w:t>
      </w:r>
      <w:r>
        <w:rPr>
          <w:rFonts w:ascii="Arial" w:cs="Arial" w:eastAsia="Arial" w:hAnsi="Arial"/>
          <w:sz w:val="16"/>
          <w:szCs w:val="16"/>
          <w:color w:val="3E5588"/>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or an institution it represents, if the clinical trial is not being conducted in accordance with the IRB's requirements or if the product has been associated with unexpected serious harm to patients. The FDA will typically inspect one or more clinical sites to assure compliance with GCP and the integrity of the clinical data submitted.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7"/>
        <w:spacing w:after="0" w:line="294" w:lineRule="auto"/>
        <w:rPr>
          <w:sz w:val="20"/>
          <w:szCs w:val="20"/>
          <w:color w:val="auto"/>
        </w:rPr>
      </w:pPr>
      <w:r>
        <w:rPr>
          <w:rFonts w:ascii="Arial" w:cs="Arial" w:eastAsia="Arial" w:hAnsi="Arial"/>
          <w:sz w:val="16"/>
          <w:szCs w:val="16"/>
          <w:color w:val="3E5588"/>
        </w:rPr>
        <w:t>Concurrent with clinical trials, companies often complete additional animal studies. They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Pediatric Studies</w:t>
      </w:r>
    </w:p>
    <w:p>
      <w:pPr>
        <w:spacing w:after="0" w:line="225"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3E5588"/>
        </w:rPr>
        <w:t>Under the Pediatric Research Equity Act of 2003, an NDA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74"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3E5588"/>
        </w:rPr>
        <w:t>For drugs intended to treat a serious or life-threatening disease or condition, the FDA must, upon the request of an applicant, meet to discuss preparation of the initial pediatric study plan or to discuss deferral or waiver of pediatric assessments. In addition, the FDA will meet early in the development process to discuss pediatric study plans with sponsors, and the FDA must meet with sponsors by no later than the end-of-phase 1 meeting for serious or life-threatening diseases and by no later than ninety (90) days after the FDA's receipt of the study plan.</w:t>
      </w:r>
    </w:p>
    <w:p>
      <w:pPr>
        <w:spacing w:after="0" w:line="197" w:lineRule="exact"/>
        <w:rPr>
          <w:sz w:val="20"/>
          <w:szCs w:val="20"/>
          <w:color w:val="auto"/>
        </w:rPr>
      </w:pPr>
    </w:p>
    <w:p>
      <w:pPr>
        <w:jc w:val="both"/>
        <w:ind w:firstLine="399"/>
        <w:spacing w:after="0" w:line="256" w:lineRule="auto"/>
        <w:rPr>
          <w:sz w:val="20"/>
          <w:szCs w:val="20"/>
          <w:color w:val="auto"/>
        </w:rPr>
      </w:pPr>
      <w:r>
        <w:rPr>
          <w:rFonts w:ascii="Arial" w:cs="Arial" w:eastAsia="Arial" w:hAnsi="Arial"/>
          <w:sz w:val="18"/>
          <w:szCs w:val="18"/>
          <w:color w:val="3E5588"/>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the Food and Drug Administration Safety and Innovation Act in 2012. Unless otherwise required by regulation, the pediatric data requirements do not apply to products with orphan designation.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Review and Approval of an NDA</w:t>
      </w:r>
    </w:p>
    <w:p>
      <w:pPr>
        <w:spacing w:after="0" w:line="225" w:lineRule="exact"/>
        <w:rPr>
          <w:sz w:val="20"/>
          <w:szCs w:val="20"/>
          <w:color w:val="auto"/>
        </w:rPr>
      </w:pPr>
    </w:p>
    <w:p>
      <w:pPr>
        <w:jc w:val="both"/>
        <w:ind w:firstLine="367"/>
        <w:spacing w:after="0" w:line="253" w:lineRule="auto"/>
        <w:rPr>
          <w:sz w:val="20"/>
          <w:szCs w:val="20"/>
          <w:color w:val="auto"/>
        </w:rPr>
      </w:pPr>
      <w:r>
        <w:rPr>
          <w:rFonts w:ascii="Arial" w:cs="Arial" w:eastAsia="Arial" w:hAnsi="Arial"/>
          <w:sz w:val="18"/>
          <w:szCs w:val="18"/>
          <w:color w:val="3E5588"/>
        </w:rPr>
        <w:t>In order to obtain approval to market a drug product in the United States, a marketing application must be submitted to the FDA that provides sufficient data establishing the safety, purity and potency of the proposed drug product for its intended indication.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independent investigators. To support marketing approval, the data submitted must be sufficient in quality and quantity to establish the safety, purity and potency of the drug product to the satisfaction of the FDA.</w:t>
      </w:r>
    </w:p>
    <w:p>
      <w:pPr>
        <w:spacing w:after="0" w:line="201"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3E5588"/>
        </w:rPr>
        <w:t>The NDA is a vehicle through which applicants formally propose that the FDA approve a new product for marketing and sale in the United States for one or more indications. Every new non-biologic drug product candidate must be the subject of an approved NDA before it may be commercialized in the United States. BLAs are submitted for approval of biologic products. Under federal law, the submission of most NDAs is subject to an application user fee, which for federal fiscal year 2019 is $2,588,478 for an application requiring clinical data. The sponsor of an approved NDA is also subject to an annual program fee, which for fiscal year 2019 is $309,915. Certain exceptions and waivers are available for some of these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fees, such as an exception from the application fee for products with orphan designation, an exception from the program fee when the program does not engage in manufacturing the drug during a particular fiscal year and a waiver for certain small businesses.</w:t>
      </w:r>
    </w:p>
    <w:p>
      <w:pPr>
        <w:spacing w:after="0" w:line="186" w:lineRule="exact"/>
        <w:rPr>
          <w:sz w:val="20"/>
          <w:szCs w:val="20"/>
          <w:color w:val="auto"/>
        </w:rPr>
      </w:pPr>
    </w:p>
    <w:p>
      <w:pPr>
        <w:jc w:val="both"/>
        <w:ind w:firstLine="371"/>
        <w:spacing w:after="0" w:line="287" w:lineRule="auto"/>
        <w:rPr>
          <w:sz w:val="20"/>
          <w:szCs w:val="20"/>
          <w:color w:val="auto"/>
        </w:rPr>
      </w:pPr>
      <w:r>
        <w:rPr>
          <w:rFonts w:ascii="Arial" w:cs="Arial" w:eastAsia="Arial" w:hAnsi="Arial"/>
          <w:sz w:val="16"/>
          <w:szCs w:val="16"/>
          <w:color w:val="3E5588"/>
        </w:rPr>
        <w:t>The FDA conducts a preliminary review of the application, generally within 60 calendar days of its receipt, and strives to inform the sponsor within 74 days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NDAs. Under that agreement, 90% of applications seeking approval of New Molecular Entities, or NMEs, are meant to be reviewed within ten months from the date on which the FDA accepts the application for filing, and 90% of applications for NMEs that have been designated for Priority Review are meant to be reviewed within six months of the filing date. For applications seeking approval of products that are not NMEs, the ten-month and six-month review periods run from the date that the FDA receives the application. The review process and the Prescription Drug User Fee Act, or PDUFA, goal date may be extended by the FDA for three additional months to consider new information or clarification provided by the applicant to address an outstanding deficiency identified by the FDA following the original submission.</w:t>
      </w:r>
    </w:p>
    <w:p>
      <w:pPr>
        <w:spacing w:after="0" w:line="177" w:lineRule="exact"/>
        <w:rPr>
          <w:sz w:val="20"/>
          <w:szCs w:val="20"/>
          <w:color w:val="auto"/>
        </w:rPr>
      </w:pPr>
    </w:p>
    <w:p>
      <w:pPr>
        <w:jc w:val="both"/>
        <w:ind w:firstLine="473"/>
        <w:spacing w:after="0" w:line="290" w:lineRule="auto"/>
        <w:rPr>
          <w:sz w:val="20"/>
          <w:szCs w:val="20"/>
          <w:color w:val="auto"/>
        </w:rPr>
      </w:pPr>
      <w:r>
        <w:rPr>
          <w:rFonts w:ascii="Arial" w:cs="Arial" w:eastAsia="Arial" w:hAnsi="Arial"/>
          <w:sz w:val="16"/>
          <w:szCs w:val="16"/>
          <w:color w:val="3E5588"/>
        </w:rPr>
        <w:t>Before approving an application, the FDA typically will inspect the facility or facilities where the product is being or will be manufactured. These pre-approval inspections may cover all facilities associated with an NDA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Under the FDA Reauthorization Act of 2017, the FDA must implement a protocol to expedite review of responses to inspection reports pertaining to certain applications, including applications for products in shortage or those for which approval is dependent on remediation of conditions identified in the inspection report.</w:t>
      </w:r>
    </w:p>
    <w:p>
      <w:pPr>
        <w:spacing w:after="0" w:line="172" w:lineRule="exact"/>
        <w:rPr>
          <w:sz w:val="20"/>
          <w:szCs w:val="20"/>
          <w:color w:val="auto"/>
        </w:rPr>
      </w:pPr>
    </w:p>
    <w:p>
      <w:pPr>
        <w:jc w:val="both"/>
        <w:ind w:firstLine="498"/>
        <w:spacing w:after="0" w:line="298" w:lineRule="auto"/>
        <w:rPr>
          <w:sz w:val="20"/>
          <w:szCs w:val="20"/>
          <w:color w:val="auto"/>
        </w:rPr>
      </w:pPr>
      <w:r>
        <w:rPr>
          <w:rFonts w:ascii="Arial" w:cs="Arial" w:eastAsia="Arial" w:hAnsi="Arial"/>
          <w:sz w:val="16"/>
          <w:szCs w:val="16"/>
          <w:color w:val="3E5588"/>
        </w:rPr>
        <w:t>In addition, as a condition of approval, the FDA may require an applicant to develop a REMS. A REMS uses risk-minimization strategies beyond the professional labeling to ensure that the benefits of the product outweigh the potential risks. To determine whether a REMS is needed, the FDA will consider the size of the population likely to use the product, the seriousness of the disease, the expected benefit of the product, the expected duration of treatment, the seriousness of known or potential adverse events and whether the product is a new molecular entity.</w:t>
      </w:r>
    </w:p>
    <w:p>
      <w:pPr>
        <w:spacing w:after="0" w:line="167" w:lineRule="exact"/>
        <w:rPr>
          <w:sz w:val="20"/>
          <w:szCs w:val="20"/>
          <w:color w:val="auto"/>
        </w:rPr>
      </w:pPr>
    </w:p>
    <w:p>
      <w:pPr>
        <w:jc w:val="both"/>
        <w:ind w:firstLine="537"/>
        <w:spacing w:after="0" w:line="256" w:lineRule="auto"/>
        <w:rPr>
          <w:sz w:val="20"/>
          <w:szCs w:val="20"/>
          <w:color w:val="auto"/>
        </w:rPr>
      </w:pPr>
      <w:r>
        <w:rPr>
          <w:rFonts w:ascii="Arial" w:cs="Arial" w:eastAsia="Arial" w:hAnsi="Arial"/>
          <w:sz w:val="18"/>
          <w:szCs w:val="18"/>
          <w:color w:val="3E5588"/>
        </w:rPr>
        <w:t>The FDA may refer an application for a novel product to an advisory committee or explain why such referral was not made. Typically, an advisory committee is a panel of independent experts, including clinicians and other scientific experts, that review, evaluate and provide a recommendation as to whether the application should be approved and under what conditions. The FDA is not bound by the recommendations of an advisory committee, but the FDA considers such recommendations carefully when making decisions.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Fast Track, Breakthrough Therapy, Priority Review and Regenerative Advanced Therapy Designations</w:t>
      </w:r>
    </w:p>
    <w:p>
      <w:pPr>
        <w:spacing w:after="0" w:line="22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3E5588"/>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94"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3E5588"/>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E5588"/>
        </w:rPr>
        <w:t>condition. For Fast Track products, sponsors may have greater interaction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74"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3E5588"/>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74"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3E5588"/>
        </w:rPr>
        <w:t>Third, the FDA may designate a product for Priority Review if it treats a serious condition and, if approved,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74" w:lineRule="exact"/>
        <w:rPr>
          <w:sz w:val="20"/>
          <w:szCs w:val="20"/>
          <w:color w:val="auto"/>
        </w:rPr>
      </w:pPr>
    </w:p>
    <w:p>
      <w:pPr>
        <w:jc w:val="both"/>
        <w:ind w:firstLine="402"/>
        <w:spacing w:after="0" w:line="318" w:lineRule="auto"/>
        <w:rPr>
          <w:sz w:val="20"/>
          <w:szCs w:val="20"/>
          <w:color w:val="auto"/>
        </w:rPr>
      </w:pPr>
      <w:r>
        <w:rPr>
          <w:rFonts w:ascii="Arial" w:cs="Arial" w:eastAsia="Arial" w:hAnsi="Arial"/>
          <w:sz w:val="15"/>
          <w:szCs w:val="15"/>
          <w:color w:val="3E5588"/>
        </w:rPr>
        <w:t>With passage of the Cures Act in December 2016, Congress authorized the FDA to accelerate review and approval of products designated as Regenerative Advanced Therapies. A product is eligible for this designation if it is a regenerative medicine therapy that is intended to treat, modify, reverse or cure a serious or life-threatening disease or condition and if preliminary clinical evidence indicates that the product has the potential to address unmet medical needs for such disease or condition. The benefits of a Regenerative Advanced Therapy designation include early interactions with the FDA to expedite development and review, benefits available to breakthrough therapies, potential eligibility for Priority Review and accelerated approval based on surrogate or intermediate endpoints.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Accelerated Approval Pathway</w:t>
      </w:r>
    </w:p>
    <w:p>
      <w:pPr>
        <w:spacing w:after="0" w:line="22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3E5588"/>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based on epidemiologic, therapeutic, pathophysiologic, or other evidence, to predict clinical benefit. The FDA may also grant accelerated approval for such a condition when the product has an effect on an intermediate clinical endpoint that can be measured earlier than an effect on irreversible morbidity or mortality, or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201" w:lineRule="exact"/>
        <w:rPr>
          <w:sz w:val="20"/>
          <w:szCs w:val="20"/>
          <w:color w:val="auto"/>
        </w:rPr>
      </w:pPr>
    </w:p>
    <w:p>
      <w:pPr>
        <w:jc w:val="both"/>
        <w:ind w:firstLine="433"/>
        <w:spacing w:after="0" w:line="268" w:lineRule="auto"/>
        <w:rPr>
          <w:sz w:val="20"/>
          <w:szCs w:val="20"/>
          <w:color w:val="auto"/>
        </w:rPr>
      </w:pPr>
      <w:r>
        <w:rPr>
          <w:rFonts w:ascii="Arial" w:cs="Arial" w:eastAsia="Arial" w:hAnsi="Arial"/>
          <w:sz w:val="18"/>
          <w:szCs w:val="18"/>
          <w:color w:val="3E5588"/>
        </w:rPr>
        <w:t>For the purposes of accelerated approval, a surrogate endpoint is a marker, such as a laboratory measurement, radiographic image, physical sign, efficacy biomarker or other measure that is thought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E5588"/>
        </w:rPr>
        <w:t>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0" w:lineRule="exact"/>
        <w:rPr>
          <w:sz w:val="20"/>
          <w:szCs w:val="20"/>
          <w:color w:val="auto"/>
        </w:rPr>
      </w:pPr>
    </w:p>
    <w:p>
      <w:pPr>
        <w:jc w:val="both"/>
        <w:ind w:firstLine="484"/>
        <w:spacing w:after="0" w:line="298" w:lineRule="auto"/>
        <w:rPr>
          <w:sz w:val="20"/>
          <w:szCs w:val="20"/>
          <w:color w:val="auto"/>
        </w:rPr>
      </w:pPr>
      <w:r>
        <w:rPr>
          <w:rFonts w:ascii="Arial" w:cs="Arial" w:eastAsia="Arial" w:hAnsi="Arial"/>
          <w:sz w:val="16"/>
          <w:szCs w:val="16"/>
          <w:color w:val="3E5588"/>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67"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3E5588"/>
        </w:rPr>
        <w:t>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post-marketing studies, would allow the FDA to initiate expedited proceedings to withdraw approval of the product. All promotional materials for product candidates approved under accelerated regulations are subject to prior review by the FDA.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The FDA's Decision on an NDA</w:t>
      </w:r>
    </w:p>
    <w:p>
      <w:pPr>
        <w:spacing w:after="0" w:line="225"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3E5588"/>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201" w:lineRule="exact"/>
        <w:rPr>
          <w:sz w:val="20"/>
          <w:szCs w:val="20"/>
          <w:color w:val="auto"/>
        </w:rPr>
      </w:pPr>
    </w:p>
    <w:p>
      <w:pPr>
        <w:jc w:val="both"/>
        <w:ind w:firstLine="402"/>
        <w:spacing w:after="0" w:line="287" w:lineRule="auto"/>
        <w:rPr>
          <w:sz w:val="20"/>
          <w:szCs w:val="20"/>
          <w:color w:val="auto"/>
        </w:rPr>
      </w:pPr>
      <w:r>
        <w:rPr>
          <w:rFonts w:ascii="Arial" w:cs="Arial" w:eastAsia="Arial" w:hAnsi="Arial"/>
          <w:sz w:val="16"/>
          <w:szCs w:val="16"/>
          <w:color w:val="3E5588"/>
        </w:rPr>
        <w:t>If the FDA approves a new product, it may limit the approved indications for use of the product, require that contraindications, warnings or precautions be included in the product labeling, or require that post-approval studies, including Phase 4 clinical trials, be conducted to further assess the drug's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REMS programs can include medication guides, communication plans for health care professionals, and elements to assure safe use, or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The FDA may require a REMS before or after approval if it becomes aware of a serious risk associated with use of the product. The requirement for a REMS can materially affect the potential market and profitability of a product. After approval, many types of changes to the approved product, such as adding new indications, changing manufacturing processes and adding labeling claims, are subject to further testing requirements and FDA review and approval.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Post-Approval Regulation</w:t>
      </w:r>
    </w:p>
    <w:p>
      <w:pPr>
        <w:spacing w:after="0" w:line="225" w:lineRule="exact"/>
        <w:rPr>
          <w:sz w:val="20"/>
          <w:szCs w:val="20"/>
          <w:color w:val="auto"/>
        </w:rPr>
      </w:pPr>
    </w:p>
    <w:p>
      <w:pPr>
        <w:jc w:val="both"/>
        <w:ind w:firstLine="479"/>
        <w:spacing w:after="0" w:line="288" w:lineRule="auto"/>
        <w:rPr>
          <w:sz w:val="20"/>
          <w:szCs w:val="20"/>
          <w:color w:val="auto"/>
        </w:rPr>
      </w:pPr>
      <w:r>
        <w:rPr>
          <w:rFonts w:ascii="Arial" w:cs="Arial" w:eastAsia="Arial" w:hAnsi="Arial"/>
          <w:sz w:val="16"/>
          <w:szCs w:val="16"/>
          <w:color w:val="3E5588"/>
        </w:rPr>
        <w:t>If regulatory approval for marketing of a product or new indication for an existing product is obtained, the sponsor will be required to comply with all regular post-approval regulatory requirements as well as any post-approval requirements that the FDA may have imposed as part of the approval process. The sponsor will be required to report, among other things, certain adverse reactions and manufacturing problems to the FDA, provide updated safety and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74"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3E5588"/>
        </w:rPr>
        <w:t>A product may also be subject to official lot release, meaning that the manufacturer is required to perform certain tests on each lot of the product before it is released for distribution. If the product is subject to official release, the manufacturer must submit to the FDA samples of each lot,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Finally, the FDA will conduct laboratory research related to the safety, purity, potency and effectiveness of pharmaceutical products.</w:t>
      </w:r>
    </w:p>
    <w:p>
      <w:pPr>
        <w:spacing w:after="0" w:line="170" w:lineRule="exact"/>
        <w:rPr>
          <w:sz w:val="20"/>
          <w:szCs w:val="20"/>
          <w:color w:val="auto"/>
        </w:rPr>
      </w:pPr>
    </w:p>
    <w:p>
      <w:pPr>
        <w:jc w:val="both"/>
        <w:ind w:firstLine="414"/>
        <w:spacing w:after="0" w:line="255" w:lineRule="auto"/>
        <w:rPr>
          <w:sz w:val="20"/>
          <w:szCs w:val="20"/>
          <w:color w:val="auto"/>
        </w:rPr>
      </w:pPr>
      <w:r>
        <w:rPr>
          <w:rFonts w:ascii="Arial" w:cs="Arial" w:eastAsia="Arial" w:hAnsi="Arial"/>
          <w:sz w:val="18"/>
          <w:szCs w:val="18"/>
          <w:color w:val="3E5588"/>
        </w:rPr>
        <w:t>Once an approval is granted, the FDA may withdraw the approval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210"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6"/>
          <w:szCs w:val="16"/>
          <w:color w:val="3E5588"/>
        </w:rPr>
      </w:pPr>
      <w:r>
        <w:rPr>
          <w:rFonts w:ascii="Arial" w:cs="Arial" w:eastAsia="Arial" w:hAnsi="Arial"/>
          <w:sz w:val="16"/>
          <w:szCs w:val="16"/>
          <w:color w:val="3E5588"/>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68"/>
        </w:numPr>
        <w:rPr>
          <w:rFonts w:ascii="Arial" w:cs="Arial" w:eastAsia="Arial" w:hAnsi="Arial"/>
          <w:sz w:val="18"/>
          <w:szCs w:val="18"/>
          <w:color w:val="3E5588"/>
        </w:rPr>
      </w:pPr>
      <w:r>
        <w:rPr>
          <w:rFonts w:ascii="Arial" w:cs="Arial" w:eastAsia="Arial" w:hAnsi="Arial"/>
          <w:sz w:val="18"/>
          <w:szCs w:val="18"/>
          <w:color w:val="3E5588"/>
        </w:rPr>
        <w:t>fines, warning letters or holds on post-approval clinical trials;</w:t>
      </w:r>
    </w:p>
    <w:p>
      <w:pPr>
        <w:spacing w:after="0" w:line="238"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68"/>
        </w:numPr>
        <w:rPr>
          <w:rFonts w:ascii="Arial" w:cs="Arial" w:eastAsia="Arial" w:hAnsi="Arial"/>
          <w:sz w:val="18"/>
          <w:szCs w:val="18"/>
          <w:color w:val="3E5588"/>
        </w:rPr>
      </w:pPr>
      <w:r>
        <w:rPr>
          <w:rFonts w:ascii="Arial" w:cs="Arial" w:eastAsia="Arial" w:hAnsi="Arial"/>
          <w:sz w:val="18"/>
          <w:szCs w:val="18"/>
          <w:color w:val="3E5588"/>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68"/>
        </w:numPr>
        <w:rPr>
          <w:rFonts w:ascii="Arial" w:cs="Arial" w:eastAsia="Arial" w:hAnsi="Arial"/>
          <w:sz w:val="18"/>
          <w:szCs w:val="18"/>
          <w:color w:val="3E5588"/>
        </w:rPr>
      </w:pPr>
      <w:r>
        <w:rPr>
          <w:rFonts w:ascii="Arial" w:cs="Arial" w:eastAsia="Arial" w:hAnsi="Arial"/>
          <w:sz w:val="18"/>
          <w:szCs w:val="18"/>
          <w:color w:val="3E5588"/>
        </w:rPr>
        <w:t>product seizure or detention, or refusal to permit the import or export of products; or</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68"/>
        </w:numPr>
        <w:rPr>
          <w:rFonts w:ascii="Arial" w:cs="Arial" w:eastAsia="Arial" w:hAnsi="Arial"/>
          <w:sz w:val="18"/>
          <w:szCs w:val="18"/>
          <w:color w:val="3E5588"/>
        </w:rPr>
      </w:pPr>
      <w:r>
        <w:rPr>
          <w:rFonts w:ascii="Arial" w:cs="Arial" w:eastAsia="Arial" w:hAnsi="Arial"/>
          <w:sz w:val="18"/>
          <w:szCs w:val="18"/>
          <w:color w:val="3E5588"/>
        </w:rPr>
        <w:t>injunctions or the imposition of civil or criminal penalties.</w:t>
      </w:r>
    </w:p>
    <w:p>
      <w:pPr>
        <w:spacing w:after="0" w:line="225" w:lineRule="exact"/>
        <w:rPr>
          <w:sz w:val="20"/>
          <w:szCs w:val="20"/>
          <w:color w:val="auto"/>
        </w:rPr>
      </w:pPr>
    </w:p>
    <w:p>
      <w:pPr>
        <w:jc w:val="both"/>
        <w:ind w:firstLine="390"/>
        <w:spacing w:after="0" w:line="289" w:lineRule="auto"/>
        <w:rPr>
          <w:sz w:val="20"/>
          <w:szCs w:val="20"/>
          <w:color w:val="auto"/>
        </w:rPr>
      </w:pPr>
      <w:r>
        <w:rPr>
          <w:rFonts w:ascii="Arial" w:cs="Arial" w:eastAsia="Arial" w:hAnsi="Arial"/>
          <w:sz w:val="16"/>
          <w:szCs w:val="16"/>
          <w:color w:val="3E5588"/>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 effectiveness are prohibited before the drug is approved. After approval, a drug product generally may not be promoted for uses that are not approved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communication regarding off-label information, such as distributing scientific or medical journal information.</w:t>
      </w:r>
    </w:p>
    <w:p>
      <w:pPr>
        <w:spacing w:after="0" w:line="225" w:lineRule="exact"/>
        <w:rPr>
          <w:sz w:val="20"/>
          <w:szCs w:val="20"/>
          <w:color w:val="auto"/>
        </w:rPr>
      </w:pPr>
    </w:p>
    <w:p>
      <w:pPr>
        <w:jc w:val="both"/>
        <w:ind w:firstLine="371"/>
        <w:spacing w:after="0" w:line="254" w:lineRule="auto"/>
        <w:rPr>
          <w:sz w:val="20"/>
          <w:szCs w:val="20"/>
          <w:color w:val="auto"/>
        </w:rPr>
      </w:pPr>
      <w:r>
        <w:rPr>
          <w:rFonts w:ascii="Arial" w:cs="Arial" w:eastAsia="Arial" w:hAnsi="Arial"/>
          <w:sz w:val="18"/>
          <w:szCs w:val="18"/>
          <w:color w:val="3E5588"/>
        </w:rPr>
        <w:t>If a company is found to have promoted off-label uses, it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98" w:lineRule="exact"/>
        <w:rPr>
          <w:sz w:val="20"/>
          <w:szCs w:val="20"/>
          <w:color w:val="auto"/>
        </w:rPr>
      </w:pPr>
    </w:p>
    <w:p>
      <w:pPr>
        <w:jc w:val="both"/>
        <w:ind w:firstLine="475"/>
        <w:spacing w:after="0" w:line="255" w:lineRule="auto"/>
        <w:rPr>
          <w:sz w:val="20"/>
          <w:szCs w:val="20"/>
          <w:color w:val="auto"/>
        </w:rPr>
      </w:pPr>
      <w:r>
        <w:rPr>
          <w:rFonts w:ascii="Arial" w:cs="Arial" w:eastAsia="Arial" w:hAnsi="Arial"/>
          <w:sz w:val="18"/>
          <w:szCs w:val="18"/>
          <w:color w:val="3E5588"/>
        </w:rPr>
        <w:t>In addition, the distribution of prescription pharmaceutical products is subject to the Prescription Drug Marketing Act, or PDMA, and its implementing regulations, as well as the Drug Supply Chain Security Act, or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Section 505(b)(2) NDAs</w:t>
      </w:r>
    </w:p>
    <w:p>
      <w:pPr>
        <w:spacing w:after="0" w:line="225" w:lineRule="exact"/>
        <w:rPr>
          <w:sz w:val="20"/>
          <w:szCs w:val="20"/>
          <w:color w:val="auto"/>
        </w:rPr>
      </w:pPr>
    </w:p>
    <w:p>
      <w:pPr>
        <w:jc w:val="both"/>
        <w:ind w:firstLine="394"/>
        <w:spacing w:after="0" w:line="291" w:lineRule="auto"/>
        <w:rPr>
          <w:sz w:val="20"/>
          <w:szCs w:val="20"/>
          <w:color w:val="auto"/>
        </w:rPr>
      </w:pPr>
      <w:r>
        <w:rPr>
          <w:rFonts w:ascii="Arial" w:cs="Arial" w:eastAsia="Arial" w:hAnsi="Arial"/>
          <w:sz w:val="16"/>
          <w:szCs w:val="16"/>
          <w:color w:val="3E5588"/>
        </w:rPr>
        <w:t>NDAs for most new drug products are based on two full clinical studies which must contain substantial evidence of the safety and efficacy of the proposed new product for the proposed use.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applies to NDAs for a drug for which the investigations made to show whether or not the drug is safe for use and effective in use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74"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3E5588"/>
        </w:rPr>
        <w:t>Thus, Section 505(b)(2) authorizes the FDA to approve an NDA based on safety and effectiveness data that were not developed by the applicant. NDAs filed under Section 505(b)(2) may provide an alternate and potentially more expeditious pathway to FDA approval for new or improved formulations or new uses of previously approved products. If the 505(b)(2) applicant can establish that reliance on the FDA's previous approval is scientifically appropriate, the applicant may eliminate the need to conduct certain preclinical or clinical studies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Abbreviated New Drug Applications for Generic Drugs</w:t>
      </w:r>
    </w:p>
    <w:p>
      <w:pPr>
        <w:spacing w:after="0" w:line="225" w:lineRule="exact"/>
        <w:rPr>
          <w:sz w:val="20"/>
          <w:szCs w:val="20"/>
          <w:color w:val="auto"/>
        </w:rPr>
      </w:pPr>
    </w:p>
    <w:p>
      <w:pPr>
        <w:jc w:val="both"/>
        <w:ind w:firstLine="452"/>
        <w:spacing w:after="0" w:line="254" w:lineRule="auto"/>
        <w:rPr>
          <w:sz w:val="20"/>
          <w:szCs w:val="20"/>
          <w:color w:val="auto"/>
        </w:rPr>
      </w:pPr>
      <w:r>
        <w:rPr>
          <w:rFonts w:ascii="Arial" w:cs="Arial" w:eastAsia="Arial" w:hAnsi="Arial"/>
          <w:sz w:val="18"/>
          <w:szCs w:val="18"/>
          <w:color w:val="3E5588"/>
        </w:rPr>
        <w:t>In 1984, with passage of the Hatch-Waxman Amendments to the FDCA, Congress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E5588"/>
        </w:rPr>
        <w:t>they generally do not include preclinical and clinical data to demonstrate safety and effectiveness. Instead, in support of such applications, a generic manufacturer may rely on the preclinical and clinical testing previously conducted for a drug product previously approved under an NDA, known as the reference-listed drug, or RLD.</w:t>
      </w:r>
    </w:p>
    <w:p>
      <w:pPr>
        <w:spacing w:after="0" w:line="194" w:lineRule="exact"/>
        <w:rPr>
          <w:sz w:val="20"/>
          <w:szCs w:val="20"/>
          <w:color w:val="auto"/>
        </w:rPr>
      </w:pPr>
    </w:p>
    <w:p>
      <w:pPr>
        <w:jc w:val="both"/>
        <w:ind w:firstLine="370"/>
        <w:spacing w:after="0" w:line="289" w:lineRule="auto"/>
        <w:rPr>
          <w:sz w:val="20"/>
          <w:szCs w:val="20"/>
          <w:color w:val="auto"/>
        </w:rPr>
      </w:pPr>
      <w:r>
        <w:rPr>
          <w:rFonts w:ascii="Arial" w:cs="Arial" w:eastAsia="Arial" w:hAnsi="Arial"/>
          <w:sz w:val="16"/>
          <w:szCs w:val="16"/>
          <w:color w:val="3E5588"/>
        </w:rPr>
        <w:t>Specifically, in order for an ANDA to be approved, the FDA must find that the generic version is identical to the RLD with respect to the active ingredients, route of administration, dosage form, strength and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the patient.</w:t>
      </w:r>
    </w:p>
    <w:p>
      <w:pPr>
        <w:spacing w:after="0" w:line="172"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3E5588"/>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74" w:lineRule="exact"/>
        <w:rPr>
          <w:sz w:val="20"/>
          <w:szCs w:val="20"/>
          <w:color w:val="auto"/>
        </w:rPr>
      </w:pPr>
    </w:p>
    <w:p>
      <w:pPr>
        <w:jc w:val="both"/>
        <w:ind w:firstLine="505"/>
        <w:spacing w:after="0" w:line="253" w:lineRule="auto"/>
        <w:rPr>
          <w:sz w:val="20"/>
          <w:szCs w:val="20"/>
          <w:color w:val="auto"/>
        </w:rPr>
      </w:pPr>
      <w:r>
        <w:rPr>
          <w:rFonts w:ascii="Arial" w:cs="Arial" w:eastAsia="Arial" w:hAnsi="Arial"/>
          <w:sz w:val="18"/>
          <w:szCs w:val="18"/>
          <w:color w:val="3E5588"/>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 decisions about awards of data exclusivity shortly before a product is approved.</w:t>
      </w:r>
    </w:p>
    <w:p>
      <w:pPr>
        <w:spacing w:after="0" w:line="20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3E5588"/>
        </w:rPr>
        <w:t>The FDA must establish a Priority Review track for certain generic drugs, requiring the FDA to review a drug application within eight months for a drug that has three or fewer approved drugs listed in the Orange Book and is no longer protected by any patent or regulatory exclusivities, or is on the FDA's drug shortage list. The FDA is also authorized to expedite review of "competitor generic therapies" or drugs with inadequate generic competition, including holding meetings with or providing advice to the drug sponsor prior to submission of the application.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Hatch-Waxman Patent Certification and the 30-Month Stay</w:t>
      </w:r>
    </w:p>
    <w:p>
      <w:pPr>
        <w:spacing w:after="0" w:line="225" w:lineRule="exact"/>
        <w:rPr>
          <w:sz w:val="20"/>
          <w:szCs w:val="20"/>
          <w:color w:val="auto"/>
        </w:rPr>
      </w:pPr>
    </w:p>
    <w:p>
      <w:pPr>
        <w:jc w:val="both"/>
        <w:ind w:firstLine="482"/>
        <w:spacing w:after="0" w:line="256" w:lineRule="auto"/>
        <w:rPr>
          <w:sz w:val="20"/>
          <w:szCs w:val="20"/>
          <w:color w:val="auto"/>
        </w:rPr>
      </w:pPr>
      <w:r>
        <w:rPr>
          <w:rFonts w:ascii="Arial" w:cs="Arial" w:eastAsia="Arial" w:hAnsi="Arial"/>
          <w:sz w:val="18"/>
          <w:szCs w:val="18"/>
          <w:color w:val="3E5588"/>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E5588"/>
        </w:rPr>
        <w:t>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Specifically, the applicant must certify with respect to each patent that:</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3E5588"/>
        </w:rPr>
      </w:pPr>
      <w:r>
        <w:rPr>
          <w:rFonts w:ascii="Arial" w:cs="Arial" w:eastAsia="Arial" w:hAnsi="Arial"/>
          <w:sz w:val="18"/>
          <w:szCs w:val="18"/>
          <w:color w:val="3E5588"/>
        </w:rPr>
        <w:t>the required patent information has not been filed;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69"/>
        </w:numPr>
        <w:rPr>
          <w:rFonts w:ascii="Arial" w:cs="Arial" w:eastAsia="Arial" w:hAnsi="Arial"/>
          <w:sz w:val="18"/>
          <w:szCs w:val="18"/>
          <w:color w:val="3E5588"/>
        </w:rPr>
      </w:pPr>
      <w:r>
        <w:rPr>
          <w:rFonts w:ascii="Arial" w:cs="Arial" w:eastAsia="Arial" w:hAnsi="Arial"/>
          <w:sz w:val="18"/>
          <w:szCs w:val="18"/>
          <w:color w:val="3E5588"/>
        </w:rPr>
        <w:t>the listed patent has expired;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69"/>
        </w:numPr>
        <w:rPr>
          <w:rFonts w:ascii="Arial" w:cs="Arial" w:eastAsia="Arial" w:hAnsi="Arial"/>
          <w:sz w:val="18"/>
          <w:szCs w:val="18"/>
          <w:color w:val="3E5588"/>
        </w:rPr>
      </w:pPr>
      <w:r>
        <w:rPr>
          <w:rFonts w:ascii="Arial" w:cs="Arial" w:eastAsia="Arial" w:hAnsi="Arial"/>
          <w:sz w:val="18"/>
          <w:szCs w:val="18"/>
          <w:color w:val="3E5588"/>
        </w:rPr>
        <w:t>the listed patent has not expired, but will expire on a particular date and approval is sought after patent expiration; or</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69"/>
        </w:numPr>
        <w:rPr>
          <w:rFonts w:ascii="Arial" w:cs="Arial" w:eastAsia="Arial" w:hAnsi="Arial"/>
          <w:sz w:val="18"/>
          <w:szCs w:val="18"/>
          <w:color w:val="3E5588"/>
        </w:rPr>
      </w:pPr>
      <w:r>
        <w:rPr>
          <w:rFonts w:ascii="Arial" w:cs="Arial" w:eastAsia="Arial" w:hAnsi="Arial"/>
          <w:sz w:val="18"/>
          <w:szCs w:val="18"/>
          <w:color w:val="3E5588"/>
        </w:rPr>
        <w:t>the listed patent is invalid, unenforceable or will not be infringed by the new product.</w:t>
      </w:r>
    </w:p>
    <w:p>
      <w:pPr>
        <w:spacing w:after="0" w:line="225"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3E5588"/>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application will not be approved until all the listed patents claiming the referenced product have expired (other than method of use patents involving indications for which the applicant is not seeking approval).</w:t>
      </w:r>
    </w:p>
    <w:p>
      <w:pPr>
        <w:spacing w:after="0" w:line="197" w:lineRule="exact"/>
        <w:rPr>
          <w:sz w:val="20"/>
          <w:szCs w:val="20"/>
          <w:color w:val="auto"/>
        </w:rPr>
      </w:pPr>
    </w:p>
    <w:p>
      <w:pPr>
        <w:jc w:val="both"/>
        <w:ind w:firstLine="436"/>
        <w:spacing w:after="0" w:line="294" w:lineRule="auto"/>
        <w:rPr>
          <w:sz w:val="20"/>
          <w:szCs w:val="20"/>
          <w:color w:val="auto"/>
        </w:rPr>
      </w:pPr>
      <w:r>
        <w:rPr>
          <w:rFonts w:ascii="Arial" w:cs="Arial" w:eastAsia="Arial" w:hAnsi="Arial"/>
          <w:sz w:val="16"/>
          <w:szCs w:val="16"/>
          <w:color w:val="3E5588"/>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the expiration of the patent, or a decision in the infringement case that is favorable to the ANDA applicant.</w:t>
      </w:r>
    </w:p>
    <w:p>
      <w:pPr>
        <w:spacing w:after="0" w:line="170"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3E5588"/>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Pediatric Exclusivity</w:t>
      </w:r>
    </w:p>
    <w:p>
      <w:pPr>
        <w:spacing w:after="0" w:line="225" w:lineRule="exact"/>
        <w:rPr>
          <w:sz w:val="20"/>
          <w:szCs w:val="20"/>
          <w:color w:val="auto"/>
        </w:rPr>
      </w:pPr>
    </w:p>
    <w:p>
      <w:pPr>
        <w:jc w:val="both"/>
        <w:ind w:firstLine="376"/>
        <w:spacing w:after="0" w:line="290" w:lineRule="auto"/>
        <w:rPr>
          <w:sz w:val="20"/>
          <w:szCs w:val="20"/>
          <w:color w:val="auto"/>
        </w:rPr>
      </w:pPr>
      <w:r>
        <w:rPr>
          <w:rFonts w:ascii="Arial" w:cs="Arial" w:eastAsia="Arial" w:hAnsi="Arial"/>
          <w:sz w:val="16"/>
          <w:szCs w:val="16"/>
          <w:color w:val="3E5588"/>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Orphan Drug Designation and Exclusivity</w:t>
      </w:r>
    </w:p>
    <w:p>
      <w:pPr>
        <w:spacing w:after="0" w:line="225"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color w:val="3E5588"/>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the disease or condition will be recovered from sales of the product. A company must seek orphan drug designation before submitting an NDA for the candidate product. If the request is granted, the FDA will disclose the identity of the therapeutic agent and its potential use. Orphan drug designation does not shorten the PDUFA goal dates for the regulatory review and approval process, although it does convey certain advantages such as tax benefits and exemption from the PDUFA application fee.</w:t>
      </w:r>
    </w:p>
    <w:p>
      <w:pPr>
        <w:spacing w:after="0" w:line="174"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3E5588"/>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condition for seven years, except in certain limited circumstances. Orphan exclusivity does not block the approval of a different product for the same rare disease or condition, nor does it block the approval of the same product for different conditions. If a drug designated as an orphan drug ultimately receives marketing approval for an indication broader than what was designated in its orphan drug application, it may not be entitled to exclusivity.</w:t>
      </w:r>
    </w:p>
    <w:p>
      <w:pPr>
        <w:spacing w:after="0" w:line="174" w:lineRule="exact"/>
        <w:rPr>
          <w:sz w:val="20"/>
          <w:szCs w:val="20"/>
          <w:color w:val="auto"/>
        </w:rPr>
      </w:pPr>
    </w:p>
    <w:p>
      <w:pPr>
        <w:jc w:val="both"/>
        <w:ind w:firstLine="396"/>
        <w:spacing w:after="0" w:line="298" w:lineRule="auto"/>
        <w:rPr>
          <w:sz w:val="20"/>
          <w:szCs w:val="20"/>
          <w:color w:val="auto"/>
        </w:rPr>
      </w:pPr>
      <w:r>
        <w:rPr>
          <w:rFonts w:ascii="Arial" w:cs="Arial" w:eastAsia="Arial" w:hAnsi="Arial"/>
          <w:sz w:val="16"/>
          <w:szCs w:val="16"/>
          <w:color w:val="3E5588"/>
        </w:rPr>
        <w:t>Orphan drug exclusivity will not bar approval of another product under certain circumstances, including if a subsequent product with the same drug for the same condition is shown to be clinically superior to the approved product on the basis of greater efficacy or safety, or providing a major contribution to patient care, or if the company with orphan drug exclusivity is not able to meet market demand. This is the case despite an earlier court opinion holding that the Orphan Drug Act unambiguously required the FDA to recognize orphan exclusivity regardless of a showing of clinical superiority.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Patent Term Restoration and Extension</w:t>
      </w:r>
    </w:p>
    <w:p>
      <w:pPr>
        <w:spacing w:after="0" w:line="225" w:lineRule="exact"/>
        <w:rPr>
          <w:sz w:val="20"/>
          <w:szCs w:val="20"/>
          <w:color w:val="auto"/>
        </w:rPr>
      </w:pPr>
    </w:p>
    <w:p>
      <w:pPr>
        <w:jc w:val="both"/>
        <w:ind w:firstLine="341"/>
        <w:spacing w:after="0" w:line="288" w:lineRule="auto"/>
        <w:rPr>
          <w:sz w:val="20"/>
          <w:szCs w:val="20"/>
          <w:color w:val="auto"/>
        </w:rPr>
      </w:pPr>
      <w:r>
        <w:rPr>
          <w:rFonts w:ascii="Arial" w:cs="Arial" w:eastAsia="Arial" w:hAnsi="Arial"/>
          <w:sz w:val="16"/>
          <w:szCs w:val="16"/>
          <w:color w:val="3E5588"/>
        </w:rPr>
        <w:t>A patent claiming a new drug product may be eligible for a limited patent term extension under the Hatch-Waxman Act, which permits a patent restoration of up to five years for patent term lost during the FDA regulatory review.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Patent term restoration cannot be used to extend the remaining term of a patent past a total of 14 years from the product's approval date.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United States Patent and Trademark Office reviews and approves the application for any patent term extension or restoration in consultation with the FDA.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Health Care Law and Regulation</w:t>
      </w:r>
    </w:p>
    <w:p>
      <w:pPr>
        <w:spacing w:after="0" w:line="225" w:lineRule="exact"/>
        <w:rPr>
          <w:sz w:val="20"/>
          <w:szCs w:val="20"/>
          <w:color w:val="auto"/>
        </w:rPr>
      </w:pPr>
    </w:p>
    <w:p>
      <w:pPr>
        <w:jc w:val="both"/>
        <w:ind w:firstLine="523"/>
        <w:spacing w:after="0" w:line="259" w:lineRule="auto"/>
        <w:rPr>
          <w:sz w:val="20"/>
          <w:szCs w:val="20"/>
          <w:color w:val="auto"/>
        </w:rPr>
      </w:pPr>
      <w:r>
        <w:rPr>
          <w:rFonts w:ascii="Arial" w:cs="Arial" w:eastAsia="Arial" w:hAnsi="Arial"/>
          <w:sz w:val="18"/>
          <w:szCs w:val="18"/>
          <w:color w:val="3E5588"/>
        </w:rPr>
        <w:t>Health care providers and third-party payors play a primary role in the recommendation and prescription of drug products that are granted marketing approval. Arrangements with providers, consultants, third-party payors and customers are subject to broadly applicable fraud and abuse, anti-kickback, false claims laws, patient privacy laws and regulations and other health care laws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3E5588"/>
        </w:rPr>
        <w:t>regulations that may constrain business and/or financial arrangements. Restrictions under applicable federal and state health care laws and regulations, include the following:</w:t>
      </w:r>
    </w:p>
    <w:p>
      <w:pPr>
        <w:spacing w:after="0" w:line="199" w:lineRule="exact"/>
        <w:rPr>
          <w:sz w:val="20"/>
          <w:szCs w:val="20"/>
          <w:color w:val="auto"/>
        </w:rPr>
      </w:pPr>
    </w:p>
    <w:p>
      <w:pPr>
        <w:jc w:val="both"/>
        <w:ind w:left="1080" w:hanging="532"/>
        <w:spacing w:after="0" w:line="256" w:lineRule="auto"/>
        <w:tabs>
          <w:tab w:leader="none" w:pos="1080" w:val="left"/>
        </w:tabs>
        <w:numPr>
          <w:ilvl w:val="0"/>
          <w:numId w:val="70"/>
        </w:numPr>
        <w:rPr>
          <w:rFonts w:ascii="Arial" w:cs="Arial" w:eastAsia="Arial" w:hAnsi="Arial"/>
          <w:sz w:val="18"/>
          <w:szCs w:val="18"/>
          <w:color w:val="3E5588"/>
        </w:rPr>
      </w:pPr>
      <w:r>
        <w:rPr>
          <w:rFonts w:ascii="Arial" w:cs="Arial" w:eastAsia="Arial" w:hAnsi="Arial"/>
          <w:sz w:val="18"/>
          <w:szCs w:val="18"/>
          <w:color w:val="3E5588"/>
        </w:rPr>
        <w:t>the federal Anti-Kickback Statute, which prohibits, among other things, persons and entities from knowingly and willfully soliciting, offering, paying, receiving or providing remuneration, directly or 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24" w:lineRule="exact"/>
        <w:rPr>
          <w:rFonts w:ascii="Arial" w:cs="Arial" w:eastAsia="Arial" w:hAnsi="Arial"/>
          <w:sz w:val="18"/>
          <w:szCs w:val="18"/>
          <w:color w:val="3E5588"/>
        </w:rPr>
      </w:pPr>
    </w:p>
    <w:p>
      <w:pPr>
        <w:jc w:val="both"/>
        <w:ind w:left="1080" w:hanging="532"/>
        <w:spacing w:after="0" w:line="256" w:lineRule="auto"/>
        <w:tabs>
          <w:tab w:leader="none" w:pos="1080" w:val="left"/>
        </w:tabs>
        <w:numPr>
          <w:ilvl w:val="0"/>
          <w:numId w:val="70"/>
        </w:numPr>
        <w:rPr>
          <w:rFonts w:ascii="Arial" w:cs="Arial" w:eastAsia="Arial" w:hAnsi="Arial"/>
          <w:sz w:val="18"/>
          <w:szCs w:val="18"/>
          <w:color w:val="3E5588"/>
        </w:rPr>
      </w:pPr>
      <w:r>
        <w:rPr>
          <w:rFonts w:ascii="Arial" w:cs="Arial" w:eastAsia="Arial" w:hAnsi="Arial"/>
          <w:sz w:val="18"/>
          <w:szCs w:val="18"/>
          <w:color w:val="3E5588"/>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210"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70"/>
        </w:numPr>
        <w:rPr>
          <w:rFonts w:ascii="Arial" w:cs="Arial" w:eastAsia="Arial" w:hAnsi="Arial"/>
          <w:sz w:val="18"/>
          <w:szCs w:val="18"/>
          <w:color w:val="3E5588"/>
        </w:rPr>
      </w:pPr>
      <w:r>
        <w:rPr>
          <w:rFonts w:ascii="Arial" w:cs="Arial" w:eastAsia="Arial" w:hAnsi="Arial"/>
          <w:sz w:val="18"/>
          <w:szCs w:val="18"/>
          <w:color w:val="3E5588"/>
        </w:rPr>
        <w:t>the federal Health Insurance Portability and Accountability Act of 1996, or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207" w:lineRule="exact"/>
        <w:rPr>
          <w:rFonts w:ascii="Arial" w:cs="Arial" w:eastAsia="Arial" w:hAnsi="Arial"/>
          <w:sz w:val="18"/>
          <w:szCs w:val="18"/>
          <w:color w:val="3E5588"/>
        </w:rPr>
      </w:pPr>
    </w:p>
    <w:p>
      <w:pPr>
        <w:jc w:val="both"/>
        <w:ind w:left="1080" w:hanging="532"/>
        <w:spacing w:after="0" w:line="306" w:lineRule="auto"/>
        <w:tabs>
          <w:tab w:leader="none" w:pos="1080" w:val="left"/>
        </w:tabs>
        <w:numPr>
          <w:ilvl w:val="0"/>
          <w:numId w:val="70"/>
        </w:numPr>
        <w:rPr>
          <w:rFonts w:ascii="Arial" w:cs="Arial" w:eastAsia="Arial" w:hAnsi="Arial"/>
          <w:sz w:val="16"/>
          <w:szCs w:val="16"/>
          <w:color w:val="3E5588"/>
        </w:rPr>
      </w:pPr>
      <w:r>
        <w:rPr>
          <w:rFonts w:ascii="Arial" w:cs="Arial" w:eastAsia="Arial" w:hAnsi="Arial"/>
          <w:sz w:val="16"/>
          <w:szCs w:val="16"/>
          <w:color w:val="3E5588"/>
        </w:rPr>
        <w:t>HIPAA, as amended by the Health Information Technology for Economic and Clinical Health Act, and their respective implementing regulations, including the Final Omnibus Rule published in January 2013, which impose obligations, including mandatory contractual terms, with respect to safeguarding the privacy, security and transmission of individually identifiable health information;</w:t>
      </w:r>
    </w:p>
    <w:p>
      <w:pPr>
        <w:spacing w:after="0" w:line="187"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70"/>
        </w:numPr>
        <w:rPr>
          <w:rFonts w:ascii="Arial" w:cs="Arial" w:eastAsia="Arial" w:hAnsi="Arial"/>
          <w:sz w:val="18"/>
          <w:szCs w:val="18"/>
          <w:color w:val="3E5588"/>
        </w:rPr>
      </w:pPr>
      <w:r>
        <w:rPr>
          <w:rFonts w:ascii="Arial" w:cs="Arial" w:eastAsia="Arial" w:hAnsi="Arial"/>
          <w:sz w:val="18"/>
          <w:szCs w:val="18"/>
          <w:color w:val="3E5588"/>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199" w:lineRule="exact"/>
        <w:rPr>
          <w:rFonts w:ascii="Arial" w:cs="Arial" w:eastAsia="Arial" w:hAnsi="Arial"/>
          <w:sz w:val="18"/>
          <w:szCs w:val="18"/>
          <w:color w:val="3E5588"/>
        </w:rPr>
      </w:pPr>
    </w:p>
    <w:p>
      <w:pPr>
        <w:ind w:left="1080" w:hanging="532"/>
        <w:spacing w:after="0" w:line="332" w:lineRule="auto"/>
        <w:tabs>
          <w:tab w:leader="none" w:pos="1080" w:val="left"/>
        </w:tabs>
        <w:numPr>
          <w:ilvl w:val="0"/>
          <w:numId w:val="70"/>
        </w:numPr>
        <w:rPr>
          <w:rFonts w:ascii="Arial" w:cs="Arial" w:eastAsia="Arial" w:hAnsi="Arial"/>
          <w:sz w:val="16"/>
          <w:szCs w:val="16"/>
          <w:color w:val="3E5588"/>
        </w:rPr>
      </w:pPr>
      <w:r>
        <w:rPr>
          <w:rFonts w:ascii="Arial" w:cs="Arial" w:eastAsia="Arial" w:hAnsi="Arial"/>
          <w:sz w:val="16"/>
          <w:szCs w:val="16"/>
          <w:color w:val="3E5588"/>
        </w:rPr>
        <w:t>the Foreign Corrupt Practices Act, or FCPA, which prohibits companies and their intermediaries from making, or offering or promising to make improper payments to non-U.S. officials for the purpose of obtaining or retaining business or otherwise seeking favorable treatment;</w:t>
      </w:r>
    </w:p>
    <w:p>
      <w:pPr>
        <w:spacing w:after="0" w:line="152" w:lineRule="exact"/>
        <w:rPr>
          <w:rFonts w:ascii="Arial" w:cs="Arial" w:eastAsia="Arial" w:hAnsi="Arial"/>
          <w:sz w:val="16"/>
          <w:szCs w:val="16"/>
          <w:color w:val="3E5588"/>
        </w:rPr>
      </w:pPr>
    </w:p>
    <w:p>
      <w:pPr>
        <w:jc w:val="both"/>
        <w:ind w:left="1080" w:hanging="532"/>
        <w:spacing w:after="0" w:line="294" w:lineRule="auto"/>
        <w:tabs>
          <w:tab w:leader="none" w:pos="1080" w:val="left"/>
        </w:tabs>
        <w:numPr>
          <w:ilvl w:val="0"/>
          <w:numId w:val="70"/>
        </w:numPr>
        <w:rPr>
          <w:rFonts w:ascii="Arial" w:cs="Arial" w:eastAsia="Arial" w:hAnsi="Arial"/>
          <w:sz w:val="16"/>
          <w:szCs w:val="16"/>
          <w:color w:val="3E5588"/>
        </w:rPr>
      </w:pPr>
      <w:r>
        <w:rPr>
          <w:rFonts w:ascii="Arial" w:cs="Arial" w:eastAsia="Arial" w:hAnsi="Arial"/>
          <w:sz w:val="16"/>
          <w:szCs w:val="16"/>
          <w:color w:val="3E5588"/>
        </w:rPr>
        <w:t>the federal transparency requirements known as the federal Physician Payments Sunshine Act, under the Patient Protection and Affordable Care Act, as amended by the Health Care Education Reconciliation Act, or the ACA, which requires certain manufacturers of drugs, devices, biologics and medical supplies to report annually to the Centers for Medicare &amp; Medicaid Services, or CMS, within the United States Department of Health and Human Services, information related to payments and other transfers of value made by that entity to physicians and teaching hospitals, as well as ownership and investment interests held by physicians and their immediate family members; and</w:t>
      </w:r>
    </w:p>
    <w:p>
      <w:pPr>
        <w:spacing w:after="0" w:line="196" w:lineRule="exact"/>
        <w:rPr>
          <w:rFonts w:ascii="Arial" w:cs="Arial" w:eastAsia="Arial" w:hAnsi="Arial"/>
          <w:sz w:val="16"/>
          <w:szCs w:val="16"/>
          <w:color w:val="3E5588"/>
        </w:rPr>
      </w:pPr>
    </w:p>
    <w:p>
      <w:pPr>
        <w:ind w:left="1080" w:right="20" w:hanging="532"/>
        <w:spacing w:after="0" w:line="268" w:lineRule="auto"/>
        <w:tabs>
          <w:tab w:leader="none" w:pos="1080" w:val="left"/>
        </w:tabs>
        <w:numPr>
          <w:ilvl w:val="0"/>
          <w:numId w:val="70"/>
        </w:numPr>
        <w:rPr>
          <w:rFonts w:ascii="Arial" w:cs="Arial" w:eastAsia="Arial" w:hAnsi="Arial"/>
          <w:sz w:val="18"/>
          <w:szCs w:val="18"/>
          <w:color w:val="3E5588"/>
        </w:rPr>
      </w:pPr>
      <w:r>
        <w:rPr>
          <w:rFonts w:ascii="Arial" w:cs="Arial" w:eastAsia="Arial" w:hAnsi="Arial"/>
          <w:sz w:val="18"/>
          <w:szCs w:val="18"/>
          <w:color w:val="3E5588"/>
        </w:rPr>
        <w:t>analogous state and foreign laws and regulations, such as state anti-kickback and false claims laws, which may apply to health care items or services that are reimbursed by non-government third-party payors, including private insurers.</w:t>
      </w:r>
    </w:p>
    <w:p>
      <w:pPr>
        <w:spacing w:after="0" w:line="186"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color w:val="3E5588"/>
        </w:rPr>
        <w:t>Further,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Additionally, some state and local laws require the registration of pharmaceutical sales representatives in the jurisdiction. State and foreign laws also govern the privacy and security of health information in some circumstances, many of which differ from each other in significant ways and often are not preempted by HIPAA, thus complicating compliance efforts.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Pharmaceutical Insurance Coverage and Health Care Reform</w:t>
      </w:r>
    </w:p>
    <w:p>
      <w:pPr>
        <w:spacing w:after="0" w:line="225" w:lineRule="exact"/>
        <w:rPr>
          <w:sz w:val="20"/>
          <w:szCs w:val="20"/>
          <w:color w:val="auto"/>
        </w:rPr>
      </w:pPr>
    </w:p>
    <w:p>
      <w:pPr>
        <w:jc w:val="both"/>
        <w:ind w:firstLine="474"/>
        <w:spacing w:after="0" w:line="288" w:lineRule="auto"/>
        <w:rPr>
          <w:sz w:val="20"/>
          <w:szCs w:val="20"/>
          <w:color w:val="auto"/>
        </w:rPr>
      </w:pPr>
      <w:r>
        <w:rPr>
          <w:rFonts w:ascii="Arial" w:cs="Arial" w:eastAsia="Arial" w:hAnsi="Arial"/>
          <w:sz w:val="16"/>
          <w:szCs w:val="16"/>
          <w:color w:val="3E5588"/>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approved by the FDA and other government authorities.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74" w:lineRule="exact"/>
        <w:rPr>
          <w:sz w:val="20"/>
          <w:szCs w:val="20"/>
          <w:color w:val="auto"/>
        </w:rPr>
      </w:pPr>
    </w:p>
    <w:p>
      <w:pPr>
        <w:jc w:val="both"/>
        <w:ind w:firstLine="693"/>
        <w:spacing w:after="0" w:line="290" w:lineRule="auto"/>
        <w:rPr>
          <w:sz w:val="20"/>
          <w:szCs w:val="20"/>
          <w:color w:val="auto"/>
        </w:rPr>
      </w:pPr>
      <w:r>
        <w:rPr>
          <w:rFonts w:ascii="Arial" w:cs="Arial" w:eastAsia="Arial" w:hAnsi="Arial"/>
          <w:sz w:val="16"/>
          <w:szCs w:val="16"/>
          <w:color w:val="3E5588"/>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marketing approvals. Nonetheless, product candidates may not be considered medically necessary or cost effective. A decision by a third-party payor not to cover a product could reduce physician utilization once the product is approved and have a material adverse effect on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72"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3E5588"/>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spacing w:after="0" w:line="174"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8"/>
          <w:szCs w:val="18"/>
          <w:color w:val="3E5588"/>
        </w:rPr>
        <w:t>There have been a number of federal and state proposals during the last few years regarding the pricing of pharmaceutical and biopharmaceutical products, limiting coverage and reimbursement for drugs and biologics and other medical products, government control and other changes to the health care system in the United States.</w:t>
      </w:r>
    </w:p>
    <w:p>
      <w:pPr>
        <w:spacing w:after="0" w:line="194" w:lineRule="exact"/>
        <w:rPr>
          <w:sz w:val="20"/>
          <w:szCs w:val="20"/>
          <w:color w:val="auto"/>
        </w:rPr>
      </w:pPr>
    </w:p>
    <w:p>
      <w:pPr>
        <w:jc w:val="both"/>
        <w:ind w:firstLine="403"/>
        <w:spacing w:after="0" w:line="332" w:lineRule="auto"/>
        <w:rPr>
          <w:sz w:val="20"/>
          <w:szCs w:val="20"/>
          <w:color w:val="auto"/>
        </w:rPr>
      </w:pPr>
      <w:r>
        <w:rPr>
          <w:rFonts w:ascii="Arial" w:cs="Arial" w:eastAsia="Arial" w:hAnsi="Arial"/>
          <w:sz w:val="16"/>
          <w:szCs w:val="16"/>
          <w:color w:val="3E5588"/>
        </w:rPr>
        <w:t>In March 2010, the United States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3E5588"/>
        </w:rPr>
      </w:pPr>
      <w:r>
        <w:rPr>
          <w:rFonts w:ascii="Arial" w:cs="Arial" w:eastAsia="Arial" w:hAnsi="Arial"/>
          <w:sz w:val="18"/>
          <w:szCs w:val="18"/>
          <w:color w:val="3E5588"/>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72"/>
        </w:numPr>
        <w:rPr>
          <w:rFonts w:ascii="Arial" w:cs="Arial" w:eastAsia="Arial" w:hAnsi="Arial"/>
          <w:sz w:val="16"/>
          <w:szCs w:val="16"/>
          <w:color w:val="3E5588"/>
        </w:rPr>
      </w:pPr>
      <w:r>
        <w:rPr>
          <w:rFonts w:ascii="Arial" w:cs="Arial" w:eastAsia="Arial" w:hAnsi="Arial"/>
          <w:sz w:val="16"/>
          <w:szCs w:val="16"/>
          <w:color w:val="3E5588"/>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66" w:lineRule="exact"/>
        <w:rPr>
          <w:rFonts w:ascii="Arial" w:cs="Arial" w:eastAsia="Arial" w:hAnsi="Arial"/>
          <w:sz w:val="16"/>
          <w:szCs w:val="16"/>
          <w:color w:val="3E5588"/>
        </w:rPr>
      </w:pPr>
    </w:p>
    <w:p>
      <w:pPr>
        <w:jc w:val="both"/>
        <w:ind w:left="1080" w:hanging="532"/>
        <w:spacing w:after="0" w:line="259" w:lineRule="auto"/>
        <w:tabs>
          <w:tab w:leader="none" w:pos="1080" w:val="left"/>
        </w:tabs>
        <w:numPr>
          <w:ilvl w:val="0"/>
          <w:numId w:val="72"/>
        </w:numPr>
        <w:rPr>
          <w:rFonts w:ascii="Arial" w:cs="Arial" w:eastAsia="Arial" w:hAnsi="Arial"/>
          <w:sz w:val="18"/>
          <w:szCs w:val="18"/>
          <w:color w:val="3E5588"/>
        </w:rPr>
      </w:pPr>
      <w:r>
        <w:rPr>
          <w:rFonts w:ascii="Arial" w:cs="Arial" w:eastAsia="Arial" w:hAnsi="Arial"/>
          <w:sz w:val="18"/>
          <w:szCs w:val="18"/>
          <w:color w:val="3E5588"/>
        </w:rPr>
        <w:t>expanded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207"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72"/>
        </w:numPr>
        <w:rPr>
          <w:rFonts w:ascii="Arial" w:cs="Arial" w:eastAsia="Arial" w:hAnsi="Arial"/>
          <w:sz w:val="18"/>
          <w:szCs w:val="18"/>
          <w:color w:val="3E5588"/>
        </w:rPr>
      </w:pPr>
      <w:r>
        <w:rPr>
          <w:rFonts w:ascii="Arial" w:cs="Arial" w:eastAsia="Arial" w:hAnsi="Arial"/>
          <w:sz w:val="18"/>
          <w:szCs w:val="18"/>
          <w:color w:val="3E5588"/>
        </w:rPr>
        <w:t>addressed a new methodology by which rebates owed by manufacturers under the Medicaid Drug Rebate Program are calculated for drugs that are inhaled, infused, instilled, implanted or injected;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72"/>
        </w:numPr>
        <w:rPr>
          <w:rFonts w:ascii="Arial" w:cs="Arial" w:eastAsia="Arial" w:hAnsi="Arial"/>
          <w:sz w:val="18"/>
          <w:szCs w:val="18"/>
          <w:color w:val="3E5588"/>
        </w:rPr>
      </w:pPr>
      <w:r>
        <w:rPr>
          <w:rFonts w:ascii="Arial" w:cs="Arial" w:eastAsia="Arial" w:hAnsi="Arial"/>
          <w:sz w:val="18"/>
          <w:szCs w:val="18"/>
          <w:color w:val="3E5588"/>
        </w:rPr>
        <w:t>expanded the types of entities eligible for the 340B drug discount program;</w:t>
      </w:r>
    </w:p>
    <w:p>
      <w:pPr>
        <w:spacing w:after="0" w:line="252"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72"/>
        </w:numPr>
        <w:rPr>
          <w:rFonts w:ascii="Arial" w:cs="Arial" w:eastAsia="Arial" w:hAnsi="Arial"/>
          <w:sz w:val="18"/>
          <w:szCs w:val="18"/>
          <w:color w:val="3E5588"/>
        </w:rPr>
      </w:pPr>
      <w:r>
        <w:rPr>
          <w:rFonts w:ascii="Arial" w:cs="Arial" w:eastAsia="Arial" w:hAnsi="Arial"/>
          <w:sz w:val="18"/>
          <w:szCs w:val="18"/>
          <w:color w:val="3E5588"/>
        </w:rPr>
        <w:t>established the Medicare Part D coverage gap discount program by requiring manufacturers to provide a 70% point-of-sale-discount off the negotiated price of applicable brand drugs to eligible beneficiaries during their coverage gap period as a condition for the manufacturers' outpatient drugs to be covered under Medicare Part D; and</w:t>
      </w:r>
    </w:p>
    <w:p>
      <w:pPr>
        <w:spacing w:after="0" w:line="207"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72"/>
        </w:numPr>
        <w:rPr>
          <w:rFonts w:ascii="Arial" w:cs="Arial" w:eastAsia="Arial" w:hAnsi="Arial"/>
          <w:sz w:val="18"/>
          <w:szCs w:val="18"/>
          <w:color w:val="3E5588"/>
        </w:rPr>
      </w:pPr>
      <w:r>
        <w:rPr>
          <w:rFonts w:ascii="Arial" w:cs="Arial" w:eastAsia="Arial" w:hAnsi="Arial"/>
          <w:sz w:val="18"/>
          <w:szCs w:val="18"/>
          <w:color w:val="3E5588"/>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jc w:val="both"/>
        <w:ind w:firstLine="354"/>
        <w:spacing w:after="0" w:line="289" w:lineRule="auto"/>
        <w:rPr>
          <w:sz w:val="20"/>
          <w:szCs w:val="20"/>
          <w:color w:val="auto"/>
        </w:rPr>
      </w:pPr>
      <w:r>
        <w:rPr>
          <w:rFonts w:ascii="Arial" w:cs="Arial" w:eastAsia="Arial" w:hAnsi="Arial"/>
          <w:sz w:val="16"/>
          <w:szCs w:val="16"/>
          <w:color w:val="3E5588"/>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in April 2013 and, due to subsequent legislative amendments, will remain in effect through 2027 unless additional Congressional action is taken. In January 2013, President Obama signed into law the American Taxpayer Relief Act of 2012, which, among other things, further reduced Medicare payments to several providers, including hospitals, imaging centers, and increased the statute of limitations period for the government to recover overpayments to providers from three to five years.</w:t>
      </w:r>
    </w:p>
    <w:p>
      <w:pPr>
        <w:spacing w:after="0" w:line="172"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3E5588"/>
        </w:rPr>
        <w:t>Since enactment of the ACA, there have been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is effective as of 2019. According to the Congressional Budget Office, the repeal of the individual mandate will cause 13 million fewer Americans to be insured in 2027 and premiums in insurance markets may rise.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among other things, amends the ACA, effective January 1, 2019, to increase from 50 percent to 70 percent the point-of-sale discount that is owed by pharmaceutical manufacturers who participate in Medicare Part D and to close the coverage gap in most Medicare drug plans, commonly referred to as the "donut hole". The Congress will likely consider other legislation to replace elements of the ACA during the next Congressional session.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5"/>
        <w:spacing w:after="0" w:line="291" w:lineRule="auto"/>
        <w:rPr>
          <w:sz w:val="20"/>
          <w:szCs w:val="20"/>
          <w:color w:val="auto"/>
        </w:rPr>
      </w:pPr>
      <w:r>
        <w:rPr>
          <w:rFonts w:ascii="Arial" w:cs="Arial" w:eastAsia="Arial" w:hAnsi="Arial"/>
          <w:sz w:val="16"/>
          <w:szCs w:val="16"/>
          <w:color w:val="3E5588"/>
        </w:rPr>
        <w:t>In addition,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Trump administration and CMS have both stated that the ruling will have no immediate effect, and on December 30, 2018 the same judge issued an order staying the judgment pending appeal. The Trump Administration has recently represented to the Court of Appeals considering this judgment that it does not oppose the lower court's ruling. It is unclear how this decision and any subsequent appeals and other efforts to repeal and replace the ACA will impact the ACA and our business. Litigation and legislation over the ACA are likely to continue, with unpredictable and uncertain results.</w:t>
      </w:r>
    </w:p>
    <w:p>
      <w:pPr>
        <w:spacing w:after="0" w:line="174"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6"/>
          <w:szCs w:val="16"/>
          <w:color w:val="3E5588"/>
        </w:rPr>
        <w:t>The Trump Administration has also taken executive actions to undermine or delay implementation of the ACA. Since January 2017, President Trump has signed two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The second Executive Order terminates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Further, on June 14, 2018, U.S. Court of Appeals for the Federal Circuit ruled that the federal government was not required to pay more than $12 billion in ACA risk corridor payments to third-party payors who argued were owed to them. The effects of this gap in reimbursement on third-party payors, the viability of the ACA marketplace, providers, and potentially our business, are not yet known.</w:t>
      </w:r>
    </w:p>
    <w:p>
      <w:pPr>
        <w:spacing w:after="0" w:line="181"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3E5588"/>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For example,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Trump administration have each indicated that it will continue to seek new legislative and/or administrative measures to control drug costs.</w:t>
      </w:r>
    </w:p>
    <w:p>
      <w:pPr>
        <w:spacing w:after="0" w:line="172"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6"/>
          <w:szCs w:val="16"/>
          <w:color w:val="3E5588"/>
        </w:rPr>
        <w:t>For example, on May 11, 2018, the Administration issued a plan to lower drug prices. Under this blueprint for action, the Administration indicated that the Department of Health and Human Services, or HHS, will: take steps to end the gaming of regulatory and patent processes by drug makers to unfairly protect monopolies; advance biosimilars and generics to boost price competition; evaluate the inclusion of prices in drug makers' advertisements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E5588"/>
        </w:rPr>
        <w:t>members be provided with an annual statement of plan payments, out-of-pocket spending, and drug price increases. More recently, on January 31, 2019, the HHS Office of Inspector General proposed modifications to the federal Anti-Kickback Statute discount safe harbor for the purpose of reducing the cost of drug products to consumers which, among other things, if finalized, will affect discounts paid by manufacturers to Medicare Part D plans, Medicaid managed care organizations and pharmacy benefit managers working with these organizations.</w:t>
      </w:r>
    </w:p>
    <w:p>
      <w:pPr>
        <w:spacing w:after="0" w:line="197" w:lineRule="exact"/>
        <w:rPr>
          <w:sz w:val="20"/>
          <w:szCs w:val="20"/>
          <w:color w:val="auto"/>
        </w:rPr>
      </w:pPr>
    </w:p>
    <w:p>
      <w:pPr>
        <w:jc w:val="both"/>
        <w:ind w:firstLine="410"/>
        <w:spacing w:after="0" w:line="289" w:lineRule="auto"/>
        <w:rPr>
          <w:sz w:val="20"/>
          <w:szCs w:val="20"/>
          <w:color w:val="auto"/>
        </w:rPr>
      </w:pPr>
      <w:r>
        <w:rPr>
          <w:rFonts w:ascii="Arial" w:cs="Arial" w:eastAsia="Arial" w:hAnsi="Arial"/>
          <w:sz w:val="16"/>
          <w:szCs w:val="16"/>
          <w:color w:val="3E5588"/>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Review and Approval of Medicinal Products in the European Union</w:t>
      </w:r>
    </w:p>
    <w:p>
      <w:pPr>
        <w:spacing w:after="0" w:line="225" w:lineRule="exact"/>
        <w:rPr>
          <w:sz w:val="20"/>
          <w:szCs w:val="20"/>
          <w:color w:val="auto"/>
        </w:rPr>
      </w:pPr>
    </w:p>
    <w:p>
      <w:pPr>
        <w:jc w:val="both"/>
        <w:ind w:firstLine="480"/>
        <w:spacing w:after="0" w:line="286" w:lineRule="auto"/>
        <w:rPr>
          <w:sz w:val="20"/>
          <w:szCs w:val="20"/>
          <w:color w:val="auto"/>
        </w:rPr>
      </w:pPr>
      <w:r>
        <w:rPr>
          <w:rFonts w:ascii="Arial" w:cs="Arial" w:eastAsia="Arial" w:hAnsi="Arial"/>
          <w:sz w:val="16"/>
          <w:szCs w:val="16"/>
          <w:color w:val="3E5588"/>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 Specifically, however, the process governing approval of medicinal products in the European Union, or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an MAA and granting of a marketing authorization by these authorities before the product can be marketed and sold in the EU.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Clinical Trial Approval</w:t>
      </w:r>
    </w:p>
    <w:p>
      <w:pPr>
        <w:spacing w:after="0" w:line="225" w:lineRule="exact"/>
        <w:rPr>
          <w:sz w:val="20"/>
          <w:szCs w:val="20"/>
          <w:color w:val="auto"/>
        </w:rPr>
      </w:pPr>
    </w:p>
    <w:p>
      <w:pPr>
        <w:jc w:val="both"/>
        <w:ind w:firstLine="452"/>
        <w:spacing w:after="0" w:line="253" w:lineRule="auto"/>
        <w:rPr>
          <w:sz w:val="20"/>
          <w:szCs w:val="20"/>
          <w:color w:val="auto"/>
        </w:rPr>
      </w:pPr>
      <w:r>
        <w:rPr>
          <w:rFonts w:ascii="Arial" w:cs="Arial" w:eastAsia="Arial" w:hAnsi="Arial"/>
          <w:sz w:val="18"/>
          <w:szCs w:val="18"/>
          <w:color w:val="3E5588"/>
        </w:rPr>
        <w:t>The Clinical Trials Directive 2001/20/EC, the Directive 2005/28/EC on GCP and the related national implementing provisions of the individual member states of the European Union, or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1"/>
        <w:spacing w:after="0" w:line="290" w:lineRule="auto"/>
        <w:rPr>
          <w:sz w:val="20"/>
          <w:szCs w:val="20"/>
          <w:color w:val="auto"/>
        </w:rPr>
      </w:pPr>
      <w:r>
        <w:rPr>
          <w:rFonts w:ascii="Arial" w:cs="Arial" w:eastAsia="Arial" w:hAnsi="Arial"/>
          <w:sz w:val="16"/>
          <w:szCs w:val="16"/>
          <w:color w:val="3E5588"/>
        </w:rPr>
        <w:t>In April 2014, the new Clinical Trials Regulation, (EU) No 536/2014, was adopted. The Clinical Trials Regulation was published on June 16, 2014 but is not expected to apply until later in 2019. The Clinical Trials Regulation will be directly applicable in all the EU Member States, repealing the current Clinical Trials Directive 2001/20/EC and replacing any national legislation that was put in place to implement the Directive.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2" w:lineRule="exact"/>
        <w:rPr>
          <w:sz w:val="20"/>
          <w:szCs w:val="20"/>
          <w:color w:val="auto"/>
        </w:rPr>
      </w:pPr>
    </w:p>
    <w:p>
      <w:pPr>
        <w:jc w:val="both"/>
        <w:ind w:firstLine="487"/>
        <w:spacing w:after="0" w:line="289" w:lineRule="auto"/>
        <w:rPr>
          <w:sz w:val="20"/>
          <w:szCs w:val="20"/>
          <w:color w:val="auto"/>
        </w:rPr>
      </w:pPr>
      <w:r>
        <w:rPr>
          <w:rFonts w:ascii="Arial" w:cs="Arial" w:eastAsia="Arial" w:hAnsi="Arial"/>
          <w:sz w:val="16"/>
          <w:szCs w:val="16"/>
          <w:color w:val="3E5588"/>
        </w:rPr>
        <w:t>The new Clinical Trials Regulation aims to simplify and streamline the approval of clinical trials in the EU. The main characteristics of the regulation include: a streamlined application procedure via a single entry point, the "EU Portal and Database";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appointed reporting Member State, whose assessment report is submitted for review by the sponsor and all other competent authorities of all EU Member States in which an application for authorization of a clinical trial has been submitted (Concerned Member States). Part II is assessed separately by each Concerned Member State. Strict deadlines have been established for the assessment of clinical trial applications. The role of the relevant ethics committees in the assessment procedure will continue to be governed by the national law of the Concerned Member State. However, overall related timelines will be defined by the Clinical Trials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PRIME Designation in the EU</w:t>
      </w:r>
    </w:p>
    <w:p>
      <w:pPr>
        <w:spacing w:after="0" w:line="225"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3E5588"/>
        </w:rPr>
        <w:t>In March 2016, the EMA launched an initiative to facilitate development of product candidates in indications, often rare, for which few or no therapies currently exist. The PRIority Medicines, or PRIME, scheme is intended to encourage drug development in areas of unmet medical need and provides accelerated assessment of products representing substantial innovation reviewed under the centralized procedure. Products from small- and medium-sized enterprises, or SMEs,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Agency contact and rapporteur from the Committee for Human Medicinal Products, or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Marketing Authorization</w:t>
      </w:r>
    </w:p>
    <w:p>
      <w:pPr>
        <w:spacing w:after="0" w:line="225"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3E5588"/>
        </w:rPr>
        <w:t>To obtain a marketing authorization for a product under EU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45"/>
        <w:spacing w:after="0" w:line="290" w:lineRule="auto"/>
        <w:rPr>
          <w:sz w:val="20"/>
          <w:szCs w:val="20"/>
          <w:color w:val="auto"/>
        </w:rPr>
      </w:pPr>
      <w:r>
        <w:rPr>
          <w:rFonts w:ascii="Arial" w:cs="Arial" w:eastAsia="Arial" w:hAnsi="Arial"/>
          <w:sz w:val="16"/>
          <w:szCs w:val="16"/>
          <w:color w:val="3E5588"/>
        </w:rPr>
        <w:t>The centralized procedure provides for the grant of a single marketing authorization by the European Commission that is valid across the European Economic Area (i.e. the EU as well as Iceland, Liechtenstein and Norway). Pursuant to Regulation (EC) No 726/2004, the centralized procedure is compulsory for specific products, including for medicines produced by certain biotechnological processes, products designated as orphan medicinal products, advanced therapy medicinal products and products with a new 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2" w:lineRule="exact"/>
        <w:rPr>
          <w:sz w:val="20"/>
          <w:szCs w:val="20"/>
          <w:color w:val="auto"/>
        </w:rPr>
      </w:pPr>
    </w:p>
    <w:p>
      <w:pPr>
        <w:jc w:val="both"/>
        <w:ind w:firstLine="563"/>
        <w:spacing w:after="0" w:line="286" w:lineRule="auto"/>
        <w:rPr>
          <w:sz w:val="20"/>
          <w:szCs w:val="20"/>
          <w:color w:val="auto"/>
        </w:rPr>
      </w:pPr>
      <w:r>
        <w:rPr>
          <w:rFonts w:ascii="Arial" w:cs="Arial" w:eastAsia="Arial" w:hAnsi="Arial"/>
          <w:sz w:val="16"/>
          <w:szCs w:val="16"/>
          <w:color w:val="3E5588"/>
        </w:rPr>
        <w:t>Under the centralized procedure, the CHMP is responsible for conducting the initial assessment of a product and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 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5"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3E5588"/>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 information. Consequently, marketing authorization under exceptional circumstances may be granted subject to certain specific obligations, which may include the following:</w:t>
      </w:r>
    </w:p>
    <w:p>
      <w:pPr>
        <w:spacing w:after="0" w:line="188" w:lineRule="exact"/>
        <w:rPr>
          <w:sz w:val="20"/>
          <w:szCs w:val="20"/>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3E5588"/>
        </w:rPr>
      </w:pPr>
      <w:r>
        <w:rPr>
          <w:rFonts w:ascii="Arial" w:cs="Arial" w:eastAsia="Arial" w:hAnsi="Arial"/>
          <w:sz w:val="18"/>
          <w:szCs w:val="18"/>
          <w:color w:val="3E5588"/>
        </w:rPr>
        <w:t>the applicant must complete an identified program of studies within a time period specified by the competent authority, the results of which form the basis of a reassessment of the benefit/risk profile;</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73"/>
        </w:numPr>
        <w:rPr>
          <w:rFonts w:ascii="Arial" w:cs="Arial" w:eastAsia="Arial" w:hAnsi="Arial"/>
          <w:sz w:val="18"/>
          <w:szCs w:val="18"/>
          <w:color w:val="3E5588"/>
        </w:rPr>
      </w:pPr>
      <w:r>
        <w:rPr>
          <w:rFonts w:ascii="Arial" w:cs="Arial" w:eastAsia="Arial" w:hAnsi="Arial"/>
          <w:sz w:val="18"/>
          <w:szCs w:val="18"/>
          <w:color w:val="3E5588"/>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73"/>
        </w:numPr>
        <w:rPr>
          <w:rFonts w:ascii="Arial" w:cs="Arial" w:eastAsia="Arial" w:hAnsi="Arial"/>
          <w:sz w:val="18"/>
          <w:szCs w:val="18"/>
          <w:color w:val="3E5588"/>
        </w:rPr>
      </w:pPr>
      <w:r>
        <w:rPr>
          <w:rFonts w:ascii="Arial" w:cs="Arial" w:eastAsia="Arial" w:hAnsi="Arial"/>
          <w:sz w:val="18"/>
          <w:szCs w:val="18"/>
          <w:color w:val="3E5588"/>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6"/>
          <w:szCs w:val="16"/>
          <w:color w:val="3E5588"/>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70"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3E5588"/>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77" w:lineRule="exact"/>
        <w:rPr>
          <w:sz w:val="20"/>
          <w:szCs w:val="20"/>
          <w:color w:val="auto"/>
        </w:rPr>
      </w:pPr>
    </w:p>
    <w:p>
      <w:pPr>
        <w:jc w:val="both"/>
        <w:ind w:firstLine="519"/>
        <w:spacing w:after="0" w:line="256" w:lineRule="auto"/>
        <w:rPr>
          <w:sz w:val="20"/>
          <w:szCs w:val="20"/>
          <w:color w:val="auto"/>
        </w:rPr>
      </w:pPr>
      <w:r>
        <w:rPr>
          <w:rFonts w:ascii="Arial" w:cs="Arial" w:eastAsia="Arial" w:hAnsi="Arial"/>
          <w:sz w:val="18"/>
          <w:szCs w:val="18"/>
          <w:color w:val="3E5588"/>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97"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3E5588"/>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3E5588"/>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Regulatory Data Protection in the EU</w:t>
      </w:r>
    </w:p>
    <w:p>
      <w:pPr>
        <w:spacing w:after="0" w:line="225"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3E5588"/>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3E5588"/>
        </w:rPr>
        <w:t>this entitlement for medicinal products authorized in accordance the centralized authorization procedure. Data exclusivity prevents applicants for authorization of generics of these innovative products from referencing the innovator's data to assess a generic (abridged) application for a period of eight years. During an additional two-year period of market exclusivity, a generic MAA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an NCE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Periods of Authorization and Renewals</w:t>
      </w:r>
    </w:p>
    <w:p>
      <w:pPr>
        <w:spacing w:after="0" w:line="225"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6"/>
          <w:szCs w:val="16"/>
          <w:color w:val="3E5588"/>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Paediatric Studies and Exclusivity</w:t>
      </w:r>
    </w:p>
    <w:p>
      <w:pPr>
        <w:spacing w:after="0" w:line="225" w:lineRule="exact"/>
        <w:rPr>
          <w:sz w:val="20"/>
          <w:szCs w:val="20"/>
          <w:color w:val="auto"/>
        </w:rPr>
      </w:pPr>
    </w:p>
    <w:p>
      <w:pPr>
        <w:jc w:val="both"/>
        <w:ind w:firstLine="517"/>
        <w:spacing w:after="0" w:line="286" w:lineRule="auto"/>
        <w:rPr>
          <w:sz w:val="20"/>
          <w:szCs w:val="20"/>
          <w:color w:val="auto"/>
        </w:rPr>
      </w:pPr>
      <w:r>
        <w:rPr>
          <w:rFonts w:ascii="Arial" w:cs="Arial" w:eastAsia="Arial" w:hAnsi="Arial"/>
          <w:sz w:val="16"/>
          <w:szCs w:val="16"/>
          <w:color w:val="3E5588"/>
        </w:rPr>
        <w:t>Prior to obtaining a marketing authorization in the European Union, applicants must demonstrate compliance with all measures included in an EMA-approved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The Paediatric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Orphan Drug Designation and Exclusivity</w:t>
      </w:r>
    </w:p>
    <w:p>
      <w:pPr>
        <w:spacing w:after="0" w:line="225" w:lineRule="exact"/>
        <w:rPr>
          <w:sz w:val="20"/>
          <w:szCs w:val="20"/>
          <w:color w:val="auto"/>
        </w:rPr>
      </w:pPr>
    </w:p>
    <w:p>
      <w:pPr>
        <w:jc w:val="both"/>
        <w:ind w:firstLine="361"/>
        <w:spacing w:after="0" w:line="314" w:lineRule="auto"/>
        <w:rPr>
          <w:sz w:val="20"/>
          <w:szCs w:val="20"/>
          <w:color w:val="auto"/>
        </w:rPr>
      </w:pPr>
      <w:r>
        <w:rPr>
          <w:rFonts w:ascii="Arial" w:cs="Arial" w:eastAsia="Arial" w:hAnsi="Arial"/>
          <w:sz w:val="15"/>
          <w:szCs w:val="15"/>
          <w:color w:val="3E5588"/>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59" w:lineRule="exact"/>
        <w:rPr>
          <w:sz w:val="20"/>
          <w:szCs w:val="20"/>
          <w:color w:val="auto"/>
        </w:rPr>
      </w:pPr>
    </w:p>
    <w:p>
      <w:pPr>
        <w:jc w:val="both"/>
        <w:ind w:firstLine="374"/>
        <w:spacing w:after="0" w:line="252" w:lineRule="auto"/>
        <w:rPr>
          <w:sz w:val="20"/>
          <w:szCs w:val="20"/>
          <w:color w:val="auto"/>
        </w:rPr>
      </w:pPr>
      <w:r>
        <w:rPr>
          <w:rFonts w:ascii="Arial" w:cs="Arial" w:eastAsia="Arial" w:hAnsi="Arial"/>
          <w:sz w:val="18"/>
          <w:szCs w:val="18"/>
          <w:color w:val="3E5588"/>
        </w:rPr>
        <w:t>Once authorized, orphan medicinal products are entitled to ten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ten-year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Regulatory Requirements After a Marketing Authorization has been Obtained</w:t>
      </w:r>
    </w:p>
    <w:p>
      <w:pPr>
        <w:spacing w:after="0" w:line="225" w:lineRule="exact"/>
        <w:rPr>
          <w:sz w:val="20"/>
          <w:szCs w:val="20"/>
          <w:color w:val="auto"/>
        </w:rPr>
      </w:pPr>
    </w:p>
    <w:p>
      <w:pPr>
        <w:jc w:val="both"/>
        <w:ind w:right="20" w:firstLine="481"/>
        <w:spacing w:after="0" w:line="268" w:lineRule="auto"/>
        <w:rPr>
          <w:sz w:val="20"/>
          <w:szCs w:val="20"/>
          <w:color w:val="auto"/>
        </w:rPr>
      </w:pPr>
      <w:r>
        <w:rPr>
          <w:rFonts w:ascii="Arial" w:cs="Arial" w:eastAsia="Arial" w:hAnsi="Arial"/>
          <w:sz w:val="18"/>
          <w:szCs w:val="18"/>
          <w:color w:val="3E5588"/>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hanging="532"/>
        <w:spacing w:after="0" w:line="268" w:lineRule="auto"/>
        <w:tabs>
          <w:tab w:leader="none" w:pos="1080" w:val="left"/>
        </w:tabs>
        <w:numPr>
          <w:ilvl w:val="0"/>
          <w:numId w:val="74"/>
        </w:numPr>
        <w:rPr>
          <w:rFonts w:ascii="Arial" w:cs="Arial" w:eastAsia="Arial" w:hAnsi="Arial"/>
          <w:sz w:val="18"/>
          <w:szCs w:val="18"/>
          <w:color w:val="3E5588"/>
        </w:rPr>
      </w:pPr>
      <w:r>
        <w:rPr>
          <w:rFonts w:ascii="Arial" w:cs="Arial" w:eastAsia="Arial" w:hAnsi="Arial"/>
          <w:sz w:val="18"/>
          <w:szCs w:val="18"/>
          <w:color w:val="3E5588"/>
        </w:rPr>
        <w:t>Compliance with the EU's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3E5588"/>
        </w:rPr>
      </w:pPr>
    </w:p>
    <w:p>
      <w:pPr>
        <w:jc w:val="both"/>
        <w:ind w:left="1080" w:hanging="532"/>
        <w:spacing w:after="0" w:line="294" w:lineRule="auto"/>
        <w:tabs>
          <w:tab w:leader="none" w:pos="1080" w:val="left"/>
        </w:tabs>
        <w:numPr>
          <w:ilvl w:val="0"/>
          <w:numId w:val="74"/>
        </w:numPr>
        <w:rPr>
          <w:rFonts w:ascii="Arial" w:cs="Arial" w:eastAsia="Arial" w:hAnsi="Arial"/>
          <w:sz w:val="16"/>
          <w:szCs w:val="16"/>
          <w:color w:val="3E5588"/>
        </w:rPr>
      </w:pPr>
      <w:r>
        <w:rPr>
          <w:rFonts w:ascii="Arial" w:cs="Arial" w:eastAsia="Arial" w:hAnsi="Arial"/>
          <w:sz w:val="16"/>
          <w:szCs w:val="16"/>
          <w:color w:val="3E5588"/>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spacing w:after="0" w:line="183" w:lineRule="exact"/>
        <w:rPr>
          <w:rFonts w:ascii="Arial" w:cs="Arial" w:eastAsia="Arial" w:hAnsi="Arial"/>
          <w:sz w:val="16"/>
          <w:szCs w:val="16"/>
          <w:color w:val="3E5588"/>
        </w:rPr>
      </w:pPr>
    </w:p>
    <w:p>
      <w:pPr>
        <w:jc w:val="both"/>
        <w:ind w:left="1080" w:hanging="532"/>
        <w:spacing w:after="0" w:line="306" w:lineRule="auto"/>
        <w:tabs>
          <w:tab w:leader="none" w:pos="1080" w:val="left"/>
        </w:tabs>
        <w:numPr>
          <w:ilvl w:val="0"/>
          <w:numId w:val="74"/>
        </w:numPr>
        <w:rPr>
          <w:rFonts w:ascii="Arial" w:cs="Arial" w:eastAsia="Arial" w:hAnsi="Arial"/>
          <w:sz w:val="16"/>
          <w:szCs w:val="16"/>
          <w:color w:val="3E5588"/>
        </w:rPr>
      </w:pPr>
      <w:r>
        <w:rPr>
          <w:rFonts w:ascii="Arial" w:cs="Arial" w:eastAsia="Arial" w:hAnsi="Arial"/>
          <w:sz w:val="16"/>
          <w:szCs w:val="16"/>
          <w:color w:val="3E5588"/>
        </w:rPr>
        <w:t>The marketing and promotion of authorized drugs, including industry-sponsored continuing medical education and advertising directed toward the prescribers of drugs and/or the general public, are strictly regulated in the EU notably under Directive 2001/83EC, as amended, and are also subject to EU Member State laws. Direct-to-consumer advertising of prescription medicines is prohibited across the EU.</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Brexit and the Regulatory Framework in the United Kingdom</w:t>
      </w:r>
    </w:p>
    <w:p>
      <w:pPr>
        <w:spacing w:after="0" w:line="225" w:lineRule="exact"/>
        <w:rPr>
          <w:sz w:val="20"/>
          <w:szCs w:val="20"/>
          <w:color w:val="auto"/>
        </w:rPr>
      </w:pPr>
    </w:p>
    <w:p>
      <w:pPr>
        <w:ind w:firstLine="405"/>
        <w:spacing w:after="0" w:line="268" w:lineRule="auto"/>
        <w:rPr>
          <w:sz w:val="20"/>
          <w:szCs w:val="20"/>
          <w:color w:val="auto"/>
        </w:rPr>
      </w:pPr>
      <w:r>
        <w:rPr>
          <w:rFonts w:ascii="Arial" w:cs="Arial" w:eastAsia="Arial" w:hAnsi="Arial"/>
          <w:sz w:val="18"/>
          <w:szCs w:val="18"/>
          <w:color w:val="3E5588"/>
        </w:rPr>
        <w:t>On June 23, 2016, the electorate in the United Kingdom voted in favor of leaving the EU, commonly referred to as Brexit. Thereafter, on March 29, 2017, the country formally notified the EU of its intention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3E5588"/>
        </w:rPr>
        <w:t>to withdraw pursuant to Article 50 of the Lisbon Treaty. The withdrawal of the United Kingdom from the EU was meant to take effect either on the effective date of the withdrawal agreement or, in the absence of agreement, two years after the United Kingdom provides a notice of withdrawal pursuant to the EU Treaty, which was March 29, 2019. That date has now been extended to October 31, 2019. Discussions between the United Kingdom and the European Union have focused on finalizing withdrawal issues and transition agreements, but have been extremely difficult to date. Limited progress to date in these negotiations and ongoing uncertainty within the UK Government and Parliament sustains the possibility of the United Kingdom leaving the European Union on the given deadline without a withdrawal agreement and associated transition period in place, which is likely to cause significant market and economic disruption.</w:t>
      </w:r>
    </w:p>
    <w:p>
      <w:pPr>
        <w:spacing w:after="0" w:line="174"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3E5588"/>
        </w:rPr>
        <w:t>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that applies to products and the approval of product candidates in the United Kingdom. It remains to be seen how, if at all, Brexit will impact regulatory requirements for product candidates and products in the United Kingdom.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General Data Protection Regulation</w:t>
      </w:r>
    </w:p>
    <w:p>
      <w:pPr>
        <w:spacing w:after="0" w:line="225" w:lineRule="exact"/>
        <w:rPr>
          <w:sz w:val="20"/>
          <w:szCs w:val="20"/>
          <w:color w:val="auto"/>
        </w:rPr>
      </w:pPr>
    </w:p>
    <w:p>
      <w:pPr>
        <w:jc w:val="both"/>
        <w:ind w:firstLine="365"/>
        <w:spacing w:after="0" w:line="287" w:lineRule="auto"/>
        <w:rPr>
          <w:sz w:val="20"/>
          <w:szCs w:val="20"/>
          <w:color w:val="auto"/>
        </w:rPr>
      </w:pPr>
      <w:r>
        <w:rPr>
          <w:rFonts w:ascii="Arial" w:cs="Arial" w:eastAsia="Arial" w:hAnsi="Arial"/>
          <w:sz w:val="16"/>
          <w:szCs w:val="16"/>
          <w:color w:val="3E5588"/>
        </w:rPr>
        <w:t>The collection, use,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Pricing Decisions for Approved Products</w:t>
      </w:r>
    </w:p>
    <w:p>
      <w:pPr>
        <w:spacing w:after="0" w:line="225" w:lineRule="exact"/>
        <w:rPr>
          <w:sz w:val="20"/>
          <w:szCs w:val="20"/>
          <w:color w:val="auto"/>
        </w:rPr>
      </w:pPr>
    </w:p>
    <w:p>
      <w:pPr>
        <w:jc w:val="both"/>
        <w:ind w:firstLine="442"/>
        <w:spacing w:after="0" w:line="287" w:lineRule="auto"/>
        <w:rPr>
          <w:sz w:val="20"/>
          <w:szCs w:val="20"/>
          <w:color w:val="auto"/>
        </w:rPr>
      </w:pPr>
      <w:r>
        <w:rPr>
          <w:rFonts w:ascii="Arial" w:cs="Arial" w:eastAsia="Arial" w:hAnsi="Arial"/>
          <w:sz w:val="16"/>
          <w:szCs w:val="16"/>
          <w:color w:val="3E5588"/>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product candidate to currently available therapies or so-called health technology assessments, in order to obtain reimbursement or pricing approval. For example, EU Member States have the option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EU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EU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Employees</w:t>
      </w:r>
    </w:p>
    <w:p>
      <w:pPr>
        <w:spacing w:after="0" w:line="231" w:lineRule="exact"/>
        <w:rPr>
          <w:sz w:val="20"/>
          <w:szCs w:val="20"/>
          <w:color w:val="auto"/>
        </w:rPr>
      </w:pPr>
    </w:p>
    <w:p>
      <w:pPr>
        <w:jc w:val="both"/>
        <w:ind w:firstLine="482"/>
        <w:spacing w:after="0" w:line="259" w:lineRule="auto"/>
        <w:rPr>
          <w:sz w:val="20"/>
          <w:szCs w:val="20"/>
          <w:color w:val="auto"/>
        </w:rPr>
      </w:pPr>
      <w:r>
        <w:rPr>
          <w:rFonts w:ascii="Arial" w:cs="Arial" w:eastAsia="Arial" w:hAnsi="Arial"/>
          <w:sz w:val="18"/>
          <w:szCs w:val="18"/>
          <w:color w:val="3E5588"/>
        </w:rPr>
        <w:t>As of June 30, 2019, we had 62 full-time employees, including a total of 28 employees with M.D. or Ph.D. degrees. Of these full-time employees, 47 employees are engaged in research and development. None of our employees are represented by labor unions or covered by collective bargaining agreements. We consider our relationship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Facilities</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3E5588"/>
        </w:rPr>
        <w:t>Our principal facilities consist of office and laboratory space. We occupy approximately 28,731 square feet of office space in Cambridge, Massachusetts under a lease that currently expires in June 2028.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We are not currently subject to any material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sets forth the name, age as of June 30, 2019 and position of each of our executive officers and directors.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100" w:type="dxa"/>
            <w:vAlign w:val="bottom"/>
            <w:gridSpan w:val="4"/>
          </w:tcPr>
          <w:p>
            <w:pPr>
              <w:spacing w:after="0"/>
              <w:rPr>
                <w:sz w:val="20"/>
                <w:szCs w:val="20"/>
                <w:color w:val="auto"/>
              </w:rPr>
            </w:pPr>
            <w:r>
              <w:rPr>
                <w:rFonts w:ascii="Arial" w:cs="Arial" w:eastAsia="Arial" w:hAnsi="Arial"/>
                <w:sz w:val="14"/>
                <w:szCs w:val="14"/>
                <w:b w:val="1"/>
                <w:bCs w:val="1"/>
                <w:color w:val="3E5588"/>
              </w:rPr>
              <w:t>Name</w:t>
            </w:r>
          </w:p>
        </w:tc>
        <w:tc>
          <w:tcPr>
            <w:tcW w:w="260" w:type="dxa"/>
            <w:vAlign w:val="bottom"/>
          </w:tcPr>
          <w:p>
            <w:pPr>
              <w:jc w:val="center"/>
              <w:spacing w:after="0"/>
              <w:rPr>
                <w:sz w:val="20"/>
                <w:szCs w:val="20"/>
                <w:color w:val="auto"/>
              </w:rPr>
            </w:pPr>
            <w:r>
              <w:rPr>
                <w:rFonts w:ascii="Arial" w:cs="Arial" w:eastAsia="Arial" w:hAnsi="Arial"/>
                <w:sz w:val="14"/>
                <w:szCs w:val="14"/>
                <w:b w:val="1"/>
                <w:bCs w:val="1"/>
                <w:color w:val="3E5588"/>
                <w:w w:val="90"/>
              </w:rPr>
              <w:t>Age</w:t>
            </w:r>
          </w:p>
        </w:tc>
        <w:tc>
          <w:tcPr>
            <w:tcW w:w="160" w:type="dxa"/>
            <w:vAlign w:val="bottom"/>
          </w:tcPr>
          <w:p>
            <w:pPr>
              <w:spacing w:after="0"/>
              <w:rPr>
                <w:sz w:val="14"/>
                <w:szCs w:val="14"/>
                <w:color w:val="auto"/>
              </w:rPr>
            </w:pPr>
          </w:p>
        </w:tc>
        <w:tc>
          <w:tcPr>
            <w:tcW w:w="3620" w:type="dxa"/>
            <w:vAlign w:val="bottom"/>
          </w:tcPr>
          <w:p>
            <w:pPr>
              <w:ind w:left="1580"/>
              <w:spacing w:after="0"/>
              <w:rPr>
                <w:sz w:val="20"/>
                <w:szCs w:val="20"/>
                <w:color w:val="auto"/>
              </w:rPr>
            </w:pPr>
            <w:r>
              <w:rPr>
                <w:rFonts w:ascii="Arial" w:cs="Arial" w:eastAsia="Arial" w:hAnsi="Arial"/>
                <w:sz w:val="14"/>
                <w:szCs w:val="14"/>
                <w:b w:val="1"/>
                <w:bCs w:val="1"/>
                <w:color w:val="3E5588"/>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3E558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20" w:type="dxa"/>
            <w:vAlign w:val="bottom"/>
            <w:shd w:val="clear" w:color="auto" w:fill="3E558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Robert J. Gould,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64</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w w:val="96"/>
              </w:rPr>
              <w:t>Chief Executive Officer and President,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3E5588"/>
              </w:rPr>
              <w:t>Bryan Stuart</w:t>
            </w:r>
          </w:p>
        </w:tc>
        <w:tc>
          <w:tcPr>
            <w:tcW w:w="260" w:type="dxa"/>
            <w:vAlign w:val="bottom"/>
          </w:tcPr>
          <w:p>
            <w:pPr>
              <w:jc w:val="center"/>
              <w:spacing w:after="0"/>
              <w:rPr>
                <w:sz w:val="20"/>
                <w:szCs w:val="20"/>
                <w:color w:val="auto"/>
              </w:rPr>
            </w:pPr>
            <w:r>
              <w:rPr>
                <w:rFonts w:ascii="Arial" w:cs="Arial" w:eastAsia="Arial" w:hAnsi="Arial"/>
                <w:sz w:val="18"/>
                <w:szCs w:val="18"/>
                <w:color w:val="3E5588"/>
                <w:w w:val="89"/>
              </w:rPr>
              <w:t>42</w:t>
            </w:r>
          </w:p>
        </w:tc>
        <w:tc>
          <w:tcPr>
            <w:tcW w:w="3780" w:type="dxa"/>
            <w:vAlign w:val="bottom"/>
            <w:gridSpan w:val="2"/>
          </w:tcPr>
          <w:p>
            <w:pPr>
              <w:ind w:left="160"/>
              <w:spacing w:after="0"/>
              <w:rPr>
                <w:sz w:val="20"/>
                <w:szCs w:val="20"/>
                <w:color w:val="auto"/>
              </w:rPr>
            </w:pPr>
            <w:r>
              <w:rPr>
                <w:rFonts w:ascii="Arial" w:cs="Arial" w:eastAsia="Arial" w:hAnsi="Arial"/>
                <w:sz w:val="18"/>
                <w:szCs w:val="18"/>
                <w:color w:val="3E5588"/>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Owen Wallace,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50</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Chief Scientific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3E5588"/>
              </w:rPr>
              <w:t>Diego Cadavid, M.D.</w:t>
            </w:r>
          </w:p>
        </w:tc>
        <w:tc>
          <w:tcPr>
            <w:tcW w:w="260" w:type="dxa"/>
            <w:vAlign w:val="bottom"/>
          </w:tcPr>
          <w:p>
            <w:pPr>
              <w:jc w:val="center"/>
              <w:spacing w:after="0"/>
              <w:rPr>
                <w:sz w:val="20"/>
                <w:szCs w:val="20"/>
                <w:color w:val="auto"/>
              </w:rPr>
            </w:pPr>
            <w:r>
              <w:rPr>
                <w:rFonts w:ascii="Arial" w:cs="Arial" w:eastAsia="Arial" w:hAnsi="Arial"/>
                <w:sz w:val="18"/>
                <w:szCs w:val="18"/>
                <w:color w:val="3E5588"/>
                <w:w w:val="89"/>
              </w:rPr>
              <w:t>53</w:t>
            </w:r>
          </w:p>
        </w:tc>
        <w:tc>
          <w:tcPr>
            <w:tcW w:w="3780" w:type="dxa"/>
            <w:vAlign w:val="bottom"/>
            <w:gridSpan w:val="2"/>
          </w:tcPr>
          <w:p>
            <w:pPr>
              <w:ind w:left="160"/>
              <w:spacing w:after="0"/>
              <w:rPr>
                <w:sz w:val="20"/>
                <w:szCs w:val="20"/>
                <w:color w:val="auto"/>
              </w:rPr>
            </w:pPr>
            <w:r>
              <w:rPr>
                <w:rFonts w:ascii="Arial" w:cs="Arial" w:eastAsia="Arial" w:hAnsi="Arial"/>
                <w:sz w:val="18"/>
                <w:szCs w:val="18"/>
                <w:color w:val="3E5588"/>
              </w:rPr>
              <w:t>Senior Vice President, Clinical Development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3E5588"/>
              </w:rPr>
              <w:t>Mark Levin</w:t>
            </w:r>
            <w:r>
              <w:rPr>
                <w:rFonts w:ascii="Arial" w:cs="Arial" w:eastAsia="Arial" w:hAnsi="Arial"/>
                <w:sz w:val="29"/>
                <w:szCs w:val="29"/>
                <w:color w:val="3E5588"/>
                <w:vertAlign w:val="superscript"/>
              </w:rPr>
              <w:t>(2)(3)</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68</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Chairman of the Board of Directors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tcPr>
          <w:p>
            <w:pPr>
              <w:spacing w:after="0" w:line="256" w:lineRule="exact"/>
              <w:rPr>
                <w:sz w:val="20"/>
                <w:szCs w:val="20"/>
                <w:color w:val="auto"/>
              </w:rPr>
            </w:pPr>
            <w:r>
              <w:rPr>
                <w:rFonts w:ascii="Arial" w:cs="Arial" w:eastAsia="Arial" w:hAnsi="Arial"/>
                <w:sz w:val="18"/>
                <w:szCs w:val="18"/>
                <w:color w:val="3E5588"/>
              </w:rPr>
              <w:t>James J. Collins, Ph.D.</w:t>
            </w:r>
            <w:r>
              <w:rPr>
                <w:rFonts w:ascii="Arial" w:cs="Arial" w:eastAsia="Arial" w:hAnsi="Arial"/>
                <w:sz w:val="29"/>
                <w:szCs w:val="29"/>
                <w:color w:val="3E5588"/>
                <w:vertAlign w:val="superscript"/>
              </w:rPr>
              <w:t>(3)</w:t>
            </w:r>
          </w:p>
        </w:tc>
        <w:tc>
          <w:tcPr>
            <w:tcW w:w="260" w:type="dxa"/>
            <w:vAlign w:val="bottom"/>
          </w:tcPr>
          <w:p>
            <w:pPr>
              <w:jc w:val="center"/>
              <w:spacing w:after="0"/>
              <w:rPr>
                <w:sz w:val="20"/>
                <w:szCs w:val="20"/>
                <w:color w:val="auto"/>
              </w:rPr>
            </w:pPr>
            <w:r>
              <w:rPr>
                <w:rFonts w:ascii="Arial" w:cs="Arial" w:eastAsia="Arial" w:hAnsi="Arial"/>
                <w:sz w:val="18"/>
                <w:szCs w:val="18"/>
                <w:color w:val="3E5588"/>
                <w:w w:val="89"/>
              </w:rPr>
              <w:t>54</w:t>
            </w:r>
          </w:p>
        </w:tc>
        <w:tc>
          <w:tcPr>
            <w:tcW w:w="3780" w:type="dxa"/>
            <w:vAlign w:val="bottom"/>
            <w:gridSpan w:val="2"/>
          </w:tcPr>
          <w:p>
            <w:pPr>
              <w:ind w:left="160"/>
              <w:spacing w:after="0"/>
              <w:rPr>
                <w:sz w:val="20"/>
                <w:szCs w:val="20"/>
                <w:color w:val="auto"/>
              </w:rPr>
            </w:pPr>
            <w:r>
              <w:rPr>
                <w:rFonts w:ascii="Arial" w:cs="Arial" w:eastAsia="Arial" w:hAnsi="Arial"/>
                <w:sz w:val="18"/>
                <w:szCs w:val="18"/>
                <w:color w:val="3E5588"/>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3E5588"/>
              </w:rPr>
              <w:t>Alan Ezekowitz, MBChB, D.Phil</w:t>
            </w:r>
            <w:r>
              <w:rPr>
                <w:rFonts w:ascii="Arial" w:cs="Arial" w:eastAsia="Arial" w:hAnsi="Arial"/>
                <w:sz w:val="29"/>
                <w:szCs w:val="29"/>
                <w:color w:val="3E5588"/>
                <w:vertAlign w:val="superscript"/>
              </w:rPr>
              <w:t>(1)(2)</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65</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tcPr>
          <w:p>
            <w:pPr>
              <w:spacing w:after="0" w:line="256" w:lineRule="exact"/>
              <w:rPr>
                <w:sz w:val="20"/>
                <w:szCs w:val="20"/>
                <w:color w:val="auto"/>
              </w:rPr>
            </w:pPr>
            <w:r>
              <w:rPr>
                <w:rFonts w:ascii="Arial" w:cs="Arial" w:eastAsia="Arial" w:hAnsi="Arial"/>
                <w:sz w:val="18"/>
                <w:szCs w:val="18"/>
                <w:color w:val="3E5588"/>
              </w:rPr>
              <w:t>James Geraghty</w:t>
            </w:r>
            <w:r>
              <w:rPr>
                <w:rFonts w:ascii="Arial" w:cs="Arial" w:eastAsia="Arial" w:hAnsi="Arial"/>
                <w:sz w:val="29"/>
                <w:szCs w:val="29"/>
                <w:color w:val="3E5588"/>
                <w:vertAlign w:val="superscript"/>
              </w:rPr>
              <w:t>(1)(2)(3)</w:t>
            </w:r>
          </w:p>
        </w:tc>
        <w:tc>
          <w:tcPr>
            <w:tcW w:w="260" w:type="dxa"/>
            <w:vAlign w:val="bottom"/>
          </w:tcPr>
          <w:p>
            <w:pPr>
              <w:jc w:val="center"/>
              <w:spacing w:after="0"/>
              <w:rPr>
                <w:sz w:val="20"/>
                <w:szCs w:val="20"/>
                <w:color w:val="auto"/>
              </w:rPr>
            </w:pPr>
            <w:r>
              <w:rPr>
                <w:rFonts w:ascii="Arial" w:cs="Arial" w:eastAsia="Arial" w:hAnsi="Arial"/>
                <w:sz w:val="18"/>
                <w:szCs w:val="18"/>
                <w:color w:val="3E5588"/>
                <w:w w:val="89"/>
              </w:rPr>
              <w:t>64</w:t>
            </w:r>
          </w:p>
        </w:tc>
        <w:tc>
          <w:tcPr>
            <w:tcW w:w="3780" w:type="dxa"/>
            <w:vAlign w:val="bottom"/>
            <w:gridSpan w:val="2"/>
          </w:tcPr>
          <w:p>
            <w:pPr>
              <w:ind w:left="160"/>
              <w:spacing w:after="0"/>
              <w:rPr>
                <w:sz w:val="20"/>
                <w:szCs w:val="20"/>
                <w:color w:val="auto"/>
              </w:rPr>
            </w:pPr>
            <w:r>
              <w:rPr>
                <w:rFonts w:ascii="Arial" w:cs="Arial" w:eastAsia="Arial" w:hAnsi="Arial"/>
                <w:sz w:val="18"/>
                <w:szCs w:val="18"/>
                <w:color w:val="3E5588"/>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3E5588"/>
              </w:rPr>
              <w:t>Kate Haviland</w:t>
            </w:r>
            <w:r>
              <w:rPr>
                <w:rFonts w:ascii="Arial" w:cs="Arial" w:eastAsia="Arial" w:hAnsi="Arial"/>
                <w:sz w:val="29"/>
                <w:szCs w:val="29"/>
                <w:color w:val="3E5588"/>
                <w:vertAlign w:val="superscript"/>
              </w:rPr>
              <w:t>(1)</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43</w:t>
            </w:r>
          </w:p>
        </w:tc>
        <w:tc>
          <w:tcPr>
            <w:tcW w:w="3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Director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3E5588"/>
            </w:tcBorders>
          </w:tcPr>
          <w:p>
            <w:pPr>
              <w:spacing w:after="0"/>
              <w:rPr>
                <w:sz w:val="9"/>
                <w:szCs w:val="9"/>
                <w:color w:val="auto"/>
              </w:rPr>
            </w:pPr>
          </w:p>
        </w:tc>
        <w:tc>
          <w:tcPr>
            <w:tcW w:w="580" w:type="dxa"/>
            <w:vAlign w:val="bottom"/>
            <w:tcBorders>
              <w:bottom w:val="single" w:sz="8" w:color="3E5588"/>
            </w:tcBorders>
          </w:tcPr>
          <w:p>
            <w:pPr>
              <w:spacing w:after="0"/>
              <w:rPr>
                <w:sz w:val="9"/>
                <w:szCs w:val="9"/>
                <w:color w:val="auto"/>
              </w:rPr>
            </w:pPr>
          </w:p>
        </w:tc>
        <w:tc>
          <w:tcPr>
            <w:tcW w:w="4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5"/>
        </w:numPr>
        <w:rPr>
          <w:rFonts w:ascii="Arial" w:cs="Arial" w:eastAsia="Arial" w:hAnsi="Arial"/>
          <w:sz w:val="18"/>
          <w:szCs w:val="18"/>
          <w:color w:val="3E5588"/>
        </w:rPr>
      </w:pPr>
      <w:r>
        <w:rPr>
          <w:rFonts w:ascii="Arial" w:cs="Arial" w:eastAsia="Arial" w:hAnsi="Arial"/>
          <w:sz w:val="18"/>
          <w:szCs w:val="18"/>
          <w:color w:val="3E5588"/>
        </w:rPr>
        <w:t>Member of the Audit Committee.</w:t>
      </w:r>
    </w:p>
    <w:p>
      <w:pPr>
        <w:spacing w:after="0" w:line="252" w:lineRule="exact"/>
        <w:rPr>
          <w:rFonts w:ascii="Arial" w:cs="Arial" w:eastAsia="Arial" w:hAnsi="Arial"/>
          <w:sz w:val="18"/>
          <w:szCs w:val="18"/>
          <w:color w:val="3E5588"/>
        </w:rPr>
      </w:pPr>
    </w:p>
    <w:p>
      <w:pPr>
        <w:ind w:left="1680" w:hanging="531"/>
        <w:spacing w:after="0"/>
        <w:tabs>
          <w:tab w:leader="none" w:pos="1680" w:val="left"/>
        </w:tabs>
        <w:numPr>
          <w:ilvl w:val="0"/>
          <w:numId w:val="75"/>
        </w:numPr>
        <w:rPr>
          <w:rFonts w:ascii="Arial" w:cs="Arial" w:eastAsia="Arial" w:hAnsi="Arial"/>
          <w:sz w:val="18"/>
          <w:szCs w:val="18"/>
          <w:color w:val="3E5588"/>
        </w:rPr>
      </w:pPr>
      <w:r>
        <w:rPr>
          <w:rFonts w:ascii="Arial" w:cs="Arial" w:eastAsia="Arial" w:hAnsi="Arial"/>
          <w:sz w:val="18"/>
          <w:szCs w:val="18"/>
          <w:color w:val="3E5588"/>
        </w:rPr>
        <w:t>Member of the Compensation Committee.</w:t>
      </w:r>
    </w:p>
    <w:p>
      <w:pPr>
        <w:spacing w:after="0" w:line="238" w:lineRule="exact"/>
        <w:rPr>
          <w:rFonts w:ascii="Arial" w:cs="Arial" w:eastAsia="Arial" w:hAnsi="Arial"/>
          <w:sz w:val="18"/>
          <w:szCs w:val="18"/>
          <w:color w:val="3E5588"/>
        </w:rPr>
      </w:pPr>
    </w:p>
    <w:p>
      <w:pPr>
        <w:ind w:left="1680" w:hanging="531"/>
        <w:spacing w:after="0"/>
        <w:tabs>
          <w:tab w:leader="none" w:pos="1680" w:val="left"/>
        </w:tabs>
        <w:numPr>
          <w:ilvl w:val="0"/>
          <w:numId w:val="75"/>
        </w:numPr>
        <w:rPr>
          <w:rFonts w:ascii="Arial" w:cs="Arial" w:eastAsia="Arial" w:hAnsi="Arial"/>
          <w:sz w:val="18"/>
          <w:szCs w:val="18"/>
          <w:color w:val="3E5588"/>
        </w:rPr>
      </w:pPr>
      <w:r>
        <w:rPr>
          <w:rFonts w:ascii="Arial" w:cs="Arial" w:eastAsia="Arial" w:hAnsi="Arial"/>
          <w:sz w:val="18"/>
          <w:szCs w:val="18"/>
          <w:color w:val="3E5588"/>
        </w:rPr>
        <w:t>Member of the Nominating and Corporate Governance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Executive Officers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b w:val="1"/>
          <w:bCs w:val="1"/>
          <w:i w:val="1"/>
          <w:iCs w:val="1"/>
          <w:color w:val="3E5588"/>
        </w:rPr>
        <w:t xml:space="preserve">Robert J. Gould, Ph.D. </w:t>
      </w:r>
      <w:r>
        <w:rPr>
          <w:rFonts w:ascii="Arial" w:cs="Arial" w:eastAsia="Arial" w:hAnsi="Arial"/>
          <w:sz w:val="16"/>
          <w:szCs w:val="16"/>
          <w:color w:val="3E5588"/>
        </w:rPr>
        <w:t>has served as our president and chief executive officer and as a member of our board of directors since June 2016. Dr. Gould</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previously served as president and chief executive officer of Epizyme, Inc., or Epizyme, a biopharmaceutical company, from March 2010 to September 2015. Prior to joining Epizyme, he served as director of novel therapeutics at the Broad Institute of Massachusetts Institute of Technology, or MIT, and Harvard, a research institute, from December 2006 to March 2010. Dr. Gould spent 23 years at Merck Research Laboratories, or Merck, a healthcare company, where he held a variety of leadership positions, culminating in the role of vice president, licensing and external research. Dr. Gould received a B.A. from Spring Arbor University and a Ph.D. from the University of Iowa and completed postdoctoral studies at the Johns Hopkins University. We believe that Dr. Gould's extensive leadership experience in the life sciences industry and his extensive knowledge of our company based on his current role as our chief executive officer qualify him to serve on our board of directors.</w:t>
      </w:r>
    </w:p>
    <w:p>
      <w:pPr>
        <w:spacing w:after="0" w:line="172"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b w:val="1"/>
          <w:bCs w:val="1"/>
          <w:i w:val="1"/>
          <w:iCs w:val="1"/>
          <w:color w:val="3E5588"/>
        </w:rPr>
        <w:t xml:space="preserve">Bryan Stuart </w:t>
      </w:r>
      <w:r>
        <w:rPr>
          <w:rFonts w:ascii="Arial" w:cs="Arial" w:eastAsia="Arial" w:hAnsi="Arial"/>
          <w:sz w:val="16"/>
          <w:szCs w:val="16"/>
          <w:color w:val="3E5588"/>
        </w:rPr>
        <w:t>has served as our chief operating officer since December 2018. Mr. Stuart previously served as president and chief executive officer of Yarra</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Therapeutics, LLC, or Yarra, a subsidiary of Array Biopharma, Inc., a biopharmaceutical company focused on genetically defined rare diseases, from December 2017 to August 2018. Prior to joining Yarra, Mr. Stuart served as president of Kastle Therapeutics, LLC, or Kastle, a biopharmaceutical company focused on developing and commercializing treatments for rare diseases, from July 2015 to March 2017 and as president and chief executive officer from March 2017 to November 2017. Prior to joining Kastle, Mr. Stuart was the chief business officer of Civitas Therapeutics, Inc., a biopharmaceutical company, from August 2012 to October 2014, where he led the business development, capital raising, commercial and portfolio management functions, including the sale of Civitas to Acorda Therapeutics, Inc. He previously led business development, corporate development and strategy at both EKR Therapeutics Inc. (acquired by Chiesi Farmaceutici S.p.A.) and Ovation Pharmaceuticals Inc. (acquired by Lundbeck A/S), where he played key roles in each company's growth and ultimate sale. Mr. Stuart began his career as a healthcare investment banker at William Blair &amp; Company. Mr. Stuart received an MBA from the Kellogg School of Management at Northwestern University and a B.S. from the University of Illinois.</w:t>
      </w:r>
    </w:p>
    <w:p>
      <w:pPr>
        <w:spacing w:after="0" w:line="17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3E5588"/>
        </w:rPr>
        <w:t xml:space="preserve">Owen Wallace, Ph.D. </w:t>
      </w:r>
      <w:r>
        <w:rPr>
          <w:rFonts w:ascii="Arial" w:cs="Arial" w:eastAsia="Arial" w:hAnsi="Arial"/>
          <w:sz w:val="18"/>
          <w:szCs w:val="18"/>
          <w:color w:val="3E5588"/>
        </w:rPr>
        <w:t>has served as our chief scientific officer since April 2017. Dr. Wallace previously served as head, global discovery chemistry at</w:t>
      </w:r>
      <w:r>
        <w:rPr>
          <w:rFonts w:ascii="Arial" w:cs="Arial" w:eastAsia="Arial" w:hAnsi="Arial"/>
          <w:sz w:val="18"/>
          <w:szCs w:val="18"/>
          <w:b w:val="1"/>
          <w:bCs w:val="1"/>
          <w:i w:val="1"/>
          <w:iCs w:val="1"/>
          <w:color w:val="3E5588"/>
        </w:rPr>
        <w:t xml:space="preserve"> </w:t>
      </w:r>
      <w:r>
        <w:rPr>
          <w:rFonts w:ascii="Arial" w:cs="Arial" w:eastAsia="Arial" w:hAnsi="Arial"/>
          <w:sz w:val="18"/>
          <w:szCs w:val="18"/>
          <w:color w:val="3E5588"/>
        </w:rPr>
        <w:t>Novartis Institutes for BioMedical Research, or Novartis Institutes, a pharmaceutical company, from May 2013 to April 2017. Prior to joining Novartis Institutes, 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held various positions at Eli Lilly &amp; Company, a pharmaceutical company, including site scientific leader and group senior director from July 2010 to June 2013, senior director, discovery chemistry from August 2009 to July 2010, director, discovery chemistry from December 2005 to August 2009 and head, discovery chemistry research from February 2002 to December 2005. Prior to that, Dr. Wallace was a senior research investigator at Bristol-Myers Squibb, a biopharmaceutical company, from March 1995 to May 2000. Dr. Wallace received his Ph.D. in Organic Chemistry from Yale University and his B.Sc. (Hons) in Chemistry from University College Cork in Ireland.</w:t>
      </w:r>
    </w:p>
    <w:p>
      <w:pPr>
        <w:spacing w:after="0" w:line="19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3E5588"/>
        </w:rPr>
        <w:t xml:space="preserve">Diego Cadavid, M.D. </w:t>
      </w:r>
      <w:r>
        <w:rPr>
          <w:rFonts w:ascii="Arial" w:cs="Arial" w:eastAsia="Arial" w:hAnsi="Arial"/>
          <w:sz w:val="16"/>
          <w:szCs w:val="16"/>
          <w:color w:val="3E5588"/>
        </w:rPr>
        <w:t>has served as our senior vice president, clinical development since July 2018 and served as our vice president, clinical development</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from September 2016 to July 2018. Dr. Cadavid currently serves as an adjunct professor at the University of Massachusetts Medical School. Dr. Cadavid previously served as senior medical director in the MS Clinical Development Group at Biogen Inc., or Biogen, a biotechnology company, from January 2014 to September 2016 and as a director of the Neurology Clinical Group at Biogen from April 2008 to December 2013. Before joining Biogen, Dr. Cadavid spent nine years at Rutgers-New Jersey Medical School where he was Associate Professor of Neurology and Neuroscience. While working at Biogen, Dr. Cadavid served as a consultant at the Center for Immunology and Inflammatory Diseases at the Massachusetts General Hospital in Boston. Dr. Cadavid received an M.D. from Pontificia Universidad Javeriana in Bogota, Colombia.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Non-Employee Directors</w:t>
      </w:r>
    </w:p>
    <w:p>
      <w:pPr>
        <w:spacing w:after="0" w:line="225"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b w:val="1"/>
          <w:bCs w:val="1"/>
          <w:i w:val="1"/>
          <w:iCs w:val="1"/>
          <w:color w:val="3E5588"/>
        </w:rPr>
        <w:t xml:space="preserve">Mark Levin </w:t>
      </w:r>
      <w:r>
        <w:rPr>
          <w:rFonts w:ascii="Arial" w:cs="Arial" w:eastAsia="Arial" w:hAnsi="Arial"/>
          <w:sz w:val="16"/>
          <w:szCs w:val="16"/>
          <w:color w:val="3E5588"/>
        </w:rPr>
        <w:t>has served as a member of our board of directors since August 2015 and chairman of our board of directors since August 2016. Mr. Levin</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currently serves as a partner at Third Rock Ventures, LLC, which he co-founded in 2007. Mr. Levin served as our interim president and chief executive officer from August 2015 to July 2016 and as interim president and chief executive officer of Voyager Therapeutics, Inc., or Voyager, a biotechnology company, from June 2013 to September 2014. He has served as the chairman of the board of directors of Voyager since June 2013. Mr. Levin was formerly on the boards of publicly traded life sciences companies Eleven Biotherapeutics, Inc. from September 2008 to November 2014 and Foundation Medicine, Inc. from 2010 to June 2014. Mr. Levin served as founding chief executive officer of Millennium Pharmaceuticals, Inc., a biopharmaceutical company since acquired by Takeda Pharmaceutical Company Limited, from 1993 to 2005. Mr. Levin received both a B.S. and an M.S. in Chemical and Biochemical Engineering from Washington University in St. Louis. We believe Mr. Levin's experience working with and serving on the boards of directors of life sciences companies and his experience working in the venture capital industry qualifies him to serve on our board of directors.</w:t>
      </w:r>
    </w:p>
    <w:p>
      <w:pPr>
        <w:spacing w:after="0" w:line="17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b w:val="1"/>
          <w:bCs w:val="1"/>
          <w:i w:val="1"/>
          <w:iCs w:val="1"/>
          <w:color w:val="3E5588"/>
        </w:rPr>
        <w:t xml:space="preserve">James J. Collins, Ph.D. </w:t>
      </w:r>
      <w:r>
        <w:rPr>
          <w:rFonts w:ascii="Arial" w:cs="Arial" w:eastAsia="Arial" w:hAnsi="Arial"/>
          <w:sz w:val="16"/>
          <w:szCs w:val="16"/>
          <w:color w:val="3E5588"/>
        </w:rPr>
        <w:t>has served on our board of directors since January 2017. Dr. Collins has served as the Termeer Professor of Medical Engineering</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and Science in the Institute for Medical Engineering and Science and the Department of Biological Engineering at MIT since December 2014. Prior to his joining MIT, from October 1990 to November 2014, Dr. Collins served as a professor in biomedical engineering at Boston University. Dr. Collins received a B.S. in Physics from the College of the Holy Cross and a doctorate in Medical Engineering from the University of Oxford. From 1987 to 1990, he was a Rhodes Scholar. We believe Dr. Collins' extensive industry expertise qualifies him to serve on our board of directors.</w:t>
      </w:r>
    </w:p>
    <w:p>
      <w:pPr>
        <w:spacing w:after="0" w:line="170"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b w:val="1"/>
          <w:bCs w:val="1"/>
          <w:i w:val="1"/>
          <w:iCs w:val="1"/>
          <w:color w:val="3E5588"/>
        </w:rPr>
        <w:t xml:space="preserve">Alan Ezekowitz, MBChB, D.Phil </w:t>
      </w:r>
      <w:r>
        <w:rPr>
          <w:rFonts w:ascii="Arial" w:cs="Arial" w:eastAsia="Arial" w:hAnsi="Arial"/>
          <w:sz w:val="16"/>
          <w:szCs w:val="16"/>
          <w:color w:val="3E5588"/>
        </w:rPr>
        <w:t>has served on our board of directors since December 2016. Dr. Ezekowitz served as the president and chief executive</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officer of Abide Therapeutics, Inc., or Abide, a biopharmaceutical company that he co-founded, from 2011 to May 2019, when Abide was acquired by H. Lundbeck A/S. Prior to founding Abide, Dr. Ezekowitz was the senior vice president and franchise head for disease areas including bone, respiratory, immunology, muscle, dermatology and urology at Merck from March 2006 to March 2011. Prior to joining Merck, Dr. Ezekowitz was the Charles Wilder Professor of Pediatrics at the Harvard Medical School from June 1995 to March 2005 and served as the chief of pediatric services at the Massachusetts General Hospital for Children and the Partners Healthcare System. Additionally, he directed the Laboratory of Developmental Immunology at Massachusetts General Hospital. Dr. Ezekowitz received his medical training at the University of Cape Town in South Africa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received a Doctor of Philosophy degree from Oxford University. We believe Dr. Ezekowitz's leadership experience in the life sciences industry qualifies him to serve on our board of directors.</w:t>
      </w:r>
    </w:p>
    <w:p>
      <w:pPr>
        <w:spacing w:after="0" w:line="186" w:lineRule="exact"/>
        <w:rPr>
          <w:sz w:val="20"/>
          <w:szCs w:val="20"/>
          <w:color w:val="auto"/>
        </w:rPr>
      </w:pPr>
    </w:p>
    <w:p>
      <w:pPr>
        <w:jc w:val="both"/>
        <w:ind w:firstLine="459"/>
        <w:spacing w:after="0" w:line="286" w:lineRule="auto"/>
        <w:rPr>
          <w:sz w:val="20"/>
          <w:szCs w:val="20"/>
          <w:color w:val="auto"/>
        </w:rPr>
      </w:pPr>
      <w:r>
        <w:rPr>
          <w:rFonts w:ascii="Arial" w:cs="Arial" w:eastAsia="Arial" w:hAnsi="Arial"/>
          <w:sz w:val="16"/>
          <w:szCs w:val="16"/>
          <w:b w:val="1"/>
          <w:bCs w:val="1"/>
          <w:i w:val="1"/>
          <w:iCs w:val="1"/>
          <w:color w:val="3E5588"/>
        </w:rPr>
        <w:t xml:space="preserve">James Geraghty </w:t>
      </w:r>
      <w:r>
        <w:rPr>
          <w:rFonts w:ascii="Arial" w:cs="Arial" w:eastAsia="Arial" w:hAnsi="Arial"/>
          <w:sz w:val="16"/>
          <w:szCs w:val="16"/>
          <w:color w:val="3E5588"/>
        </w:rPr>
        <w:t>has served on our board of directors since July 2016. Mr. Geraghty is an industry leader with over 30 years of strategic and leadership</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experience, including more than 20 years as a senior member of executive teams at biotechnology companies developing and commercializing innovative therapies. From May 2013 to December 2016, Mr. Geraghty was an Entrepreneur in Residence at Third Rock Ventures, a leading biotech venture and company-formation fund. From April 2011 to December 2012, Mr. Geraghty served as a senior vice president of Sanofi, a global healthcare company. Prior to that, he served in various senior management roles at Genzyme Corporation, or Genzyme, a biotechnology company, from 1992 to April 2011, including as senior vice president, international development from January 2007 to April 2011. Mr. Geraghty currently serves as chairman of the board of directors of Orchard Therapeutics plc, Idera Pharmaceuticals, Inc., or Idera, and Pieris Pharmaceuticals, Inc., each publicly traded companies, and as a member of the board of directors of Voyager, a publicly traded company. He previously served as chairman of the board of Juniper Pharmaceuticals, Inc. and as a director of bluebird bio Inc. and GTC Biotherapeutics, Inc. Mr. Geraghty received a B.A. in English from Georgetown University, an M.S. in Psychology from the University of Pennsylvania and a J.D. From Yale Law School. We believe Mr. Geraghty's public company board and management experience and his broad and deep knowledge of the industry in which we operate qualifies him to serve on our board of directors.</w:t>
      </w:r>
    </w:p>
    <w:p>
      <w:pPr>
        <w:spacing w:after="0" w:line="181"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b w:val="1"/>
          <w:bCs w:val="1"/>
          <w:i w:val="1"/>
          <w:iCs w:val="1"/>
          <w:color w:val="3E5588"/>
        </w:rPr>
        <w:t xml:space="preserve">Kate Haviland </w:t>
      </w:r>
      <w:r>
        <w:rPr>
          <w:rFonts w:ascii="Arial" w:cs="Arial" w:eastAsia="Arial" w:hAnsi="Arial"/>
          <w:sz w:val="16"/>
          <w:szCs w:val="16"/>
          <w:color w:val="3E5588"/>
        </w:rPr>
        <w:t>has served on our board of directors since June 2018. Ms. Haviland has served as chief operating officer of Blueprint Medicines Corporation,</w:t>
      </w:r>
      <w:r>
        <w:rPr>
          <w:rFonts w:ascii="Arial" w:cs="Arial" w:eastAsia="Arial" w:hAnsi="Arial"/>
          <w:sz w:val="16"/>
          <w:szCs w:val="16"/>
          <w:b w:val="1"/>
          <w:bCs w:val="1"/>
          <w:i w:val="1"/>
          <w:iCs w:val="1"/>
          <w:color w:val="3E5588"/>
        </w:rPr>
        <w:t xml:space="preserve"> </w:t>
      </w:r>
      <w:r>
        <w:rPr>
          <w:rFonts w:ascii="Arial" w:cs="Arial" w:eastAsia="Arial" w:hAnsi="Arial"/>
          <w:sz w:val="16"/>
          <w:szCs w:val="16"/>
          <w:color w:val="3E5588"/>
        </w:rPr>
        <w:t>or Blueprint, a precision therapy company, since February 2019. Prior to her serving as chief operating officer, Ms. Haviland served as chief business officer of Blueprint from January 2016 to January 2019. Prior to that, from April 2014 to December 2015, Ms. Haviland served as vice president, rare diseases and oncology program leadership at Idera, a clinical-stage biopharmaceutical company, where she oversaw all aspects of the product development strategy for Idera's rare disease and oncology pipeline programs, including preclinical research, manufacturing and drug supply, regulatory affairs, clinical development and execution and commercial planning. Prior to joining Idera, from June 2012 to April 2014, Ms. Haviland served as head of commercial development at Sarepta Therapeutics, Inc., a commercial-stage biopharmaceutical company, where she was responsible for product development and commercial planning and for cultivating relationships with key opinion leaders and patient advocacy groups. In addition, Ms. Haviland previously served as executive director of commercial development at PTC Therapeutics, Inc., a biopharmaceutical company, from March 2007 to June 2012 and held corporate development and project management roles at Genzyme, a biotechnology company, from July 2005 to April 2007. Ms. Haviland received a B.A. from Wesleyan University with a double major in biochemistry/molecular biology and economics and an M.B.A. from Harvard Business School. We believe Ms. Haviland's extensive experience working with life sciences companies qualifies her to serve on our board of directors.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Board Composition and Election of Directors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Board Composition</w:t>
      </w:r>
    </w:p>
    <w:p>
      <w:pPr>
        <w:spacing w:after="0" w:line="225"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3E5588"/>
        </w:rPr>
        <w:t>Our board of directors is currently authorized to have eight members and currently consists of six members. Upon the closing of this offering, we will reduce the authorized number of members of our board of directors to six. Our directors hold office until their successors have been elected and qualified or until the earlier of their death, resignation or removal.</w:t>
      </w:r>
    </w:p>
    <w:p>
      <w:pPr>
        <w:spacing w:after="0" w:line="194"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3E5588"/>
        </w:rPr>
        <w:t>Our certificate of incorporation and bylaws that will become effective upon the closing of this offering provide that the authorized number of directors may be changed only by resolution of our board of directors. Our certificate of incorporation and bylaws will also provide that our directors may be removed only for cause by the affirmative vote of the holders of 75% of our shares of capital stock present in person or by proxy and entitled to vote, and that any vacancy on our board of directors, including a vacancy resulting from an enlargement of our board of directors, may be filled only by vote of a majority of our directors then in office.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3E5588"/>
        </w:rPr>
        <w:t>In accordance with the terms of our certificate of incorporation and bylaws that will become effective upon the closing of this offering, our board of directors will be divided into three classes, class I, class II and class III, with members of each class serving staggered three-year terms. Upon the closing of this offering, the members of the classes will be divided as follows:</w:t>
      </w:r>
    </w:p>
    <w:p>
      <w:pPr>
        <w:spacing w:after="0" w:line="208"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6"/>
          <w:szCs w:val="16"/>
          <w:color w:val="3E5588"/>
        </w:rPr>
      </w:pPr>
      <w:r>
        <w:rPr>
          <w:rFonts w:ascii="Arial" w:cs="Arial" w:eastAsia="Arial" w:hAnsi="Arial"/>
          <w:sz w:val="16"/>
          <w:szCs w:val="16"/>
          <w:color w:val="3E5588"/>
        </w:rPr>
        <w:t>the class I directors will be Alan Ezekowitz and Mark Levin, and their term will expire at the annual meeting of stockholders to be held in 2020;</w:t>
      </w:r>
    </w:p>
    <w:p>
      <w:pPr>
        <w:spacing w:after="0" w:line="275"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76"/>
        </w:numPr>
        <w:rPr>
          <w:rFonts w:ascii="Arial" w:cs="Arial" w:eastAsia="Arial" w:hAnsi="Arial"/>
          <w:sz w:val="18"/>
          <w:szCs w:val="18"/>
          <w:color w:val="3E5588"/>
        </w:rPr>
      </w:pPr>
      <w:r>
        <w:rPr>
          <w:rFonts w:ascii="Arial" w:cs="Arial" w:eastAsia="Arial" w:hAnsi="Arial"/>
          <w:sz w:val="18"/>
          <w:szCs w:val="18"/>
          <w:color w:val="3E5588"/>
        </w:rPr>
        <w:t>the class II directors will be James Collins and James Geraghty, and their term will expire at the annual meeting of stockholders to be held in 2021; and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76"/>
        </w:numPr>
        <w:rPr>
          <w:rFonts w:ascii="Arial" w:cs="Arial" w:eastAsia="Arial" w:hAnsi="Arial"/>
          <w:sz w:val="16"/>
          <w:szCs w:val="16"/>
          <w:color w:val="3E5588"/>
        </w:rPr>
      </w:pPr>
      <w:r>
        <w:rPr>
          <w:rFonts w:ascii="Arial" w:cs="Arial" w:eastAsia="Arial" w:hAnsi="Arial"/>
          <w:sz w:val="16"/>
          <w:szCs w:val="16"/>
          <w:color w:val="3E5588"/>
        </w:rPr>
        <w:t>the class III directors will be Robert Gould and Kate Haviland, and their term will expire at the annual meeting of stockholders to be held in 2022.</w:t>
      </w:r>
    </w:p>
    <w:p>
      <w:pPr>
        <w:spacing w:after="0" w:line="248" w:lineRule="exact"/>
        <w:rPr>
          <w:sz w:val="20"/>
          <w:szCs w:val="20"/>
          <w:color w:val="auto"/>
        </w:rPr>
      </w:pPr>
    </w:p>
    <w:p>
      <w:pPr>
        <w:jc w:val="both"/>
        <w:ind w:firstLine="377"/>
        <w:spacing w:after="0" w:line="268" w:lineRule="auto"/>
        <w:rPr>
          <w:sz w:val="20"/>
          <w:szCs w:val="20"/>
          <w:color w:val="auto"/>
        </w:rPr>
      </w:pPr>
      <w:r>
        <w:rPr>
          <w:rFonts w:ascii="Arial" w:cs="Arial" w:eastAsia="Arial" w:hAnsi="Arial"/>
          <w:sz w:val="18"/>
          <w:szCs w:val="18"/>
          <w:color w:val="3E5588"/>
        </w:rPr>
        <w:t>Upon the expiration of the term of a class of directors, directors in that class will be eligible to be elected for a new three-year term at the annual meeting of stockholders in the year in which their term expires.</w:t>
      </w:r>
    </w:p>
    <w:p>
      <w:pPr>
        <w:spacing w:after="0" w:line="186"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3E5588"/>
        </w:rPr>
        <w:t>The classification of our board of directors may have the effect of delaying or preventing changes in our control or management. See "Description of Capital Stock—Delaware Anti-Takeover Law and Certain Charter and Bylaw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Director Independence</w:t>
      </w:r>
    </w:p>
    <w:p>
      <w:pPr>
        <w:spacing w:after="0" w:line="225" w:lineRule="exact"/>
        <w:rPr>
          <w:sz w:val="20"/>
          <w:szCs w:val="20"/>
          <w:color w:val="auto"/>
        </w:rPr>
      </w:pPr>
    </w:p>
    <w:p>
      <w:pPr>
        <w:jc w:val="both"/>
        <w:ind w:firstLine="406"/>
        <w:spacing w:after="0" w:line="285" w:lineRule="auto"/>
        <w:rPr>
          <w:sz w:val="20"/>
          <w:szCs w:val="20"/>
          <w:color w:val="auto"/>
        </w:rPr>
      </w:pPr>
      <w:r>
        <w:rPr>
          <w:rFonts w:ascii="Arial" w:cs="Arial" w:eastAsia="Arial" w:hAnsi="Arial"/>
          <w:sz w:val="16"/>
          <w:szCs w:val="16"/>
          <w:color w:val="3E5588"/>
        </w:rPr>
        <w:t>Applicable Nasdaq rules require a majority of a listed company's board of directors to be comprised of independent directors within one year of listing. In addition, Nasdaq rules require that, subject to specified exceptions, each member of a listed company's audit, compensation and nominating and corporate governance committees be independent under the Securities Exchange Act of 1934, as amended, or the Exchange Act. Audit committee members must also satisfy the independence criteria set forth in Rule 10A-3 under the Exchange Act and compensation committee members must also satisfy the independence criteria set forth in Rule 10C-1 under the Exchange Act.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the company or any of its subsidiaries or affiliates.</w:t>
      </w:r>
    </w:p>
    <w:p>
      <w:pPr>
        <w:spacing w:after="0" w:line="182"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3E5588"/>
        </w:rPr>
        <w:t>In June 2019,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our directors, with the exception of Dr. Gould,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3E5588"/>
        </w:rPr>
        <w:t>independence, including the beneficial ownership of our capital stock by each non-employee director. Dr. Gould is not an independent director under these rules because he is our president and chief executive officer.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There are no family relationships among any of our directors or executive officers.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Board Committees</w:t>
      </w:r>
    </w:p>
    <w:p>
      <w:pPr>
        <w:spacing w:after="0" w:line="231" w:lineRule="exact"/>
        <w:rPr>
          <w:sz w:val="20"/>
          <w:szCs w:val="20"/>
          <w:color w:val="auto"/>
        </w:rPr>
      </w:pPr>
    </w:p>
    <w:p>
      <w:pPr>
        <w:ind w:firstLine="366"/>
        <w:spacing w:after="0" w:line="332" w:lineRule="auto"/>
        <w:rPr>
          <w:sz w:val="20"/>
          <w:szCs w:val="20"/>
          <w:color w:val="auto"/>
        </w:rPr>
      </w:pPr>
      <w:r>
        <w:rPr>
          <w:rFonts w:ascii="Arial" w:cs="Arial" w:eastAsia="Arial" w:hAnsi="Arial"/>
          <w:sz w:val="16"/>
          <w:szCs w:val="16"/>
          <w:color w:val="3E5588"/>
        </w:rPr>
        <w:t>Our board of directors has established an audit committee, a compensation committee and a nominating and corporate governance committee, each of which operates under a charter that has been approved by our board. The composition of each committee became effective as of the date of this prospectus.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Audit Committee</w:t>
      </w:r>
    </w:p>
    <w:p>
      <w:pPr>
        <w:spacing w:after="0" w:line="225" w:lineRule="exact"/>
        <w:rPr>
          <w:sz w:val="20"/>
          <w:szCs w:val="20"/>
          <w:color w:val="auto"/>
        </w:rPr>
      </w:pPr>
    </w:p>
    <w:p>
      <w:pPr>
        <w:ind w:firstLine="358"/>
        <w:spacing w:after="0" w:line="268" w:lineRule="auto"/>
        <w:rPr>
          <w:sz w:val="20"/>
          <w:szCs w:val="20"/>
          <w:color w:val="auto"/>
        </w:rPr>
      </w:pPr>
      <w:r>
        <w:rPr>
          <w:rFonts w:ascii="Arial" w:cs="Arial" w:eastAsia="Arial" w:hAnsi="Arial"/>
          <w:sz w:val="18"/>
          <w:szCs w:val="18"/>
          <w:color w:val="3E5588"/>
        </w:rPr>
        <w:t>The members of our audit committee are Alan Ezekowitz, James Geraghty and Kate Haviland. Alan Ezekowitz is the chair of the audit committee. Our audit committee's responsibilities include:</w:t>
      </w:r>
    </w:p>
    <w:p>
      <w:pPr>
        <w:spacing w:after="0" w:line="19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appointing, approving the compensation of, and assessing the independence of our registered public accounting firm;</w:t>
      </w:r>
    </w:p>
    <w:p>
      <w:pPr>
        <w:spacing w:after="0" w:line="25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77"/>
        </w:numPr>
        <w:rPr>
          <w:rFonts w:ascii="Arial" w:cs="Arial" w:eastAsia="Arial" w:hAnsi="Arial"/>
          <w:sz w:val="16"/>
          <w:szCs w:val="16"/>
          <w:color w:val="3E5588"/>
        </w:rPr>
      </w:pPr>
      <w:r>
        <w:rPr>
          <w:rFonts w:ascii="Arial" w:cs="Arial" w:eastAsia="Arial" w:hAnsi="Arial"/>
          <w:sz w:val="16"/>
          <w:szCs w:val="16"/>
          <w:color w:val="3E5588"/>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overseeing our risk assessment and risk management policies;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establishing procedures for the receipt and retention of accounting related complaints and concerns;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meeting independently with our internal auditing staff, if any, our independent registered public accounting firm and management;</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reviewing and approving or ratifying any related person transactions;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77"/>
        </w:numPr>
        <w:rPr>
          <w:rFonts w:ascii="Arial" w:cs="Arial" w:eastAsia="Arial" w:hAnsi="Arial"/>
          <w:sz w:val="18"/>
          <w:szCs w:val="18"/>
          <w:color w:val="3E5588"/>
        </w:rPr>
      </w:pPr>
      <w:r>
        <w:rPr>
          <w:rFonts w:ascii="Arial" w:cs="Arial" w:eastAsia="Arial" w:hAnsi="Arial"/>
          <w:sz w:val="18"/>
          <w:szCs w:val="18"/>
          <w:color w:val="3E5588"/>
        </w:rPr>
        <w:t>preparing the audit committee report required by SEC rules.</w:t>
      </w:r>
    </w:p>
    <w:p>
      <w:pPr>
        <w:spacing w:after="0" w:line="225"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3E5588"/>
        </w:rPr>
        <w:t xml:space="preserve">All audit and non-audit services, other than </w:t>
      </w:r>
      <w:r>
        <w:rPr>
          <w:rFonts w:ascii="Arial" w:cs="Arial" w:eastAsia="Arial" w:hAnsi="Arial"/>
          <w:sz w:val="18"/>
          <w:szCs w:val="18"/>
          <w:i w:val="1"/>
          <w:iCs w:val="1"/>
          <w:color w:val="3E5588"/>
        </w:rPr>
        <w:t>de minimis</w:t>
      </w:r>
      <w:r>
        <w:rPr>
          <w:rFonts w:ascii="Arial" w:cs="Arial" w:eastAsia="Arial" w:hAnsi="Arial"/>
          <w:sz w:val="18"/>
          <w:szCs w:val="18"/>
          <w:color w:val="3E5588"/>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jc w:val="both"/>
        <w:ind w:firstLine="433"/>
        <w:spacing w:after="0" w:line="291" w:lineRule="auto"/>
        <w:rPr>
          <w:sz w:val="20"/>
          <w:szCs w:val="20"/>
          <w:color w:val="auto"/>
        </w:rPr>
      </w:pPr>
      <w:r>
        <w:rPr>
          <w:rFonts w:ascii="Arial" w:cs="Arial" w:eastAsia="Arial" w:hAnsi="Arial"/>
          <w:sz w:val="16"/>
          <w:szCs w:val="16"/>
          <w:color w:val="3E5588"/>
        </w:rPr>
        <w:t>Our board of directors has determined that we do not have an "audit committee financial expert" as defined by applicable SEC rules serving on our audit committee. Our board of directors believes that, given the size and stage of development of our company, an audit committee financial expert is not necessary at this time because the collective financial and business expertise of the members of the audit committee is sufficient to satisfy the functions of the audit committee under the terms of the audit committee charter. In making this determination, our board of directors considered the formal education and nature and scope of our audit committee members' previous experience. We believe that the composition of our audit committee meets the requirements for independence under current Nasdaq and SEC rules and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Compensation Committee</w:t>
      </w:r>
    </w:p>
    <w:p>
      <w:pPr>
        <w:spacing w:after="0" w:line="225" w:lineRule="exact"/>
        <w:rPr>
          <w:sz w:val="20"/>
          <w:szCs w:val="20"/>
          <w:color w:val="auto"/>
        </w:rPr>
      </w:pPr>
    </w:p>
    <w:p>
      <w:pPr>
        <w:ind w:right="20" w:firstLine="572"/>
        <w:spacing w:after="0" w:line="268" w:lineRule="auto"/>
        <w:rPr>
          <w:sz w:val="20"/>
          <w:szCs w:val="20"/>
          <w:color w:val="auto"/>
        </w:rPr>
      </w:pPr>
      <w:r>
        <w:rPr>
          <w:rFonts w:ascii="Arial" w:cs="Arial" w:eastAsia="Arial" w:hAnsi="Arial"/>
          <w:sz w:val="18"/>
          <w:szCs w:val="18"/>
          <w:color w:val="3E5588"/>
        </w:rPr>
        <w:t>The members of our compensation committee are Mark Levin, Alan Ezekowitz and James Geraghty. Mark Levin is the chair of the compensation committee. Our compensation committee's responsibilities include:</w:t>
      </w:r>
    </w:p>
    <w:p>
      <w:pPr>
        <w:spacing w:after="0" w:line="199" w:lineRule="exact"/>
        <w:rPr>
          <w:sz w:val="20"/>
          <w:szCs w:val="20"/>
          <w:color w:val="auto"/>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3E5588"/>
        </w:rPr>
      </w:pPr>
      <w:r>
        <w:rPr>
          <w:rFonts w:ascii="Arial" w:cs="Arial" w:eastAsia="Arial" w:hAnsi="Arial"/>
          <w:sz w:val="18"/>
          <w:szCs w:val="18"/>
          <w:color w:val="3E5588"/>
        </w:rPr>
        <w:t>reviewing and approving, or making recommendations to our board of directors with respect to, the compensation of our chief executive officer and our other executive officers;</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78"/>
        </w:numPr>
        <w:rPr>
          <w:rFonts w:ascii="Arial" w:cs="Arial" w:eastAsia="Arial" w:hAnsi="Arial"/>
          <w:sz w:val="18"/>
          <w:szCs w:val="18"/>
          <w:color w:val="3E5588"/>
        </w:rPr>
      </w:pPr>
      <w:r>
        <w:rPr>
          <w:rFonts w:ascii="Arial" w:cs="Arial" w:eastAsia="Arial" w:hAnsi="Arial"/>
          <w:sz w:val="18"/>
          <w:szCs w:val="18"/>
          <w:color w:val="3E5588"/>
        </w:rPr>
        <w:t>overseeing an evaluation of our senior executives;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78"/>
        </w:numPr>
        <w:rPr>
          <w:rFonts w:ascii="Arial" w:cs="Arial" w:eastAsia="Arial" w:hAnsi="Arial"/>
          <w:sz w:val="18"/>
          <w:szCs w:val="18"/>
          <w:color w:val="3E5588"/>
        </w:rPr>
      </w:pPr>
      <w:r>
        <w:rPr>
          <w:rFonts w:ascii="Arial" w:cs="Arial" w:eastAsia="Arial" w:hAnsi="Arial"/>
          <w:sz w:val="18"/>
          <w:szCs w:val="18"/>
          <w:color w:val="3E5588"/>
        </w:rPr>
        <w:t>overseeing and administering our cash and equity incentive plans;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78"/>
        </w:numPr>
        <w:rPr>
          <w:rFonts w:ascii="Arial" w:cs="Arial" w:eastAsia="Arial" w:hAnsi="Arial"/>
          <w:sz w:val="18"/>
          <w:szCs w:val="18"/>
          <w:color w:val="3E5588"/>
        </w:rPr>
      </w:pPr>
      <w:r>
        <w:rPr>
          <w:rFonts w:ascii="Arial" w:cs="Arial" w:eastAsia="Arial" w:hAnsi="Arial"/>
          <w:sz w:val="18"/>
          <w:szCs w:val="18"/>
          <w:color w:val="3E5588"/>
        </w:rPr>
        <w:t>reviewing and making recommendations to our board of directors with respect to director compensation;</w:t>
      </w:r>
    </w:p>
    <w:p>
      <w:pPr>
        <w:spacing w:after="0" w:line="25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78"/>
        </w:numPr>
        <w:rPr>
          <w:rFonts w:ascii="Arial" w:cs="Arial" w:eastAsia="Arial" w:hAnsi="Arial"/>
          <w:sz w:val="18"/>
          <w:szCs w:val="18"/>
          <w:color w:val="3E5588"/>
        </w:rPr>
      </w:pPr>
      <w:r>
        <w:rPr>
          <w:rFonts w:ascii="Arial" w:cs="Arial" w:eastAsia="Arial" w:hAnsi="Arial"/>
          <w:sz w:val="18"/>
          <w:szCs w:val="18"/>
          <w:color w:val="3E5588"/>
        </w:rPr>
        <w:t>reviewing and discussing annually with management our "Compensation Discussion and Analysis" disclosure if and to the extent then required by SEC rules; and</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78"/>
        </w:numPr>
        <w:rPr>
          <w:rFonts w:ascii="Arial" w:cs="Arial" w:eastAsia="Arial" w:hAnsi="Arial"/>
          <w:sz w:val="18"/>
          <w:szCs w:val="18"/>
          <w:color w:val="3E5588"/>
        </w:rPr>
      </w:pPr>
      <w:r>
        <w:rPr>
          <w:rFonts w:ascii="Arial" w:cs="Arial" w:eastAsia="Arial" w:hAnsi="Arial"/>
          <w:sz w:val="18"/>
          <w:szCs w:val="18"/>
          <w:color w:val="3E5588"/>
        </w:rPr>
        <w:t>preparing the compensation committee report if and to the extent then required by SEC rules.</w:t>
      </w:r>
    </w:p>
    <w:p>
      <w:pPr>
        <w:spacing w:after="0" w:line="225" w:lineRule="exact"/>
        <w:rPr>
          <w:sz w:val="20"/>
          <w:szCs w:val="20"/>
          <w:color w:val="auto"/>
        </w:rPr>
      </w:pPr>
    </w:p>
    <w:p>
      <w:pPr>
        <w:ind w:firstLine="549"/>
        <w:spacing w:after="0" w:line="268" w:lineRule="auto"/>
        <w:rPr>
          <w:sz w:val="20"/>
          <w:szCs w:val="20"/>
          <w:color w:val="auto"/>
        </w:rPr>
      </w:pPr>
      <w:r>
        <w:rPr>
          <w:rFonts w:ascii="Arial" w:cs="Arial" w:eastAsia="Arial" w:hAnsi="Arial"/>
          <w:sz w:val="18"/>
          <w:szCs w:val="18"/>
          <w:color w:val="3E5588"/>
        </w:rPr>
        <w:t>We believe that the composition of our compensation committee meets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Nominating and Corporate Governance Committee</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3E5588"/>
        </w:rPr>
        <w:t>The members of our nominating and corporate governance committee are James Geraghty, James Collins and Mark Levin. James Geraghty is the chair of the nominating and corporate governance committee. Our nominating and corporate governance committee's responsibilities include:</w:t>
      </w:r>
    </w:p>
    <w:p>
      <w:pPr>
        <w:spacing w:after="0" w:line="153"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6"/>
          <w:szCs w:val="16"/>
          <w:color w:val="3E5588"/>
        </w:rPr>
      </w:pPr>
      <w:r>
        <w:rPr>
          <w:rFonts w:ascii="Arial" w:cs="Arial" w:eastAsia="Arial" w:hAnsi="Arial"/>
          <w:sz w:val="16"/>
          <w:szCs w:val="16"/>
          <w:color w:val="3E5588"/>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3E5588"/>
        </w:rPr>
      </w:pPr>
    </w:p>
    <w:p>
      <w:pPr>
        <w:ind w:left="1080" w:hanging="532"/>
        <w:spacing w:after="0"/>
        <w:tabs>
          <w:tab w:leader="none" w:pos="1080" w:val="left"/>
        </w:tabs>
        <w:numPr>
          <w:ilvl w:val="0"/>
          <w:numId w:val="79"/>
        </w:numPr>
        <w:rPr>
          <w:rFonts w:ascii="Arial" w:cs="Arial" w:eastAsia="Arial" w:hAnsi="Arial"/>
          <w:sz w:val="18"/>
          <w:szCs w:val="18"/>
          <w:color w:val="3E5588"/>
        </w:rPr>
      </w:pPr>
      <w:r>
        <w:rPr>
          <w:rFonts w:ascii="Arial" w:cs="Arial" w:eastAsia="Arial" w:hAnsi="Arial"/>
          <w:sz w:val="18"/>
          <w:szCs w:val="18"/>
          <w:color w:val="3E5588"/>
        </w:rPr>
        <w:t>reviewing and making recommendations to our board with respect to our board leadership structure;</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79"/>
        </w:numPr>
        <w:rPr>
          <w:rFonts w:ascii="Arial" w:cs="Arial" w:eastAsia="Arial" w:hAnsi="Arial"/>
          <w:sz w:val="18"/>
          <w:szCs w:val="18"/>
          <w:color w:val="3E5588"/>
        </w:rPr>
      </w:pPr>
      <w:r>
        <w:rPr>
          <w:rFonts w:ascii="Arial" w:cs="Arial" w:eastAsia="Arial" w:hAnsi="Arial"/>
          <w:sz w:val="18"/>
          <w:szCs w:val="18"/>
          <w:color w:val="3E5588"/>
        </w:rPr>
        <w:t>reviewing and making recommendations to our board with respect to management succession planning;</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79"/>
        </w:numPr>
        <w:rPr>
          <w:rFonts w:ascii="Arial" w:cs="Arial" w:eastAsia="Arial" w:hAnsi="Arial"/>
          <w:sz w:val="18"/>
          <w:szCs w:val="18"/>
          <w:color w:val="3E5588"/>
        </w:rPr>
      </w:pPr>
      <w:r>
        <w:rPr>
          <w:rFonts w:ascii="Arial" w:cs="Arial" w:eastAsia="Arial" w:hAnsi="Arial"/>
          <w:sz w:val="18"/>
          <w:szCs w:val="18"/>
          <w:color w:val="3E5588"/>
        </w:rPr>
        <w:t>developing and recommending to our board of directors corporate governance principles; and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79"/>
        </w:numPr>
        <w:rPr>
          <w:rFonts w:ascii="Arial" w:cs="Arial" w:eastAsia="Arial" w:hAnsi="Arial"/>
          <w:sz w:val="18"/>
          <w:szCs w:val="18"/>
          <w:color w:val="3E5588"/>
        </w:rPr>
      </w:pPr>
      <w:r>
        <w:rPr>
          <w:rFonts w:ascii="Arial" w:cs="Arial" w:eastAsia="Arial" w:hAnsi="Arial"/>
          <w:sz w:val="18"/>
          <w:szCs w:val="18"/>
          <w:color w:val="3E5588"/>
        </w:rPr>
        <w:t>overseeing an annual evaluation of our board of directors.</w:t>
      </w:r>
    </w:p>
    <w:p>
      <w:pPr>
        <w:spacing w:after="0" w:line="225"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color w:val="3E5588"/>
        </w:rPr>
        <w:t>We believe that the composition of our nominating and corporate governance committee meets the requirements for independence under current Nasdaq and SEC rules and regulations.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Compensation Committee Interlocks and Insider Participation</w:t>
      </w:r>
    </w:p>
    <w:p>
      <w:pPr>
        <w:spacing w:after="0" w:line="23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3E5588"/>
        </w:rPr>
        <w:t>None of our executive officers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Code of Ethics and Code of Conduct</w:t>
      </w:r>
    </w:p>
    <w:p>
      <w:pPr>
        <w:spacing w:after="0" w:line="231" w:lineRule="exact"/>
        <w:rPr>
          <w:sz w:val="20"/>
          <w:szCs w:val="20"/>
          <w:color w:val="auto"/>
        </w:rPr>
      </w:pPr>
    </w:p>
    <w:p>
      <w:pPr>
        <w:jc w:val="both"/>
        <w:ind w:firstLine="367"/>
        <w:spacing w:after="0" w:line="298" w:lineRule="auto"/>
        <w:rPr>
          <w:sz w:val="20"/>
          <w:szCs w:val="20"/>
          <w:color w:val="auto"/>
        </w:rPr>
      </w:pPr>
      <w:r>
        <w:rPr>
          <w:rFonts w:ascii="Arial" w:cs="Arial" w:eastAsia="Arial" w:hAnsi="Arial"/>
          <w:sz w:val="16"/>
          <w:szCs w:val="16"/>
          <w:color w:val="3E5588"/>
        </w:rPr>
        <w:t>We have adopted a written code of business conduct and ethics, which became effective at the time of this offering, that applies to our directors, officers and employees, including our principal executive officer, principal financial officer, principal accounting officer or controller, or persons performing similar functions. We have posted a current copy of the code on our website, www.fulcrumtx.com. In addition, we intend to post on our website all disclosures that are required by law or Nasdaq listing standards concerning any amendments to, or waivers from, any provision of the code.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EXECUTIVE COMPENSATION</w:t>
      </w:r>
    </w:p>
    <w:p>
      <w:pPr>
        <w:spacing w:after="0" w:line="231" w:lineRule="exact"/>
        <w:rPr>
          <w:sz w:val="20"/>
          <w:szCs w:val="20"/>
          <w:color w:val="auto"/>
        </w:rPr>
      </w:pPr>
    </w:p>
    <w:p>
      <w:pPr>
        <w:jc w:val="both"/>
        <w:ind w:firstLine="377"/>
        <w:spacing w:after="0" w:line="259" w:lineRule="auto"/>
        <w:rPr>
          <w:sz w:val="20"/>
          <w:szCs w:val="20"/>
          <w:color w:val="auto"/>
        </w:rPr>
      </w:pPr>
      <w:r>
        <w:rPr>
          <w:rFonts w:ascii="Arial" w:cs="Arial" w:eastAsia="Arial" w:hAnsi="Arial"/>
          <w:sz w:val="18"/>
          <w:szCs w:val="18"/>
          <w:color w:val="3E5588"/>
        </w:rPr>
        <w:t>The following discussion relates to the compensation of our president and chief executive officer, Robert J. Gould, our chief operating officer, Bryan Stuart, and our senior vice president, clinical development, Diego Cadavid, for fiscal year 2018. Dr. Gould, Mr. Stuart and Dr. Cadavid are collectively referred to in this prospectus as our named executive officers.</w:t>
      </w:r>
    </w:p>
    <w:p>
      <w:pPr>
        <w:spacing w:after="0" w:line="194"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3E5588"/>
        </w:rPr>
        <w:t>In preparing to become a public company, we have begun a thorough review of all elements of our executive compensation program, including the function and design of our equity incentive programs. We have begun, and expect to continue in the coming months, to evaluate the need for revisions to our executive compensation program to ensure that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Summary Compensation Table</w:t>
      </w:r>
    </w:p>
    <w:p>
      <w:pPr>
        <w:spacing w:after="0" w:line="231"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8"/>
          <w:szCs w:val="18"/>
          <w:color w:val="3E5588"/>
        </w:rPr>
        <w:t>The following table sets forth information regarding compensation awarded to, earned by or paid to each of our named executive officers for the year ended December 31, 2018.</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02"/>
              <w:spacing w:after="0"/>
              <w:rPr>
                <w:sz w:val="20"/>
                <w:szCs w:val="20"/>
                <w:color w:val="auto"/>
              </w:rPr>
            </w:pPr>
            <w:r>
              <w:rPr>
                <w:rFonts w:ascii="Arial" w:cs="Arial" w:eastAsia="Arial" w:hAnsi="Arial"/>
                <w:sz w:val="14"/>
                <w:szCs w:val="14"/>
                <w:b w:val="1"/>
                <w:bCs w:val="1"/>
                <w:color w:val="3E5588"/>
              </w:rPr>
              <w:t>Salary</w:t>
            </w:r>
          </w:p>
        </w:tc>
        <w:tc>
          <w:tcPr>
            <w:tcW w:w="1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4"/>
                <w:szCs w:val="14"/>
                <w:b w:val="1"/>
                <w:bCs w:val="1"/>
                <w:color w:val="3E5588"/>
              </w:rPr>
              <w:t>Bonus</w:t>
            </w: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3E5588"/>
                <w:w w:val="93"/>
              </w:rPr>
              <w:t>Stock awards</w:t>
            </w:r>
          </w:p>
        </w:tc>
        <w:tc>
          <w:tcPr>
            <w:tcW w:w="160" w:type="dxa"/>
            <w:vAlign w:val="bottom"/>
          </w:tcPr>
          <w:p>
            <w:pPr>
              <w:spacing w:after="0"/>
              <w:rPr>
                <w:sz w:val="14"/>
                <w:szCs w:val="14"/>
                <w:color w:val="auto"/>
              </w:rPr>
            </w:pPr>
          </w:p>
        </w:tc>
        <w:tc>
          <w:tcPr>
            <w:tcW w:w="1040" w:type="dxa"/>
            <w:vAlign w:val="bottom"/>
          </w:tcPr>
          <w:p>
            <w:pPr>
              <w:jc w:val="right"/>
              <w:ind w:right="22"/>
              <w:spacing w:after="0"/>
              <w:rPr>
                <w:sz w:val="20"/>
                <w:szCs w:val="20"/>
                <w:color w:val="auto"/>
              </w:rPr>
            </w:pPr>
            <w:r>
              <w:rPr>
                <w:rFonts w:ascii="Arial" w:cs="Arial" w:eastAsia="Arial" w:hAnsi="Arial"/>
                <w:sz w:val="14"/>
                <w:szCs w:val="14"/>
                <w:b w:val="1"/>
                <w:bCs w:val="1"/>
                <w:color w:val="3E5588"/>
                <w:w w:val="94"/>
              </w:rPr>
              <w:t>Option awards</w:t>
            </w:r>
          </w:p>
        </w:tc>
        <w:tc>
          <w:tcPr>
            <w:tcW w:w="160" w:type="dxa"/>
            <w:vAlign w:val="bottom"/>
          </w:tcPr>
          <w:p>
            <w:pPr>
              <w:spacing w:after="0"/>
              <w:rPr>
                <w:sz w:val="14"/>
                <w:szCs w:val="14"/>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3E5588"/>
              </w:rPr>
              <w:t>Total</w:t>
            </w:r>
          </w:p>
        </w:tc>
      </w:tr>
      <w:tr>
        <w:trPr>
          <w:trHeight w:val="176"/>
        </w:trPr>
        <w:tc>
          <w:tcPr>
            <w:tcW w:w="3360" w:type="dxa"/>
            <w:vAlign w:val="bottom"/>
            <w:gridSpan w:val="4"/>
          </w:tcPr>
          <w:p>
            <w:pPr>
              <w:spacing w:after="0"/>
              <w:rPr>
                <w:sz w:val="20"/>
                <w:szCs w:val="20"/>
                <w:color w:val="auto"/>
              </w:rPr>
            </w:pPr>
            <w:r>
              <w:rPr>
                <w:rFonts w:ascii="Arial" w:cs="Arial" w:eastAsia="Arial" w:hAnsi="Arial"/>
                <w:sz w:val="14"/>
                <w:szCs w:val="14"/>
                <w:b w:val="1"/>
                <w:bCs w:val="1"/>
                <w:color w:val="3E5588"/>
              </w:rPr>
              <w:t>Name and Principal Position</w:t>
            </w:r>
          </w:p>
        </w:tc>
        <w:tc>
          <w:tcPr>
            <w:tcW w:w="160" w:type="dxa"/>
            <w:vAlign w:val="bottom"/>
          </w:tcPr>
          <w:p>
            <w:pPr>
              <w:spacing w:after="0"/>
              <w:rPr>
                <w:sz w:val="15"/>
                <w:szCs w:val="15"/>
                <w:color w:val="auto"/>
              </w:rPr>
            </w:pPr>
          </w:p>
        </w:tc>
        <w:tc>
          <w:tcPr>
            <w:tcW w:w="500" w:type="dxa"/>
            <w:vAlign w:val="bottom"/>
          </w:tcPr>
          <w:p>
            <w:pPr>
              <w:jc w:val="right"/>
              <w:ind w:right="42"/>
              <w:spacing w:after="0"/>
              <w:rPr>
                <w:sz w:val="20"/>
                <w:szCs w:val="20"/>
                <w:color w:val="auto"/>
              </w:rPr>
            </w:pPr>
            <w:r>
              <w:rPr>
                <w:rFonts w:ascii="Arial" w:cs="Arial" w:eastAsia="Arial" w:hAnsi="Arial"/>
                <w:sz w:val="14"/>
                <w:szCs w:val="14"/>
                <w:b w:val="1"/>
                <w:bCs w:val="1"/>
                <w:color w:val="3E5588"/>
              </w:rPr>
              <w:t>Year</w:t>
            </w:r>
          </w:p>
        </w:tc>
        <w:tc>
          <w:tcPr>
            <w:tcW w:w="88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3E5588"/>
              </w:rPr>
              <w:t>($)</w:t>
            </w:r>
          </w:p>
        </w:tc>
        <w:tc>
          <w:tcPr>
            <w:tcW w:w="860" w:type="dxa"/>
            <w:vAlign w:val="bottom"/>
            <w:gridSpan w:val="2"/>
          </w:tcPr>
          <w:p>
            <w:pPr>
              <w:jc w:val="right"/>
              <w:ind w:right="139"/>
              <w:spacing w:after="0" w:line="176" w:lineRule="exact"/>
              <w:rPr>
                <w:sz w:val="20"/>
                <w:szCs w:val="20"/>
                <w:color w:val="auto"/>
              </w:rPr>
            </w:pPr>
            <w:r>
              <w:rPr>
                <w:rFonts w:ascii="Arial" w:cs="Arial" w:eastAsia="Arial" w:hAnsi="Arial"/>
                <w:sz w:val="13"/>
                <w:szCs w:val="13"/>
                <w:b w:val="1"/>
                <w:bCs w:val="1"/>
                <w:color w:val="3E5588"/>
              </w:rPr>
              <w:t>($)</w:t>
            </w:r>
            <w:r>
              <w:rPr>
                <w:rFonts w:ascii="Arial" w:cs="Arial" w:eastAsia="Arial" w:hAnsi="Arial"/>
                <w:sz w:val="20"/>
                <w:szCs w:val="20"/>
                <w:b w:val="1"/>
                <w:bCs w:val="1"/>
                <w:color w:val="3E5588"/>
                <w:vertAlign w:val="superscript"/>
              </w:rPr>
              <w:t>(1)</w:t>
            </w:r>
          </w:p>
        </w:tc>
        <w:tc>
          <w:tcPr>
            <w:tcW w:w="1100" w:type="dxa"/>
            <w:vAlign w:val="bottom"/>
            <w:gridSpan w:val="2"/>
          </w:tcPr>
          <w:p>
            <w:pPr>
              <w:jc w:val="right"/>
              <w:ind w:right="259"/>
              <w:spacing w:after="0" w:line="176" w:lineRule="exact"/>
              <w:rPr>
                <w:sz w:val="20"/>
                <w:szCs w:val="20"/>
                <w:color w:val="auto"/>
              </w:rPr>
            </w:pPr>
            <w:r>
              <w:rPr>
                <w:rFonts w:ascii="Arial" w:cs="Arial" w:eastAsia="Arial" w:hAnsi="Arial"/>
                <w:sz w:val="13"/>
                <w:szCs w:val="13"/>
                <w:b w:val="1"/>
                <w:bCs w:val="1"/>
                <w:color w:val="3E5588"/>
              </w:rPr>
              <w:t>($)</w:t>
            </w:r>
            <w:r>
              <w:rPr>
                <w:rFonts w:ascii="Arial" w:cs="Arial" w:eastAsia="Arial" w:hAnsi="Arial"/>
                <w:sz w:val="20"/>
                <w:szCs w:val="20"/>
                <w:b w:val="1"/>
                <w:bCs w:val="1"/>
                <w:color w:val="3E5588"/>
                <w:vertAlign w:val="superscript"/>
              </w:rPr>
              <w:t>(2)</w:t>
            </w:r>
          </w:p>
        </w:tc>
        <w:tc>
          <w:tcPr>
            <w:tcW w:w="1200" w:type="dxa"/>
            <w:vAlign w:val="bottom"/>
            <w:gridSpan w:val="2"/>
          </w:tcPr>
          <w:p>
            <w:pPr>
              <w:jc w:val="right"/>
              <w:ind w:right="302"/>
              <w:spacing w:after="0" w:line="176" w:lineRule="exact"/>
              <w:rPr>
                <w:sz w:val="20"/>
                <w:szCs w:val="20"/>
                <w:color w:val="auto"/>
              </w:rPr>
            </w:pPr>
            <w:r>
              <w:rPr>
                <w:rFonts w:ascii="Arial" w:cs="Arial" w:eastAsia="Arial" w:hAnsi="Arial"/>
                <w:sz w:val="13"/>
                <w:szCs w:val="13"/>
                <w:b w:val="1"/>
                <w:bCs w:val="1"/>
                <w:color w:val="3E5588"/>
              </w:rPr>
              <w:t>($)</w:t>
            </w:r>
            <w:r>
              <w:rPr>
                <w:rFonts w:ascii="Arial" w:cs="Arial" w:eastAsia="Arial" w:hAnsi="Arial"/>
                <w:sz w:val="20"/>
                <w:szCs w:val="20"/>
                <w:b w:val="1"/>
                <w:bCs w:val="1"/>
                <w:color w:val="3E5588"/>
                <w:vertAlign w:val="superscript"/>
              </w:rPr>
              <w:t>(3)</w:t>
            </w:r>
          </w:p>
        </w:tc>
        <w:tc>
          <w:tcPr>
            <w:tcW w:w="10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3E5588"/>
              </w:rPr>
              <w:t>($)</w:t>
            </w:r>
          </w:p>
        </w:tc>
        <w:tc>
          <w:tcPr>
            <w:tcW w:w="16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3E5588"/>
            </w:tcBorders>
            <w:gridSpan w:val="2"/>
            <w:shd w:val="clear" w:color="auto" w:fill="CCEEFF"/>
          </w:tcPr>
          <w:p>
            <w:pPr>
              <w:spacing w:after="0"/>
              <w:rPr>
                <w:sz w:val="20"/>
                <w:szCs w:val="20"/>
                <w:color w:val="auto"/>
              </w:rPr>
            </w:pPr>
            <w:r>
              <w:rPr>
                <w:rFonts w:ascii="Arial" w:cs="Arial" w:eastAsia="Arial" w:hAnsi="Arial"/>
                <w:sz w:val="18"/>
                <w:szCs w:val="18"/>
                <w:color w:val="3E5588"/>
              </w:rPr>
              <w:t>Robert J. Gould</w:t>
            </w: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2018</w:t>
            </w:r>
          </w:p>
        </w:tc>
        <w:tc>
          <w:tcPr>
            <w:tcW w:w="160" w:type="dxa"/>
            <w:vAlign w:val="bottom"/>
            <w:shd w:val="clear" w:color="auto" w:fill="CCEEFF"/>
          </w:tcPr>
          <w:p>
            <w:pPr>
              <w:spacing w:after="0"/>
              <w:rPr>
                <w:sz w:val="18"/>
                <w:szCs w:val="18"/>
                <w:color w:val="auto"/>
              </w:rPr>
            </w:pPr>
          </w:p>
        </w:tc>
        <w:tc>
          <w:tcPr>
            <w:tcW w:w="720" w:type="dxa"/>
            <w:vAlign w:val="bottom"/>
            <w:tcBorders>
              <w:top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442,900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203,734</w:t>
            </w:r>
          </w:p>
        </w:tc>
        <w:tc>
          <w:tcPr>
            <w:tcW w:w="160" w:type="dxa"/>
            <w:vAlign w:val="bottom"/>
            <w:shd w:val="clear" w:color="auto" w:fill="CCEEFF"/>
          </w:tcPr>
          <w:p>
            <w:pPr>
              <w:spacing w:after="0"/>
              <w:rPr>
                <w:sz w:val="18"/>
                <w:szCs w:val="18"/>
                <w:color w:val="auto"/>
              </w:rPr>
            </w:pPr>
          </w:p>
        </w:tc>
        <w:tc>
          <w:tcPr>
            <w:tcW w:w="940" w:type="dxa"/>
            <w:vAlign w:val="bottom"/>
            <w:tcBorders>
              <w:top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207,000</w:t>
            </w:r>
          </w:p>
        </w:tc>
        <w:tc>
          <w:tcPr>
            <w:tcW w:w="160" w:type="dxa"/>
            <w:vAlign w:val="bottom"/>
            <w:shd w:val="clear" w:color="auto" w:fill="CCEEFF"/>
          </w:tcPr>
          <w:p>
            <w:pPr>
              <w:spacing w:after="0"/>
              <w:rPr>
                <w:sz w:val="18"/>
                <w:szCs w:val="18"/>
                <w:color w:val="auto"/>
              </w:rPr>
            </w:pPr>
          </w:p>
        </w:tc>
        <w:tc>
          <w:tcPr>
            <w:tcW w:w="1040" w:type="dxa"/>
            <w:vAlign w:val="bottom"/>
            <w:tcBorders>
              <w:top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853,634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3E5588"/>
              </w:rPr>
              <w:t>President and Chief Executive Officer</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3340" w:type="dxa"/>
            <w:vAlign w:val="bottom"/>
            <w:gridSpan w:val="3"/>
          </w:tcPr>
          <w:p>
            <w:pPr>
              <w:spacing w:after="0" w:line="249" w:lineRule="exact"/>
              <w:rPr>
                <w:sz w:val="20"/>
                <w:szCs w:val="20"/>
                <w:color w:val="auto"/>
              </w:rPr>
            </w:pPr>
            <w:r>
              <w:rPr>
                <w:rFonts w:ascii="Arial" w:cs="Arial" w:eastAsia="Arial" w:hAnsi="Arial"/>
                <w:sz w:val="17"/>
                <w:szCs w:val="17"/>
                <w:color w:val="3E5588"/>
              </w:rPr>
              <w:t>Bryan Stuart</w:t>
            </w:r>
            <w:r>
              <w:rPr>
                <w:rFonts w:ascii="Arial" w:cs="Arial" w:eastAsia="Arial" w:hAnsi="Arial"/>
                <w:sz w:val="28"/>
                <w:szCs w:val="28"/>
                <w:color w:val="3E5588"/>
                <w:vertAlign w:val="superscript"/>
              </w:rPr>
              <w:t>(4)</w:t>
            </w:r>
          </w:p>
        </w:tc>
        <w:tc>
          <w:tcPr>
            <w:tcW w:w="660" w:type="dxa"/>
            <w:vAlign w:val="bottom"/>
            <w:gridSpan w:val="2"/>
          </w:tcPr>
          <w:p>
            <w:pPr>
              <w:jc w:val="right"/>
              <w:spacing w:after="0"/>
              <w:rPr>
                <w:sz w:val="20"/>
                <w:szCs w:val="20"/>
                <w:color w:val="auto"/>
              </w:rPr>
            </w:pPr>
            <w:r>
              <w:rPr>
                <w:rFonts w:ascii="Arial" w:cs="Arial" w:eastAsia="Arial" w:hAnsi="Arial"/>
                <w:sz w:val="18"/>
                <w:szCs w:val="18"/>
                <w:color w:val="3E5588"/>
              </w:rPr>
              <w:t>2018</w:t>
            </w:r>
          </w:p>
        </w:tc>
        <w:tc>
          <w:tcPr>
            <w:tcW w:w="880" w:type="dxa"/>
            <w:vAlign w:val="bottom"/>
            <w:gridSpan w:val="2"/>
          </w:tcPr>
          <w:p>
            <w:pPr>
              <w:jc w:val="right"/>
              <w:spacing w:after="0"/>
              <w:rPr>
                <w:sz w:val="20"/>
                <w:szCs w:val="20"/>
                <w:color w:val="auto"/>
              </w:rPr>
            </w:pPr>
            <w:r>
              <w:rPr>
                <w:rFonts w:ascii="Arial" w:cs="Arial" w:eastAsia="Arial" w:hAnsi="Arial"/>
                <w:sz w:val="18"/>
                <w:szCs w:val="18"/>
                <w:color w:val="3E5588"/>
              </w:rPr>
              <w:t>16,667</w:t>
            </w: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3E5588"/>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3E5588"/>
              </w:rPr>
              <w:t>1,685,290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3E5588"/>
              </w:rPr>
              <w:t>1,701,957</w:t>
            </w:r>
          </w:p>
        </w:tc>
        <w:tc>
          <w:tcPr>
            <w:tcW w:w="16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3340" w:type="dxa"/>
            <w:vAlign w:val="bottom"/>
            <w:gridSpan w:val="3"/>
          </w:tcPr>
          <w:p>
            <w:pPr>
              <w:ind w:left="160"/>
              <w:spacing w:after="0"/>
              <w:rPr>
                <w:sz w:val="20"/>
                <w:szCs w:val="20"/>
                <w:color w:val="auto"/>
              </w:rPr>
            </w:pPr>
            <w:r>
              <w:rPr>
                <w:rFonts w:ascii="Arial" w:cs="Arial" w:eastAsia="Arial" w:hAnsi="Arial"/>
                <w:sz w:val="18"/>
                <w:szCs w:val="18"/>
                <w:i w:val="1"/>
                <w:iCs w:val="1"/>
                <w:color w:val="3E5588"/>
              </w:rPr>
              <w:t>Chief Operating Officer</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Diego Cadavid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2018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348,383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111,825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27,600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62,556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550,364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3E5588"/>
                <w:w w:val="89"/>
              </w:rPr>
              <w:t>Senior Vice President, Clinical Development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3E5588"/>
            </w:tcBorders>
          </w:tcPr>
          <w:p>
            <w:pPr>
              <w:spacing w:after="0"/>
              <w:rPr>
                <w:sz w:val="9"/>
                <w:szCs w:val="9"/>
                <w:color w:val="auto"/>
              </w:rPr>
            </w:pPr>
          </w:p>
        </w:tc>
        <w:tc>
          <w:tcPr>
            <w:tcW w:w="9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20" w:hanging="531"/>
        <w:spacing w:after="0" w:line="268" w:lineRule="auto"/>
        <w:tabs>
          <w:tab w:leader="none" w:pos="1680" w:val="left"/>
        </w:tabs>
        <w:numPr>
          <w:ilvl w:val="0"/>
          <w:numId w:val="80"/>
        </w:numPr>
        <w:rPr>
          <w:rFonts w:ascii="Arial" w:cs="Arial" w:eastAsia="Arial" w:hAnsi="Arial"/>
          <w:sz w:val="18"/>
          <w:szCs w:val="18"/>
          <w:color w:val="3E5588"/>
        </w:rPr>
      </w:pPr>
      <w:r>
        <w:rPr>
          <w:rFonts w:ascii="Arial" w:cs="Arial" w:eastAsia="Arial" w:hAnsi="Arial"/>
          <w:sz w:val="18"/>
          <w:szCs w:val="18"/>
          <w:color w:val="3E5588"/>
        </w:rPr>
        <w:t>Except where noted otherwise, the amounts reported in the "Bonus" column reflect discretionary annual cash bonuses paid to our named executive officers for their performance.</w:t>
      </w:r>
    </w:p>
    <w:p>
      <w:pPr>
        <w:spacing w:after="0" w:line="212" w:lineRule="exact"/>
        <w:rPr>
          <w:rFonts w:ascii="Arial" w:cs="Arial" w:eastAsia="Arial" w:hAnsi="Arial"/>
          <w:sz w:val="18"/>
          <w:szCs w:val="18"/>
          <w:color w:val="3E5588"/>
        </w:rPr>
      </w:pPr>
    </w:p>
    <w:p>
      <w:pPr>
        <w:jc w:val="both"/>
        <w:ind w:left="1680" w:hanging="531"/>
        <w:spacing w:after="0" w:line="256" w:lineRule="auto"/>
        <w:tabs>
          <w:tab w:leader="none" w:pos="1680" w:val="left"/>
        </w:tabs>
        <w:numPr>
          <w:ilvl w:val="0"/>
          <w:numId w:val="80"/>
        </w:numPr>
        <w:rPr>
          <w:rFonts w:ascii="Arial" w:cs="Arial" w:eastAsia="Arial" w:hAnsi="Arial"/>
          <w:sz w:val="18"/>
          <w:szCs w:val="18"/>
          <w:color w:val="3E5588"/>
        </w:rPr>
      </w:pPr>
      <w:r>
        <w:rPr>
          <w:rFonts w:ascii="Arial" w:cs="Arial" w:eastAsia="Arial" w:hAnsi="Arial"/>
          <w:sz w:val="18"/>
          <w:szCs w:val="18"/>
          <w:color w:val="3E5588"/>
        </w:rPr>
        <w:t>The amounts reported in the "Stock awards" column reflect the aggregate fair value of stock-based compensation awarded during the year computed in accordance with the provisions of Financial Accounting Standards Board, or FASB, Accounting Standards Codification, or ASC, Topic 718. See Note 8 to our consolidated financial statements appearing at the end of this prospectus regarding assumptions underlying the valuation of equity awards.</w:t>
      </w:r>
    </w:p>
    <w:p>
      <w:pPr>
        <w:spacing w:after="0" w:line="210" w:lineRule="exact"/>
        <w:rPr>
          <w:rFonts w:ascii="Arial" w:cs="Arial" w:eastAsia="Arial" w:hAnsi="Arial"/>
          <w:sz w:val="18"/>
          <w:szCs w:val="18"/>
          <w:color w:val="3E5588"/>
        </w:rPr>
      </w:pPr>
    </w:p>
    <w:p>
      <w:pPr>
        <w:jc w:val="both"/>
        <w:ind w:left="1680" w:hanging="531"/>
        <w:spacing w:after="0" w:line="294" w:lineRule="auto"/>
        <w:tabs>
          <w:tab w:leader="none" w:pos="1680" w:val="left"/>
        </w:tabs>
        <w:numPr>
          <w:ilvl w:val="0"/>
          <w:numId w:val="80"/>
        </w:numPr>
        <w:rPr>
          <w:rFonts w:ascii="Arial" w:cs="Arial" w:eastAsia="Arial" w:hAnsi="Arial"/>
          <w:sz w:val="16"/>
          <w:szCs w:val="16"/>
          <w:color w:val="3E5588"/>
        </w:rPr>
      </w:pPr>
      <w:r>
        <w:rPr>
          <w:rFonts w:ascii="Arial" w:cs="Arial" w:eastAsia="Arial" w:hAnsi="Arial"/>
          <w:sz w:val="16"/>
          <w:szCs w:val="16"/>
          <w:color w:val="3E5588"/>
        </w:rPr>
        <w:t>The amounts reported in the "Option awards" column reflect the aggregate fair value of stock-based compensation awarded during the year computed in accordance with the provisions of FASB ASC Topic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named executive officer upon the vesting of the stock options, the exercise of the stock options or the sale of the common stock underlying such stock options.</w:t>
      </w:r>
    </w:p>
    <w:p>
      <w:pPr>
        <w:spacing w:after="0" w:line="183" w:lineRule="exact"/>
        <w:rPr>
          <w:rFonts w:ascii="Arial" w:cs="Arial" w:eastAsia="Arial" w:hAnsi="Arial"/>
          <w:sz w:val="16"/>
          <w:szCs w:val="16"/>
          <w:color w:val="3E5588"/>
        </w:rPr>
      </w:pPr>
    </w:p>
    <w:p>
      <w:pPr>
        <w:ind w:left="1680" w:hanging="531"/>
        <w:spacing w:after="0"/>
        <w:tabs>
          <w:tab w:leader="none" w:pos="1680" w:val="left"/>
        </w:tabs>
        <w:numPr>
          <w:ilvl w:val="0"/>
          <w:numId w:val="80"/>
        </w:numPr>
        <w:rPr>
          <w:rFonts w:ascii="Arial" w:cs="Arial" w:eastAsia="Arial" w:hAnsi="Arial"/>
          <w:sz w:val="18"/>
          <w:szCs w:val="18"/>
          <w:color w:val="3E5588"/>
        </w:rPr>
      </w:pPr>
      <w:r>
        <w:rPr>
          <w:rFonts w:ascii="Arial" w:cs="Arial" w:eastAsia="Arial" w:hAnsi="Arial"/>
          <w:sz w:val="18"/>
          <w:szCs w:val="18"/>
          <w:color w:val="3E5588"/>
        </w:rPr>
        <w:t>Mr. Stuart commenced employment with us on December 17,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Narrative to Summary Compensation Table</w:t>
      </w:r>
    </w:p>
    <w:p>
      <w:pPr>
        <w:spacing w:after="0" w:line="231" w:lineRule="exact"/>
        <w:rPr>
          <w:sz w:val="20"/>
          <w:szCs w:val="20"/>
          <w:color w:val="auto"/>
        </w:rPr>
      </w:pPr>
    </w:p>
    <w:p>
      <w:pPr>
        <w:jc w:val="both"/>
        <w:ind w:firstLine="387"/>
        <w:spacing w:after="0" w:line="323" w:lineRule="auto"/>
        <w:rPr>
          <w:sz w:val="20"/>
          <w:szCs w:val="20"/>
          <w:color w:val="auto"/>
        </w:rPr>
      </w:pPr>
      <w:r>
        <w:rPr>
          <w:rFonts w:ascii="Arial" w:cs="Arial" w:eastAsia="Arial" w:hAnsi="Arial"/>
          <w:sz w:val="15"/>
          <w:szCs w:val="15"/>
          <w:i w:val="1"/>
          <w:iCs w:val="1"/>
          <w:color w:val="3E5588"/>
        </w:rPr>
        <w:t xml:space="preserve">Base Salary. </w:t>
      </w:r>
      <w:r>
        <w:rPr>
          <w:rFonts w:ascii="Arial" w:cs="Arial" w:eastAsia="Arial" w:hAnsi="Arial"/>
          <w:sz w:val="15"/>
          <w:szCs w:val="15"/>
          <w:color w:val="3E5588"/>
        </w:rPr>
        <w:t>In 2018, we paid Dr. Gould an annualized base salary of $442,900. In January 2019, our board of directors set Dr. Gould's 2019 annual base</w:t>
      </w:r>
      <w:r>
        <w:rPr>
          <w:rFonts w:ascii="Arial" w:cs="Arial" w:eastAsia="Arial" w:hAnsi="Arial"/>
          <w:sz w:val="15"/>
          <w:szCs w:val="15"/>
          <w:i w:val="1"/>
          <w:iCs w:val="1"/>
          <w:color w:val="3E5588"/>
        </w:rPr>
        <w:t xml:space="preserve"> </w:t>
      </w:r>
      <w:r>
        <w:rPr>
          <w:rFonts w:ascii="Arial" w:cs="Arial" w:eastAsia="Arial" w:hAnsi="Arial"/>
          <w:sz w:val="15"/>
          <w:szCs w:val="15"/>
          <w:color w:val="3E5588"/>
        </w:rPr>
        <w:t>salary at $460,000. In 2018, we paid Mr. Stuart an annualized base salary of $400,000. In January 2019, our board of directors set Mr. Stuart's 2019 annual base salary at $400,000. In 2018, we paid Dr. Cadavid an annualized base salary of $342,784 until July 16, 2018, after which Dr. Cadavid was promoted to the position of senior vice president, clinical development, and we paid Dr. Cadavid an annualized base salary of $355,000. In January 2019, our board of directors set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Dr. Cadavid's 2019 annual base salary at $366,000. Effective upon the effectiveness of the registration statement of which this prospectus forms a part, Dr. Gould, Mr. Stuart and Dr. Cadavid will receive annual base salaries of $500,000, $415,000 and $375,000, respectively.</w:t>
      </w:r>
    </w:p>
    <w:p>
      <w:pPr>
        <w:spacing w:after="0" w:line="18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3E5588"/>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w:t>
      </w:r>
    </w:p>
    <w:p>
      <w:pPr>
        <w:spacing w:after="0" w:line="194" w:lineRule="exact"/>
        <w:rPr>
          <w:sz w:val="20"/>
          <w:szCs w:val="20"/>
          <w:color w:val="auto"/>
        </w:rPr>
      </w:pPr>
    </w:p>
    <w:p>
      <w:pPr>
        <w:jc w:val="both"/>
        <w:ind w:firstLine="540"/>
        <w:spacing w:after="0" w:line="291" w:lineRule="auto"/>
        <w:rPr>
          <w:sz w:val="20"/>
          <w:szCs w:val="20"/>
          <w:color w:val="auto"/>
        </w:rPr>
      </w:pPr>
      <w:r>
        <w:rPr>
          <w:rFonts w:ascii="Arial" w:cs="Arial" w:eastAsia="Arial" w:hAnsi="Arial"/>
          <w:sz w:val="16"/>
          <w:szCs w:val="16"/>
          <w:i w:val="1"/>
          <w:iCs w:val="1"/>
          <w:color w:val="3E5588"/>
        </w:rPr>
        <w:t xml:space="preserve">Annual Bonus. </w:t>
      </w:r>
      <w:r>
        <w:rPr>
          <w:rFonts w:ascii="Arial" w:cs="Arial" w:eastAsia="Arial" w:hAnsi="Arial"/>
          <w:sz w:val="16"/>
          <w:szCs w:val="16"/>
          <w:color w:val="3E5588"/>
        </w:rPr>
        <w:t>Our board of directors may, in its discretion, award bonuses to our named executive officers from time to time. Our employment</w:t>
      </w:r>
      <w:r>
        <w:rPr>
          <w:rFonts w:ascii="Arial" w:cs="Arial" w:eastAsia="Arial" w:hAnsi="Arial"/>
          <w:sz w:val="16"/>
          <w:szCs w:val="16"/>
          <w:i w:val="1"/>
          <w:iCs w:val="1"/>
          <w:color w:val="3E5588"/>
        </w:rPr>
        <w:t xml:space="preserve"> </w:t>
      </w:r>
      <w:r>
        <w:rPr>
          <w:rFonts w:ascii="Arial" w:cs="Arial" w:eastAsia="Arial" w:hAnsi="Arial"/>
          <w:sz w:val="16"/>
          <w:szCs w:val="16"/>
          <w:color w:val="3E5588"/>
        </w:rPr>
        <w:t>agreements with our named executive officers provide that they will be eligible for annual performance-based bonuses up to a specified percentage of their salary, subject to approval by our board of directors. Performance-based bonuses, which are calculated as a percentage of base salary, are designed to motivate our employees to achieve annual goals based on our strategic, financial and operating performance objectives. From time to time, our board of directors has approved discretionary annual cash bonuses to our named executive officers with respect to their prior year performance. The 2018 target bonus amounts, expressed as a percentage of annual base salary, for our named executive officers were 40% for Dr. Gould, 35% for Mr. Stuart and 30% for Dr. Cadavid.</w:t>
      </w:r>
    </w:p>
    <w:p>
      <w:pPr>
        <w:spacing w:after="0" w:line="174"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3E5588"/>
        </w:rPr>
        <w:t>With respect to 2018 performance, our board of directors awarded bonuses of $203,734 and $111,825 to Dr. Gould and Dr. Cadavid, respectively. Because he joined us in December 2018, Mr. Stuart did not receive an annual bonus for 2018.</w:t>
      </w:r>
    </w:p>
    <w:p>
      <w:pPr>
        <w:spacing w:after="0" w:line="186" w:lineRule="exact"/>
        <w:rPr>
          <w:sz w:val="20"/>
          <w:szCs w:val="20"/>
          <w:color w:val="auto"/>
        </w:rPr>
      </w:pPr>
    </w:p>
    <w:p>
      <w:pPr>
        <w:jc w:val="both"/>
        <w:ind w:firstLine="411"/>
        <w:spacing w:after="0" w:line="254" w:lineRule="auto"/>
        <w:rPr>
          <w:sz w:val="20"/>
          <w:szCs w:val="20"/>
          <w:color w:val="auto"/>
        </w:rPr>
      </w:pPr>
      <w:r>
        <w:rPr>
          <w:rFonts w:ascii="Arial" w:cs="Arial" w:eastAsia="Arial" w:hAnsi="Arial"/>
          <w:sz w:val="18"/>
          <w:szCs w:val="18"/>
          <w:i w:val="1"/>
          <w:iCs w:val="1"/>
          <w:color w:val="3E5588"/>
        </w:rPr>
        <w:t xml:space="preserve">Equity Incentives. </w:t>
      </w:r>
      <w:r>
        <w:rPr>
          <w:rFonts w:ascii="Arial" w:cs="Arial" w:eastAsia="Arial" w:hAnsi="Arial"/>
          <w:sz w:val="18"/>
          <w:szCs w:val="18"/>
          <w:color w:val="3E5588"/>
        </w:rPr>
        <w:t>Although we do not have a formal policy with respect to the grant of equity incentive awards to our executive officers, or any formal</w:t>
      </w:r>
      <w:r>
        <w:rPr>
          <w:rFonts w:ascii="Arial" w:cs="Arial" w:eastAsia="Arial" w:hAnsi="Arial"/>
          <w:sz w:val="18"/>
          <w:szCs w:val="18"/>
          <w:i w:val="1"/>
          <w:iCs w:val="1"/>
          <w:color w:val="3E5588"/>
        </w:rPr>
        <w:t xml:space="preserve"> </w:t>
      </w:r>
      <w:r>
        <w:rPr>
          <w:rFonts w:ascii="Arial" w:cs="Arial" w:eastAsia="Arial" w:hAnsi="Arial"/>
          <w:sz w:val="18"/>
          <w:szCs w:val="18"/>
          <w:color w:val="3E5588"/>
        </w:rPr>
        <w:t>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98" w:lineRule="exact"/>
        <w:rPr>
          <w:sz w:val="20"/>
          <w:szCs w:val="20"/>
          <w:color w:val="auto"/>
        </w:rPr>
      </w:pPr>
    </w:p>
    <w:p>
      <w:pPr>
        <w:jc w:val="both"/>
        <w:ind w:firstLine="374"/>
        <w:spacing w:after="0" w:line="290" w:lineRule="auto"/>
        <w:rPr>
          <w:sz w:val="20"/>
          <w:szCs w:val="20"/>
          <w:color w:val="auto"/>
        </w:rPr>
      </w:pPr>
      <w:r>
        <w:rPr>
          <w:rFonts w:ascii="Arial" w:cs="Arial" w:eastAsia="Arial" w:hAnsi="Arial"/>
          <w:sz w:val="16"/>
          <w:szCs w:val="16"/>
          <w:color w:val="3E5588"/>
        </w:rPr>
        <w:t>In connection with the commencement of employment with us, we granted a restricted stock award for 428,571 shares of our common stock to Dr. Gould in July 2016, an option to purchase 303,571 shares of our common stock to Mr. Stuart in December 2018, and a restricted stock award for 57,142 shares of our common stock to Dr. Cadavid in October 2016. In addition, we granted a restricted stock award for 64,287 shares of our common stock to Dr. Gould in January 2018, a restricted stock award for 8,572 shares of our common stock to Dr. Cadavid in January 2018 and an option to purchase 17,857 shares of our common stock to Dr. Cadavid in July 2018. The equity awards granted in 2018 to Dr. Gould and Dr. Cadavid vest in equal quarterly installments over a term of four years from the applicable vesting commencement date. The options granted in 2018 to Mr. Stuart vest as to 25% of the shares underlying the option on the first anniversary of the vesting commencement date and as to an additional 6.25% of the original number of shares underlying the option quarterly thereafter.</w:t>
      </w:r>
    </w:p>
    <w:p>
      <w:pPr>
        <w:spacing w:after="0" w:line="172" w:lineRule="exact"/>
        <w:rPr>
          <w:sz w:val="20"/>
          <w:szCs w:val="20"/>
          <w:color w:val="auto"/>
        </w:rPr>
      </w:pPr>
    </w:p>
    <w:p>
      <w:pPr>
        <w:jc w:val="both"/>
        <w:ind w:firstLine="517"/>
        <w:spacing w:after="0" w:line="254" w:lineRule="auto"/>
        <w:rPr>
          <w:sz w:val="20"/>
          <w:szCs w:val="20"/>
          <w:color w:val="auto"/>
        </w:rPr>
      </w:pPr>
      <w:r>
        <w:rPr>
          <w:rFonts w:ascii="Arial" w:cs="Arial" w:eastAsia="Arial" w:hAnsi="Arial"/>
          <w:sz w:val="18"/>
          <w:szCs w:val="18"/>
          <w:color w:val="3E5588"/>
        </w:rPr>
        <w:t>In January 2019, we granted options to purchase 346,092, 58,928 and 80,928 shares of our common stock to Dr. Gould, Mr. Stuart and Dr. Cadavid, respectively. The options granted in January 2019 to Dr. Gould and to Dr. Cadavid vest in equal quarterly installments over a term of four years from the vesting commencement date. The options granted in January 2019 to Mr. Stuart vest as to 25% of the shares underlying the option on the first anniversary of the vesting commencement date and as to an additional 6.25% of the original number of shares underlying the option quarterly thereafter. Our board of directors has also granted options to purchase 107,142, 28,571 and 12,784 shares of our common stock to Dr. Gould, Mr. Stuart and Dr. Cadavid, respectively, effective upon the commencement of trading of our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common stock on the Nasdaq Global Market, which we refer to as the IPO grants. The IPO grants vest in equal quarterly installments over a term of four years from July 1, 2019.</w:t>
      </w:r>
    </w:p>
    <w:p>
      <w:pPr>
        <w:spacing w:after="0" w:line="186" w:lineRule="exact"/>
        <w:rPr>
          <w:sz w:val="20"/>
          <w:szCs w:val="20"/>
          <w:color w:val="auto"/>
        </w:rPr>
      </w:pPr>
    </w:p>
    <w:p>
      <w:pPr>
        <w:jc w:val="both"/>
        <w:ind w:firstLine="466"/>
        <w:spacing w:after="0" w:line="256" w:lineRule="auto"/>
        <w:rPr>
          <w:sz w:val="20"/>
          <w:szCs w:val="20"/>
          <w:color w:val="auto"/>
        </w:rPr>
      </w:pPr>
      <w:r>
        <w:rPr>
          <w:rFonts w:ascii="Arial" w:cs="Arial" w:eastAsia="Arial" w:hAnsi="Arial"/>
          <w:sz w:val="18"/>
          <w:szCs w:val="18"/>
          <w:color w:val="3E5588"/>
        </w:rPr>
        <w:t>Prior to this offering, our executives were eligible to receive equity awards under our 2016 Stock Incentive Plan, as amended to date, or the 2016 Plan. During 2018 and 2019, all restricted stock awards and stock options (other than the IPO grants) were granted pursuant to the 2016 Plan. Following the closing of this offering, our employees and executives will be eligible to receive stock options and other stock-based awards pursuant to our 2019 Stock Incentive Plan, or the 2019 Plan.</w:t>
      </w:r>
    </w:p>
    <w:p>
      <w:pPr>
        <w:spacing w:after="0" w:line="197" w:lineRule="exact"/>
        <w:rPr>
          <w:sz w:val="20"/>
          <w:szCs w:val="20"/>
          <w:color w:val="auto"/>
        </w:rPr>
      </w:pPr>
    </w:p>
    <w:p>
      <w:pPr>
        <w:jc w:val="both"/>
        <w:ind w:firstLine="382"/>
        <w:spacing w:after="0" w:line="306" w:lineRule="auto"/>
        <w:rPr>
          <w:sz w:val="20"/>
          <w:szCs w:val="20"/>
          <w:color w:val="auto"/>
        </w:rPr>
      </w:pPr>
      <w:r>
        <w:rPr>
          <w:rFonts w:ascii="Arial" w:cs="Arial" w:eastAsia="Arial" w:hAnsi="Arial"/>
          <w:sz w:val="16"/>
          <w:szCs w:val="16"/>
          <w:color w:val="3E5588"/>
        </w:rPr>
        <w:t>Prior to June 2018, we used restricted stock awards to compensate our executive officers in the form of initial grants in connection with the commencement of employment and also at various times, often but not necessarily annually, if we had performed as expected or better than expected. Since June 2018, we typically use stock options to compensate our executive officers in connection with the commencement of employment and also at various times.</w:t>
      </w:r>
    </w:p>
    <w:p>
      <w:pPr>
        <w:spacing w:after="0" w:line="161" w:lineRule="exact"/>
        <w:rPr>
          <w:sz w:val="20"/>
          <w:szCs w:val="20"/>
          <w:color w:val="auto"/>
        </w:rPr>
      </w:pPr>
    </w:p>
    <w:p>
      <w:pPr>
        <w:jc w:val="both"/>
        <w:ind w:firstLine="373"/>
        <w:spacing w:after="0" w:line="288" w:lineRule="auto"/>
        <w:rPr>
          <w:sz w:val="20"/>
          <w:szCs w:val="20"/>
          <w:color w:val="auto"/>
        </w:rPr>
      </w:pPr>
      <w:r>
        <w:rPr>
          <w:rFonts w:ascii="Arial" w:cs="Arial" w:eastAsia="Arial" w:hAnsi="Arial"/>
          <w:sz w:val="16"/>
          <w:szCs w:val="16"/>
          <w:color w:val="3E5588"/>
        </w:rPr>
        <w:t>Prior to this offering, awards of restricted stock and stock options to our executive officers have been made by our board of directors. None of our executive officers is currently party to an employment agreement that provides for the automatic award of restricted stock or stock options. We have granted restricted stock and option awards to our executive officers with time-based vesting. The restricted stock and option awards that we have granted to our executive officers in connection with commencement of employment typically become exercisable as to 25% of the shares underlying the award on the first anniversary of the grant date and as to an additional 6.25% of the original number of shares underlying the award quarterly thereafter. The restricted stock and option awards that we have granted to our executive officers at times other than in connection with employment typically become exercisable in equal quarterly installments over a term of four years from the applicable vesting commencement date. Vesting rights cease upon termination of employment and exercise rights for options cease shortly after termination. Prior to the exercise of an option, the holder has no rights as a stockholder with respect to the shares subject to such option, including no voting rights and no right to receive dividends or dividend equivalents.</w:t>
      </w:r>
    </w:p>
    <w:p>
      <w:pPr>
        <w:spacing w:after="0" w:line="174" w:lineRule="exact"/>
        <w:rPr>
          <w:sz w:val="20"/>
          <w:szCs w:val="20"/>
          <w:color w:val="auto"/>
        </w:rPr>
      </w:pPr>
    </w:p>
    <w:p>
      <w:pPr>
        <w:jc w:val="both"/>
        <w:ind w:firstLine="542"/>
        <w:spacing w:after="0" w:line="256" w:lineRule="auto"/>
        <w:rPr>
          <w:sz w:val="20"/>
          <w:szCs w:val="20"/>
          <w:color w:val="auto"/>
        </w:rPr>
      </w:pPr>
      <w:r>
        <w:rPr>
          <w:rFonts w:ascii="Arial" w:cs="Arial" w:eastAsia="Arial" w:hAnsi="Arial"/>
          <w:sz w:val="18"/>
          <w:szCs w:val="18"/>
          <w:color w:val="3E5588"/>
        </w:rPr>
        <w:t>We have historically granted stock options with exercise prices that are equal to the fair market value of our common stock on the date of grant as determined by our board of directors, based on a number of objective and subjective factors. The exercise price of all stock options granted after the closing of this offering will be equal to the fair market value of shares of our common stock on the date of grant, which will be determined by reference to the closing market price of our common stock on the date of grant.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Outstanding Equity Awards at December 31, 2018</w:t>
      </w:r>
    </w:p>
    <w:p>
      <w:pPr>
        <w:spacing w:after="0" w:line="231" w:lineRule="exact"/>
        <w:rPr>
          <w:sz w:val="20"/>
          <w:szCs w:val="20"/>
          <w:color w:val="auto"/>
        </w:rPr>
      </w:pPr>
    </w:p>
    <w:p>
      <w:pPr>
        <w:ind w:firstLine="435"/>
        <w:spacing w:after="0" w:line="268" w:lineRule="auto"/>
        <w:rPr>
          <w:sz w:val="20"/>
          <w:szCs w:val="20"/>
          <w:color w:val="auto"/>
        </w:rPr>
      </w:pPr>
      <w:r>
        <w:rPr>
          <w:rFonts w:ascii="Arial" w:cs="Arial" w:eastAsia="Arial" w:hAnsi="Arial"/>
          <w:sz w:val="18"/>
          <w:szCs w:val="18"/>
          <w:color w:val="3E5588"/>
        </w:rPr>
        <w:t>The following table sets forth information regarding all outstanding stock options and restricted stock held by each of our named executive officers as of December 31, 2018.</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Borders>
              <w:bottom w:val="single" w:sz="8" w:color="3E5588"/>
            </w:tcBorders>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1420" w:type="dxa"/>
            <w:vAlign w:val="bottom"/>
            <w:tcBorders>
              <w:bottom w:val="single" w:sz="8" w:color="3E5588"/>
            </w:tcBorders>
            <w:gridSpan w:val="4"/>
          </w:tcPr>
          <w:p>
            <w:pPr>
              <w:jc w:val="right"/>
              <w:spacing w:after="0"/>
              <w:rPr>
                <w:sz w:val="20"/>
                <w:szCs w:val="20"/>
                <w:color w:val="auto"/>
              </w:rPr>
            </w:pPr>
            <w:r>
              <w:rPr>
                <w:rFonts w:ascii="Arial" w:cs="Arial" w:eastAsia="Arial" w:hAnsi="Arial"/>
                <w:sz w:val="14"/>
                <w:szCs w:val="14"/>
                <w:b w:val="1"/>
                <w:bCs w:val="1"/>
                <w:color w:val="3E5588"/>
              </w:rPr>
              <w:t>Option Awards</w:t>
            </w:r>
          </w:p>
        </w:tc>
        <w:tc>
          <w:tcPr>
            <w:tcW w:w="520" w:type="dxa"/>
            <w:vAlign w:val="bottom"/>
            <w:tcBorders>
              <w:bottom w:val="single" w:sz="8" w:color="3E5588"/>
            </w:tcBorders>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840" w:type="dxa"/>
            <w:vAlign w:val="bottom"/>
            <w:tcBorders>
              <w:bottom w:val="single" w:sz="8" w:color="3E5588"/>
            </w:tcBorders>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Borders>
              <w:bottom w:val="single" w:sz="8" w:color="3E5588"/>
            </w:tcBorders>
            <w:gridSpan w:val="3"/>
          </w:tcPr>
          <w:p>
            <w:pPr>
              <w:jc w:val="right"/>
              <w:ind w:right="801"/>
              <w:spacing w:after="0"/>
              <w:rPr>
                <w:sz w:val="20"/>
                <w:szCs w:val="20"/>
                <w:color w:val="auto"/>
              </w:rPr>
            </w:pPr>
            <w:r>
              <w:rPr>
                <w:rFonts w:ascii="Arial" w:cs="Arial" w:eastAsia="Arial" w:hAnsi="Arial"/>
                <w:sz w:val="14"/>
                <w:szCs w:val="14"/>
                <w:b w:val="1"/>
                <w:bCs w:val="1"/>
                <w:color w:val="3E5588"/>
              </w:rPr>
              <w:t>Stock Awards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3E5588"/>
                <w:w w:val="88"/>
              </w:rPr>
              <w:t>Number of</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3E5588"/>
                <w:w w:val="88"/>
              </w:rPr>
              <w:t>Number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3E5588"/>
                <w:w w:val="90"/>
              </w:rPr>
              <w:t>Market value of</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Arial" w:cs="Arial" w:eastAsia="Arial" w:hAnsi="Arial"/>
                <w:sz w:val="14"/>
                <w:szCs w:val="14"/>
                <w:b w:val="1"/>
                <w:bCs w:val="1"/>
                <w:color w:val="3E5588"/>
                <w:w w:val="82"/>
              </w:rPr>
              <w:t>securities</w:t>
            </w:r>
          </w:p>
        </w:tc>
        <w:tc>
          <w:tcPr>
            <w:tcW w:w="160" w:type="dxa"/>
            <w:vAlign w:val="bottom"/>
          </w:tcPr>
          <w:p>
            <w:pPr>
              <w:spacing w:after="0"/>
              <w:rPr>
                <w:sz w:val="11"/>
                <w:szCs w:val="11"/>
                <w:color w:val="auto"/>
              </w:rPr>
            </w:pPr>
          </w:p>
        </w:tc>
        <w:tc>
          <w:tcPr>
            <w:tcW w:w="12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3E5588"/>
                <w:w w:val="82"/>
              </w:rPr>
              <w:t>securities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3E5588"/>
                <w:w w:val="88"/>
              </w:rPr>
              <w:t>Number of</w:t>
            </w: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underlying</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E5588"/>
                <w:w w:val="86"/>
              </w:rPr>
              <w:t>underlying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3E5588"/>
                <w:w w:val="93"/>
              </w:rPr>
              <w:t>Option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E5588"/>
                <w:w w:val="83"/>
              </w:rPr>
              <w:t>shares or units</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E5588"/>
                <w:w w:val="83"/>
              </w:rPr>
              <w:t>shares 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3"/>
              </w:rPr>
              <w:t>unexercised</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83"/>
              </w:rPr>
              <w:t>unexercised</w:t>
            </w:r>
          </w:p>
        </w:tc>
        <w:tc>
          <w:tcPr>
            <w:tcW w:w="10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3E5588"/>
                <w:w w:val="81"/>
              </w:rPr>
              <w:t>exercise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93"/>
              </w:rPr>
              <w:t>Option</w:t>
            </w: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E5588"/>
                <w:w w:val="86"/>
              </w:rPr>
              <w:t>of stock that</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E5588"/>
                <w:w w:val="86"/>
              </w:rPr>
              <w:t>of 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options (#)</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3E5588"/>
                <w:w w:val="86"/>
              </w:rPr>
              <w:t>options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3E5588"/>
                <w:w w:val="89"/>
              </w:rPr>
              <w:t>price</w:t>
            </w:r>
          </w:p>
        </w:tc>
        <w:tc>
          <w:tcPr>
            <w:tcW w:w="1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expiration</w:t>
            </w: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3E5588"/>
                <w:w w:val="83"/>
              </w:rPr>
              <w:t>have not vested</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E5588"/>
                <w:w w:val="83"/>
              </w:rPr>
              <w:t>have not vested</w:t>
            </w:r>
          </w:p>
        </w:tc>
        <w:tc>
          <w:tcPr>
            <w:tcW w:w="0" w:type="dxa"/>
            <w:vAlign w:val="bottom"/>
          </w:tcPr>
          <w:p>
            <w:pPr>
              <w:spacing w:after="0"/>
              <w:rPr>
                <w:sz w:val="1"/>
                <w:szCs w:val="1"/>
                <w:color w:val="auto"/>
              </w:rPr>
            </w:pPr>
          </w:p>
        </w:tc>
      </w:tr>
      <w:tr>
        <w:trPr>
          <w:trHeight w:val="176"/>
        </w:trPr>
        <w:tc>
          <w:tcPr>
            <w:tcW w:w="2300" w:type="dxa"/>
            <w:vAlign w:val="bottom"/>
            <w:gridSpan w:val="4"/>
          </w:tcPr>
          <w:p>
            <w:pPr>
              <w:spacing w:after="0"/>
              <w:rPr>
                <w:sz w:val="20"/>
                <w:szCs w:val="20"/>
                <w:color w:val="auto"/>
              </w:rPr>
            </w:pPr>
            <w:r>
              <w:rPr>
                <w:rFonts w:ascii="Arial" w:cs="Arial" w:eastAsia="Arial" w:hAnsi="Arial"/>
                <w:sz w:val="14"/>
                <w:szCs w:val="14"/>
                <w:b w:val="1"/>
                <w:bCs w:val="1"/>
                <w:color w:val="3E5588"/>
              </w:rPr>
              <w:t>Name</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3E5588"/>
                <w:w w:val="81"/>
              </w:rPr>
              <w:t>exercisable</w:t>
            </w:r>
          </w:p>
        </w:tc>
        <w:tc>
          <w:tcPr>
            <w:tcW w:w="16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E5588"/>
                <w:w w:val="83"/>
              </w:rPr>
              <w:t>unexercisable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40"/>
              <w:spacing w:after="0"/>
              <w:rPr>
                <w:sz w:val="20"/>
                <w:szCs w:val="20"/>
                <w:color w:val="auto"/>
              </w:rPr>
            </w:pPr>
            <w:r>
              <w:rPr>
                <w:rFonts w:ascii="Arial" w:cs="Arial" w:eastAsia="Arial" w:hAnsi="Arial"/>
                <w:sz w:val="14"/>
                <w:szCs w:val="14"/>
                <w:b w:val="1"/>
                <w:bCs w:val="1"/>
                <w:color w:val="3E5588"/>
                <w:w w:val="93"/>
              </w:rPr>
              <w:t>($)</w:t>
            </w:r>
          </w:p>
        </w:tc>
        <w:tc>
          <w:tcPr>
            <w:tcW w:w="1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3E5588"/>
                <w:w w:val="90"/>
              </w:rPr>
              <w:t>date</w:t>
            </w:r>
          </w:p>
        </w:tc>
        <w:tc>
          <w:tcPr>
            <w:tcW w:w="1240" w:type="dxa"/>
            <w:vAlign w:val="bottom"/>
            <w:gridSpan w:val="2"/>
          </w:tcPr>
          <w:p>
            <w:pPr>
              <w:jc w:val="center"/>
              <w:ind w:left="35"/>
              <w:spacing w:after="0"/>
              <w:rPr>
                <w:sz w:val="20"/>
                <w:szCs w:val="20"/>
                <w:color w:val="auto"/>
              </w:rPr>
            </w:pPr>
            <w:r>
              <w:rPr>
                <w:rFonts w:ascii="Arial" w:cs="Arial" w:eastAsia="Arial" w:hAnsi="Arial"/>
                <w:sz w:val="14"/>
                <w:szCs w:val="14"/>
                <w:b w:val="1"/>
                <w:bCs w:val="1"/>
                <w:color w:val="3E5588"/>
                <w:w w:val="93"/>
              </w:rPr>
              <w:t>(#)</w:t>
            </w:r>
          </w:p>
        </w:tc>
        <w:tc>
          <w:tcPr>
            <w:tcW w:w="36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3"/>
                <w:szCs w:val="13"/>
                <w:b w:val="1"/>
                <w:bCs w:val="1"/>
                <w:color w:val="3E5588"/>
                <w:w w:val="86"/>
              </w:rPr>
              <w:t>($)</w:t>
            </w:r>
            <w:r>
              <w:rPr>
                <w:rFonts w:ascii="Arial" w:cs="Arial" w:eastAsia="Arial" w:hAnsi="Arial"/>
                <w:sz w:val="20"/>
                <w:szCs w:val="20"/>
                <w:b w:val="1"/>
                <w:bCs w:val="1"/>
                <w:color w:val="3E5588"/>
                <w:w w:val="86"/>
                <w:vertAlign w:val="superscript"/>
              </w:rPr>
              <w:t>(1)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3E558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3E558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5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3E558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Robert J. Gould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E55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9"/>
              </w:rPr>
              <w:t>—</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E5588"/>
              </w:rPr>
              <w:t>160,715</w:t>
            </w:r>
            <w:r>
              <w:rPr>
                <w:rFonts w:ascii="Arial" w:cs="Arial" w:eastAsia="Arial" w:hAnsi="Arial"/>
                <w:sz w:val="14"/>
                <w:szCs w:val="14"/>
                <w:color w:val="3E5588"/>
              </w:rPr>
              <w:t>(2)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2,571,440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E55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9"/>
              </w:rPr>
              <w:t>—</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E5588"/>
              </w:rPr>
              <w:t>21,429</w:t>
            </w:r>
            <w:r>
              <w:rPr>
                <w:rFonts w:ascii="Arial" w:cs="Arial" w:eastAsia="Arial" w:hAnsi="Arial"/>
                <w:sz w:val="14"/>
                <w:szCs w:val="14"/>
                <w:color w:val="3E5588"/>
              </w:rPr>
              <w:t>(3)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342,864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3E55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99"/>
              </w:rPr>
              <w:t>—</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E5588"/>
              </w:rPr>
              <w:t>48,216</w:t>
            </w:r>
            <w:r>
              <w:rPr>
                <w:rFonts w:ascii="Arial" w:cs="Arial" w:eastAsia="Arial" w:hAnsi="Arial"/>
                <w:sz w:val="14"/>
                <w:szCs w:val="14"/>
                <w:color w:val="3E5588"/>
              </w:rPr>
              <w:t>(4)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771,456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Arial" w:cs="Arial" w:eastAsia="Arial" w:hAnsi="Arial"/>
                <w:sz w:val="18"/>
                <w:szCs w:val="18"/>
                <w:color w:val="3E5588"/>
              </w:rPr>
              <w:t>Bryan Stuart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3E5588"/>
              </w:rPr>
              <w:t>—</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3E5588"/>
              </w:rPr>
              <w:t>303,571</w:t>
            </w:r>
            <w:r>
              <w:rPr>
                <w:rFonts w:ascii="Arial" w:cs="Arial" w:eastAsia="Arial" w:hAnsi="Arial"/>
                <w:sz w:val="14"/>
                <w:szCs w:val="14"/>
                <w:color w:val="3E5588"/>
              </w:rPr>
              <w:t>(5)</w:t>
            </w: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520" w:type="dxa"/>
            <w:vAlign w:val="bottom"/>
          </w:tcPr>
          <w:p>
            <w:pPr>
              <w:jc w:val="right"/>
              <w:spacing w:after="0"/>
              <w:rPr>
                <w:sz w:val="20"/>
                <w:szCs w:val="20"/>
                <w:color w:val="auto"/>
              </w:rPr>
            </w:pPr>
            <w:r>
              <w:rPr>
                <w:rFonts w:ascii="Arial" w:cs="Arial" w:eastAsia="Arial" w:hAnsi="Arial"/>
                <w:sz w:val="18"/>
                <w:szCs w:val="18"/>
                <w:color w:val="3E5588"/>
              </w:rPr>
              <w:t>7.84</w:t>
            </w:r>
          </w:p>
        </w:tc>
        <w:tc>
          <w:tcPr>
            <w:tcW w:w="1000" w:type="dxa"/>
            <w:vAlign w:val="bottom"/>
            <w:gridSpan w:val="2"/>
          </w:tcPr>
          <w:p>
            <w:pPr>
              <w:jc w:val="center"/>
              <w:ind w:left="72"/>
              <w:spacing w:after="0"/>
              <w:rPr>
                <w:sz w:val="20"/>
                <w:szCs w:val="20"/>
                <w:color w:val="auto"/>
              </w:rPr>
            </w:pPr>
            <w:r>
              <w:rPr>
                <w:rFonts w:ascii="Arial" w:cs="Arial" w:eastAsia="Arial" w:hAnsi="Arial"/>
                <w:sz w:val="18"/>
                <w:szCs w:val="18"/>
                <w:color w:val="3E5588"/>
                <w:w w:val="88"/>
              </w:rPr>
              <w:t>12/17/2028</w:t>
            </w: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3E5588"/>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Diego Cadavid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1,116</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3E5588"/>
              </w:rPr>
              <w:t>16,741</w:t>
            </w:r>
            <w:r>
              <w:rPr>
                <w:rFonts w:ascii="Arial" w:cs="Arial" w:eastAsia="Arial" w:hAnsi="Arial"/>
                <w:sz w:val="14"/>
                <w:szCs w:val="14"/>
                <w:color w:val="3E5588"/>
              </w:rPr>
              <w:t>(6)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4.83</w:t>
            </w:r>
          </w:p>
        </w:tc>
        <w:tc>
          <w:tcPr>
            <w:tcW w:w="100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3E5588"/>
                <w:w w:val="87"/>
              </w:rPr>
              <w:t>7/10/2028</w:t>
            </w: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E5588"/>
              </w:rPr>
              <w:t>25,000</w:t>
            </w:r>
            <w:r>
              <w:rPr>
                <w:rFonts w:ascii="Arial" w:cs="Arial" w:eastAsia="Arial" w:hAnsi="Arial"/>
                <w:sz w:val="14"/>
                <w:szCs w:val="14"/>
                <w:color w:val="3E5588"/>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E5588"/>
              </w:rPr>
              <w:t>2,679</w:t>
            </w:r>
            <w:r>
              <w:rPr>
                <w:rFonts w:ascii="Arial" w:cs="Arial" w:eastAsia="Arial" w:hAnsi="Arial"/>
                <w:sz w:val="14"/>
                <w:szCs w:val="14"/>
                <w:color w:val="3E5588"/>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42,864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3E5588"/>
              </w:rPr>
              <w:t>6,429</w:t>
            </w:r>
            <w:r>
              <w:rPr>
                <w:rFonts w:ascii="Arial" w:cs="Arial" w:eastAsia="Arial" w:hAnsi="Arial"/>
                <w:sz w:val="14"/>
                <w:szCs w:val="14"/>
                <w:color w:val="3E5588"/>
              </w:rPr>
              <w:t>(9)</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102,864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3E5588"/>
            </w:tcBorders>
          </w:tcPr>
          <w:p>
            <w:pPr>
              <w:spacing w:after="0"/>
              <w:rPr>
                <w:sz w:val="9"/>
                <w:szCs w:val="9"/>
                <w:color w:val="auto"/>
              </w:rPr>
            </w:pPr>
          </w:p>
        </w:tc>
        <w:tc>
          <w:tcPr>
            <w:tcW w:w="300" w:type="dxa"/>
            <w:vAlign w:val="bottom"/>
            <w:tcBorders>
              <w:bottom w:val="single" w:sz="8" w:color="3E5588"/>
            </w:tcBorders>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81"/>
        </w:numPr>
        <w:rPr>
          <w:rFonts w:ascii="Arial" w:cs="Arial" w:eastAsia="Arial" w:hAnsi="Arial"/>
          <w:sz w:val="18"/>
          <w:szCs w:val="18"/>
          <w:color w:val="3E5588"/>
        </w:rPr>
      </w:pPr>
      <w:r>
        <w:rPr>
          <w:rFonts w:ascii="Arial" w:cs="Arial" w:eastAsia="Arial" w:hAnsi="Arial"/>
          <w:sz w:val="18"/>
          <w:szCs w:val="18"/>
          <w:color w:val="3E5588"/>
        </w:rPr>
        <w:t>The market price of our common stock is based on the initial public offering price of $16.00 per share.</w:t>
      </w:r>
    </w:p>
    <w:p>
      <w:pPr>
        <w:spacing w:after="0" w:line="252" w:lineRule="exact"/>
        <w:rPr>
          <w:rFonts w:ascii="Arial" w:cs="Arial" w:eastAsia="Arial" w:hAnsi="Arial"/>
          <w:sz w:val="18"/>
          <w:szCs w:val="18"/>
          <w:color w:val="3E5588"/>
        </w:rPr>
      </w:pPr>
    </w:p>
    <w:p>
      <w:pPr>
        <w:ind w:left="1680" w:hanging="531"/>
        <w:spacing w:after="0" w:line="332" w:lineRule="auto"/>
        <w:tabs>
          <w:tab w:leader="none" w:pos="1680" w:val="left"/>
        </w:tabs>
        <w:numPr>
          <w:ilvl w:val="0"/>
          <w:numId w:val="81"/>
        </w:numPr>
        <w:rPr>
          <w:rFonts w:ascii="Arial" w:cs="Arial" w:eastAsia="Arial" w:hAnsi="Arial"/>
          <w:sz w:val="16"/>
          <w:szCs w:val="16"/>
          <w:color w:val="3E5588"/>
        </w:rPr>
      </w:pPr>
      <w:r>
        <w:rPr>
          <w:rFonts w:ascii="Arial" w:cs="Arial" w:eastAsia="Arial" w:hAnsi="Arial"/>
          <w:sz w:val="16"/>
          <w:szCs w:val="16"/>
          <w:color w:val="3E5588"/>
        </w:rPr>
        <w:t>Dr. Gould's restricted stock award for 428,571 shares vests over four years, with 25% of the shares vested on June 20, 2017, and 6.25% of the original number of shares vesting thereafter in equal quarterly installments through June 20, 2020, subject to continued service.</w:t>
      </w:r>
    </w:p>
    <w:p>
      <w:pPr>
        <w:spacing w:after="0" w:line="152" w:lineRule="exact"/>
        <w:rPr>
          <w:rFonts w:ascii="Arial" w:cs="Arial" w:eastAsia="Arial" w:hAnsi="Arial"/>
          <w:sz w:val="16"/>
          <w:szCs w:val="16"/>
          <w:color w:val="3E5588"/>
        </w:rPr>
      </w:pPr>
    </w:p>
    <w:p>
      <w:pPr>
        <w:ind w:left="1680" w:hanging="531"/>
        <w:spacing w:after="0" w:line="268" w:lineRule="auto"/>
        <w:tabs>
          <w:tab w:leader="none" w:pos="1680" w:val="left"/>
        </w:tabs>
        <w:numPr>
          <w:ilvl w:val="0"/>
          <w:numId w:val="81"/>
        </w:numPr>
        <w:rPr>
          <w:rFonts w:ascii="Arial" w:cs="Arial" w:eastAsia="Arial" w:hAnsi="Arial"/>
          <w:sz w:val="18"/>
          <w:szCs w:val="18"/>
          <w:color w:val="3E5588"/>
        </w:rPr>
      </w:pPr>
      <w:r>
        <w:rPr>
          <w:rFonts w:ascii="Arial" w:cs="Arial" w:eastAsia="Arial" w:hAnsi="Arial"/>
          <w:sz w:val="18"/>
          <w:szCs w:val="18"/>
          <w:color w:val="3E5588"/>
        </w:rPr>
        <w:t>Dr. Gould's restricted stock award for 42,857 shares vests over four years, in equal quarterly installments through January 1, 2021, subject to continued service.</w:t>
      </w:r>
    </w:p>
    <w:p>
      <w:pPr>
        <w:spacing w:after="0" w:line="199" w:lineRule="exact"/>
        <w:rPr>
          <w:rFonts w:ascii="Arial" w:cs="Arial" w:eastAsia="Arial" w:hAnsi="Arial"/>
          <w:sz w:val="18"/>
          <w:szCs w:val="18"/>
          <w:color w:val="3E5588"/>
        </w:rPr>
      </w:pPr>
    </w:p>
    <w:p>
      <w:pPr>
        <w:ind w:left="1680" w:hanging="531"/>
        <w:spacing w:after="0" w:line="268" w:lineRule="auto"/>
        <w:tabs>
          <w:tab w:leader="none" w:pos="1680" w:val="left"/>
        </w:tabs>
        <w:numPr>
          <w:ilvl w:val="0"/>
          <w:numId w:val="81"/>
        </w:numPr>
        <w:rPr>
          <w:rFonts w:ascii="Arial" w:cs="Arial" w:eastAsia="Arial" w:hAnsi="Arial"/>
          <w:sz w:val="18"/>
          <w:szCs w:val="18"/>
          <w:color w:val="3E5588"/>
        </w:rPr>
      </w:pPr>
      <w:r>
        <w:rPr>
          <w:rFonts w:ascii="Arial" w:cs="Arial" w:eastAsia="Arial" w:hAnsi="Arial"/>
          <w:sz w:val="18"/>
          <w:szCs w:val="18"/>
          <w:color w:val="3E5588"/>
        </w:rPr>
        <w:t>Dr. Gould's restricted stock award for 64,287 shares vests over four years, in equal quarterly installments through January 1, 2022, subject to continued service.</w:t>
      </w:r>
    </w:p>
    <w:p>
      <w:pPr>
        <w:spacing w:after="0" w:line="212" w:lineRule="exact"/>
        <w:rPr>
          <w:rFonts w:ascii="Arial" w:cs="Arial" w:eastAsia="Arial" w:hAnsi="Arial"/>
          <w:sz w:val="18"/>
          <w:szCs w:val="18"/>
          <w:color w:val="3E5588"/>
        </w:rPr>
      </w:pPr>
    </w:p>
    <w:p>
      <w:pPr>
        <w:ind w:left="1680" w:right="20" w:hanging="531"/>
        <w:spacing w:after="0" w:line="332" w:lineRule="auto"/>
        <w:tabs>
          <w:tab w:leader="none" w:pos="1680" w:val="left"/>
        </w:tabs>
        <w:numPr>
          <w:ilvl w:val="0"/>
          <w:numId w:val="81"/>
        </w:numPr>
        <w:rPr>
          <w:rFonts w:ascii="Arial" w:cs="Arial" w:eastAsia="Arial" w:hAnsi="Arial"/>
          <w:sz w:val="16"/>
          <w:szCs w:val="16"/>
          <w:color w:val="3E5588"/>
        </w:rPr>
      </w:pPr>
      <w:r>
        <w:rPr>
          <w:rFonts w:ascii="Arial" w:cs="Arial" w:eastAsia="Arial" w:hAnsi="Arial"/>
          <w:sz w:val="16"/>
          <w:szCs w:val="16"/>
          <w:color w:val="3E5588"/>
        </w:rPr>
        <w:t>Mr. Stuart's option award for 303,571 shares vests over four years, with 25% of the shares vesting on December 17, 2019, and 6.25% of the original number of shares vesting thereafter in equal quarterly installments through December 17, 2022, subject to continued service.</w:t>
      </w:r>
    </w:p>
    <w:p>
      <w:pPr>
        <w:spacing w:after="0" w:line="152" w:lineRule="exact"/>
        <w:rPr>
          <w:rFonts w:ascii="Arial" w:cs="Arial" w:eastAsia="Arial" w:hAnsi="Arial"/>
          <w:sz w:val="16"/>
          <w:szCs w:val="16"/>
          <w:color w:val="3E5588"/>
        </w:rPr>
      </w:pPr>
    </w:p>
    <w:p>
      <w:pPr>
        <w:ind w:left="1680" w:hanging="531"/>
        <w:spacing w:after="0" w:line="268" w:lineRule="auto"/>
        <w:tabs>
          <w:tab w:leader="none" w:pos="1680" w:val="left"/>
        </w:tabs>
        <w:numPr>
          <w:ilvl w:val="0"/>
          <w:numId w:val="81"/>
        </w:numPr>
        <w:rPr>
          <w:rFonts w:ascii="Arial" w:cs="Arial" w:eastAsia="Arial" w:hAnsi="Arial"/>
          <w:sz w:val="18"/>
          <w:szCs w:val="18"/>
          <w:color w:val="3E5588"/>
        </w:rPr>
      </w:pPr>
      <w:r>
        <w:rPr>
          <w:rFonts w:ascii="Arial" w:cs="Arial" w:eastAsia="Arial" w:hAnsi="Arial"/>
          <w:sz w:val="18"/>
          <w:szCs w:val="18"/>
          <w:color w:val="3E5588"/>
        </w:rPr>
        <w:t>Dr. Cadavid's option award for 17,857 shares vests over four years, in equal quarterly installments through July 16, 2022, subject to continued service.</w:t>
      </w:r>
    </w:p>
    <w:p>
      <w:pPr>
        <w:spacing w:after="0" w:line="199" w:lineRule="exact"/>
        <w:rPr>
          <w:rFonts w:ascii="Arial" w:cs="Arial" w:eastAsia="Arial" w:hAnsi="Arial"/>
          <w:sz w:val="18"/>
          <w:szCs w:val="18"/>
          <w:color w:val="3E5588"/>
        </w:rPr>
      </w:pPr>
    </w:p>
    <w:p>
      <w:pPr>
        <w:jc w:val="both"/>
        <w:ind w:left="1680" w:hanging="531"/>
        <w:spacing w:after="0" w:line="259" w:lineRule="auto"/>
        <w:tabs>
          <w:tab w:leader="none" w:pos="1680" w:val="left"/>
        </w:tabs>
        <w:numPr>
          <w:ilvl w:val="0"/>
          <w:numId w:val="81"/>
        </w:numPr>
        <w:rPr>
          <w:rFonts w:ascii="Arial" w:cs="Arial" w:eastAsia="Arial" w:hAnsi="Arial"/>
          <w:sz w:val="18"/>
          <w:szCs w:val="18"/>
          <w:color w:val="3E5588"/>
        </w:rPr>
      </w:pPr>
      <w:r>
        <w:rPr>
          <w:rFonts w:ascii="Arial" w:cs="Arial" w:eastAsia="Arial" w:hAnsi="Arial"/>
          <w:sz w:val="18"/>
          <w:szCs w:val="18"/>
          <w:color w:val="3E5588"/>
        </w:rPr>
        <w:t>Dr. Cadavid's restricted stock award for 57,142 shares vests over four years, with 25% of the shares vested on September 19, 2017, and 6.25% of the original number of shares vesting thereafter in equal quarterly installments through September 19, 2020, subject to continued service.</w:t>
      </w:r>
    </w:p>
    <w:p>
      <w:pPr>
        <w:spacing w:after="0" w:line="221" w:lineRule="exact"/>
        <w:rPr>
          <w:rFonts w:ascii="Arial" w:cs="Arial" w:eastAsia="Arial" w:hAnsi="Arial"/>
          <w:sz w:val="18"/>
          <w:szCs w:val="18"/>
          <w:color w:val="3E5588"/>
        </w:rPr>
      </w:pPr>
    </w:p>
    <w:p>
      <w:pPr>
        <w:ind w:left="1680" w:hanging="531"/>
        <w:spacing w:after="0" w:line="268" w:lineRule="auto"/>
        <w:tabs>
          <w:tab w:leader="none" w:pos="1680" w:val="left"/>
        </w:tabs>
        <w:numPr>
          <w:ilvl w:val="0"/>
          <w:numId w:val="81"/>
        </w:numPr>
        <w:rPr>
          <w:rFonts w:ascii="Arial" w:cs="Arial" w:eastAsia="Arial" w:hAnsi="Arial"/>
          <w:sz w:val="18"/>
          <w:szCs w:val="18"/>
          <w:color w:val="3E5588"/>
        </w:rPr>
      </w:pPr>
      <w:r>
        <w:rPr>
          <w:rFonts w:ascii="Arial" w:cs="Arial" w:eastAsia="Arial" w:hAnsi="Arial"/>
          <w:sz w:val="18"/>
          <w:szCs w:val="18"/>
          <w:color w:val="3E5588"/>
        </w:rPr>
        <w:t>Dr. Cadavid's restricted stock award for 5,357 shares vests over four years, in equal quarterly installments through January 1, 2021, subject to continued service.</w:t>
      </w:r>
    </w:p>
    <w:p>
      <w:pPr>
        <w:spacing w:after="0" w:line="199" w:lineRule="exact"/>
        <w:rPr>
          <w:rFonts w:ascii="Arial" w:cs="Arial" w:eastAsia="Arial" w:hAnsi="Arial"/>
          <w:sz w:val="18"/>
          <w:szCs w:val="18"/>
          <w:color w:val="3E5588"/>
        </w:rPr>
      </w:pPr>
    </w:p>
    <w:p>
      <w:pPr>
        <w:ind w:left="1680" w:hanging="531"/>
        <w:spacing w:after="0" w:line="268" w:lineRule="auto"/>
        <w:tabs>
          <w:tab w:leader="none" w:pos="1680" w:val="left"/>
        </w:tabs>
        <w:numPr>
          <w:ilvl w:val="0"/>
          <w:numId w:val="81"/>
        </w:numPr>
        <w:rPr>
          <w:rFonts w:ascii="Arial" w:cs="Arial" w:eastAsia="Arial" w:hAnsi="Arial"/>
          <w:sz w:val="18"/>
          <w:szCs w:val="18"/>
          <w:color w:val="3E5588"/>
        </w:rPr>
      </w:pPr>
      <w:r>
        <w:rPr>
          <w:rFonts w:ascii="Arial" w:cs="Arial" w:eastAsia="Arial" w:hAnsi="Arial"/>
          <w:sz w:val="18"/>
          <w:szCs w:val="18"/>
          <w:color w:val="3E5588"/>
        </w:rPr>
        <w:t>Dr. Cadavid's restricted stock award for 8,572 shares vests over four years, in equal quarterly installments through January 1, 2022, subject to continued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Employment Agreements</w:t>
      </w:r>
    </w:p>
    <w:p>
      <w:pPr>
        <w:spacing w:after="0" w:line="231" w:lineRule="exact"/>
        <w:rPr>
          <w:sz w:val="20"/>
          <w:szCs w:val="20"/>
          <w:color w:val="auto"/>
        </w:rPr>
      </w:pPr>
    </w:p>
    <w:p>
      <w:pPr>
        <w:jc w:val="both"/>
        <w:ind w:firstLine="553"/>
        <w:spacing w:after="0" w:line="298" w:lineRule="auto"/>
        <w:rPr>
          <w:sz w:val="20"/>
          <w:szCs w:val="20"/>
          <w:color w:val="auto"/>
        </w:rPr>
      </w:pPr>
      <w:r>
        <w:rPr>
          <w:rFonts w:ascii="Arial" w:cs="Arial" w:eastAsia="Arial" w:hAnsi="Arial"/>
          <w:sz w:val="16"/>
          <w:szCs w:val="16"/>
          <w:color w:val="3E5588"/>
        </w:rPr>
        <w:t>We have entered into written employment agreements with each of our named executive officers, which became effective as of effectiveness of the registration statement of which this prospectus forms a part, and we intend to enter into employment agreements on the same form with our other executive officers. These agreements set forth the terms of the executive officer's compensation, including his base salary, and annual performance bonus opportunity. In addition, the agreements provide that, subject to eligibility requirements under the plan documents governing such programs and our policies, the executive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3E5588"/>
        </w:rPr>
        <w:t>officers are eligible to participate in company-sponsored benefit programs that are generally available to all of our similarly-situated employees. Each executive officer will also be eligible to receive equity awards at such times and on such terms and conditions as the board of directors may determine.</w:t>
      </w:r>
    </w:p>
    <w:p>
      <w:pPr>
        <w:spacing w:after="0" w:line="139"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3E5588"/>
        </w:rPr>
        <w:t>Pursuant to their respective employment agreements, each of our named executive officers is entitled to an annual base salary as follows: Robert J. Gould is entitled to receive an annual base salary of $500,000; Bryan Stuart is entitled to receive an annual base salary of $415,000; and Diego Cadavid is entitled to receive an annual base salary of $375,000. Each named executive officer's base salary is reviewed by our compensation committee and the board of directors on an annual or more frequent basis and is subject to change in the discretion of our board of directors or compensation committee.</w:t>
      </w:r>
    </w:p>
    <w:p>
      <w:pPr>
        <w:spacing w:after="0" w:line="167"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3E5588"/>
        </w:rPr>
        <w:t>Under their respective employment agreements, each of our named executive officers is also eligible to earn an annual performance bonus, with a target bonus amount equal to a specified percentage of such officer's annual base salary, based upon the board's assessment of the executive's performance and our attainment of targeted goals as set by the board of directors in its sole discretion. The bonus may be in the form of cash, equity award, or a combination of cash and equity. Dr. Gould will be eligible for an annual discretionary bonus of up to 45% of his base salary. Mr. Stuart will be eligible for an annual discretionary bonus of up to 35% of his base salary. Dr. Cadavid will be eligible for an annual discretionary bonus of up to 30% of his base salary.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Potential Payments upon Termination or Change in Control</w:t>
      </w:r>
    </w:p>
    <w:p>
      <w:pPr>
        <w:spacing w:after="0" w:line="225" w:lineRule="exact"/>
        <w:rPr>
          <w:sz w:val="20"/>
          <w:szCs w:val="20"/>
          <w:color w:val="auto"/>
        </w:rPr>
      </w:pPr>
    </w:p>
    <w:p>
      <w:pPr>
        <w:jc w:val="both"/>
        <w:ind w:firstLine="440"/>
        <w:spacing w:after="0" w:line="256" w:lineRule="auto"/>
        <w:rPr>
          <w:sz w:val="20"/>
          <w:szCs w:val="20"/>
          <w:color w:val="auto"/>
        </w:rPr>
      </w:pPr>
      <w:r>
        <w:rPr>
          <w:rFonts w:ascii="Arial" w:cs="Arial" w:eastAsia="Arial" w:hAnsi="Arial"/>
          <w:sz w:val="18"/>
          <w:szCs w:val="18"/>
          <w:color w:val="3E5588"/>
        </w:rPr>
        <w:t>The employment agreements and the employment of each of Dr. Gould, Mr. Stuart and Dr. Cadavid may be terminated as follows: (1) upon the death or "disability" (as disability is defined in the applicable employment agreement) of such executive officer; (2) at our election, with or without "cause" (as cause is defined in the applicable employment agreement); and (3) at such executive officer's election, with or without "good reason" (as good reason is defined in the applicable employment agreement).</w:t>
      </w:r>
    </w:p>
    <w:p>
      <w:pPr>
        <w:spacing w:after="0" w:line="197" w:lineRule="exact"/>
        <w:rPr>
          <w:sz w:val="20"/>
          <w:szCs w:val="20"/>
          <w:color w:val="auto"/>
        </w:rPr>
      </w:pPr>
    </w:p>
    <w:p>
      <w:pPr>
        <w:jc w:val="both"/>
        <w:ind w:firstLine="447"/>
        <w:spacing w:after="0" w:line="289" w:lineRule="auto"/>
        <w:rPr>
          <w:sz w:val="20"/>
          <w:szCs w:val="20"/>
          <w:color w:val="auto"/>
        </w:rPr>
      </w:pPr>
      <w:r>
        <w:rPr>
          <w:rFonts w:ascii="Arial" w:cs="Arial" w:eastAsia="Arial" w:hAnsi="Arial"/>
          <w:sz w:val="16"/>
          <w:szCs w:val="16"/>
          <w:color w:val="3E5588"/>
        </w:rPr>
        <w:t>In the event of the termination of Dr. Gould's employment by us without cause, or by him for good reason, prior to or more than 12 months following a "change in control" (as change in control is defined in his employment agreement), Dr. Gould is entitled to his base salary that has accrued and to which he is entitled as of the termination date and other accrued benefits, collectively, the accrued obligations. In addition, subject to his execution and nonrevocation of a release of claims in our favor and his continued compliance with his non-solicitation, confidential information and assignment of inventions agreement and any similar agreement with us, he is entitled to (1) 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72" w:lineRule="exact"/>
        <w:rPr>
          <w:sz w:val="20"/>
          <w:szCs w:val="20"/>
          <w:color w:val="auto"/>
        </w:rPr>
      </w:pPr>
    </w:p>
    <w:p>
      <w:pPr>
        <w:jc w:val="both"/>
        <w:ind w:firstLine="385"/>
        <w:spacing w:after="0" w:line="284" w:lineRule="auto"/>
        <w:rPr>
          <w:sz w:val="20"/>
          <w:szCs w:val="20"/>
          <w:color w:val="auto"/>
        </w:rPr>
      </w:pPr>
      <w:r>
        <w:rPr>
          <w:rFonts w:ascii="Arial" w:cs="Arial" w:eastAsia="Arial" w:hAnsi="Arial"/>
          <w:sz w:val="16"/>
          <w:szCs w:val="16"/>
          <w:color w:val="3E5588"/>
        </w:rPr>
        <w:t>In the event of the termination of Dr. Gould's employment by us without cause, or by him for good reason, within 12 months following a change in control, Dr. Gould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Dr. Gould is entitled to</w:t>
      </w:r>
    </w:p>
    <w:p>
      <w:pPr>
        <w:spacing w:after="0" w:line="1" w:lineRule="exact"/>
        <w:rPr>
          <w:sz w:val="20"/>
          <w:szCs w:val="20"/>
          <w:color w:val="auto"/>
        </w:rPr>
      </w:pPr>
    </w:p>
    <w:p>
      <w:pPr>
        <w:jc w:val="both"/>
        <w:ind w:firstLine="8"/>
        <w:spacing w:after="0" w:line="292" w:lineRule="auto"/>
        <w:tabs>
          <w:tab w:leader="none" w:pos="258" w:val="left"/>
        </w:tabs>
        <w:numPr>
          <w:ilvl w:val="0"/>
          <w:numId w:val="82"/>
        </w:numPr>
        <w:rPr>
          <w:rFonts w:ascii="Arial" w:cs="Arial" w:eastAsia="Arial" w:hAnsi="Arial"/>
          <w:sz w:val="16"/>
          <w:szCs w:val="16"/>
          <w:color w:val="3E5588"/>
        </w:rPr>
      </w:pPr>
      <w:r>
        <w:rPr>
          <w:rFonts w:ascii="Arial" w:cs="Arial" w:eastAsia="Arial" w:hAnsi="Arial"/>
          <w:sz w:val="16"/>
          <w:szCs w:val="16"/>
          <w:color w:val="3E5588"/>
        </w:rPr>
        <w:t>continued payment of his then-current base salary (or, if higher, his base salary in effect immediately prior to the change in control), in accordance with our regular payroll procedures, for a period of 18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18 months following his date of termination, (3) a lump sum payment equal to 100% of his target bonus for the year in which his employment is terminated or, if higher, his target bonus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6" w:lineRule="exact"/>
        <w:rPr>
          <w:sz w:val="20"/>
          <w:szCs w:val="20"/>
          <w:color w:val="auto"/>
        </w:rPr>
      </w:pPr>
    </w:p>
    <w:p>
      <w:pPr>
        <w:jc w:val="both"/>
        <w:ind w:firstLine="399"/>
        <w:spacing w:after="0" w:line="332" w:lineRule="auto"/>
        <w:rPr>
          <w:sz w:val="20"/>
          <w:szCs w:val="20"/>
          <w:color w:val="auto"/>
        </w:rPr>
      </w:pPr>
      <w:r>
        <w:rPr>
          <w:rFonts w:ascii="Arial" w:cs="Arial" w:eastAsia="Arial" w:hAnsi="Arial"/>
          <w:sz w:val="16"/>
          <w:szCs w:val="16"/>
          <w:color w:val="3E5588"/>
        </w:rPr>
        <w:t>If Dr. Gould's employment is terminated for any other reason, including as a result of his death or disability, for cause, or voluntarily by Dr. Gould without good reason, our obligations under the employment agreement cease immediately, and Dr. Gould is only entitled to the accrued obligations.</w:t>
      </w:r>
    </w:p>
    <w:p>
      <w:pPr>
        <w:spacing w:after="0" w:line="139" w:lineRule="exact"/>
        <w:rPr>
          <w:sz w:val="20"/>
          <w:szCs w:val="20"/>
          <w:color w:val="auto"/>
        </w:rPr>
      </w:pPr>
    </w:p>
    <w:p>
      <w:pPr>
        <w:jc w:val="both"/>
        <w:ind w:firstLine="431"/>
        <w:spacing w:after="0" w:line="283" w:lineRule="auto"/>
        <w:rPr>
          <w:sz w:val="20"/>
          <w:szCs w:val="20"/>
          <w:color w:val="auto"/>
        </w:rPr>
      </w:pPr>
      <w:r>
        <w:rPr>
          <w:rFonts w:ascii="Arial" w:cs="Arial" w:eastAsia="Arial" w:hAnsi="Arial"/>
          <w:sz w:val="16"/>
          <w:szCs w:val="16"/>
          <w:color w:val="3E5588"/>
        </w:rPr>
        <w:t>In the event of the termination of Mr. Stuart's or Dr. Cadavid's employment by us without cause, or by such executive officer for good reason, prior to or more than 12 months following a "change in control" (as change in control is defined in his employment agreement),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w:t>
      </w:r>
    </w:p>
    <w:p>
      <w:pPr>
        <w:spacing w:after="0" w:line="3" w:lineRule="exact"/>
        <w:rPr>
          <w:sz w:val="20"/>
          <w:szCs w:val="20"/>
          <w:color w:val="auto"/>
        </w:rPr>
      </w:pPr>
    </w:p>
    <w:p>
      <w:pPr>
        <w:jc w:val="both"/>
        <w:ind w:firstLine="8"/>
        <w:spacing w:after="0" w:line="254" w:lineRule="auto"/>
        <w:tabs>
          <w:tab w:leader="none" w:pos="264" w:val="left"/>
        </w:tabs>
        <w:numPr>
          <w:ilvl w:val="0"/>
          <w:numId w:val="83"/>
        </w:numPr>
        <w:rPr>
          <w:rFonts w:ascii="Arial" w:cs="Arial" w:eastAsia="Arial" w:hAnsi="Arial"/>
          <w:sz w:val="18"/>
          <w:szCs w:val="18"/>
          <w:color w:val="3E5588"/>
        </w:rPr>
      </w:pPr>
      <w:r>
        <w:rPr>
          <w:rFonts w:ascii="Arial" w:cs="Arial" w:eastAsia="Arial" w:hAnsi="Arial"/>
          <w:sz w:val="18"/>
          <w:szCs w:val="18"/>
          <w:color w:val="3E5588"/>
        </w:rPr>
        <w:t>continued payment of his base salary, in accordance with our regular payroll procedures, for a period of 12 months and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w:t>
      </w:r>
    </w:p>
    <w:p>
      <w:pPr>
        <w:spacing w:after="0" w:line="198" w:lineRule="exact"/>
        <w:rPr>
          <w:sz w:val="20"/>
          <w:szCs w:val="20"/>
          <w:color w:val="auto"/>
        </w:rPr>
      </w:pPr>
    </w:p>
    <w:p>
      <w:pPr>
        <w:jc w:val="both"/>
        <w:ind w:firstLine="443"/>
        <w:spacing w:after="0" w:line="286" w:lineRule="auto"/>
        <w:rPr>
          <w:sz w:val="20"/>
          <w:szCs w:val="20"/>
          <w:color w:val="auto"/>
        </w:rPr>
      </w:pPr>
      <w:r>
        <w:rPr>
          <w:rFonts w:ascii="Arial" w:cs="Arial" w:eastAsia="Arial" w:hAnsi="Arial"/>
          <w:sz w:val="16"/>
          <w:szCs w:val="16"/>
          <w:color w:val="3E5588"/>
        </w:rPr>
        <w:t>In the event of the termination of Mr. Stuart's or Dr. Cadavid's employment by us without cause, or by such executive officer for good reason, within 12 months following a change in control, such executive officer is entitled to the accrued obligations. In addition, subject to his execution and nonrevocation of a release of claims in our favor and his continued compliance with his non-solicitation, confidential information and assignment of inventions agreement and any similar agreement with us, such executive officer is entitled to (1) continued payment of his then-current base salary (or, if higher, his base salary in effect immediately prior to the change in control), in accordance with our regular payroll procedures, for a period of 12 months, (2) provided he is eligible for and timely elects to continue receiving group medical insurance under COBRA and the payments would not result in the violation of nondiscrimination requirements of applicable law, payment by us of the portion of health coverage premiums we pay for similarly-situated, active employees who receive the same type of coverage, for a period of up to 12 months following his date of termination, (3) a lump sum payment equal to 100% of his target bonus for the year in which his employment is terminated or, if higher, his target bonus immediately prior to the change in control and (4) full vesting acceleration of his then-unvested equity awards that vest solely based on the passage of time, such that his time-based equity awards become fully exercisable and non-forfeitable as of the termination date.</w:t>
      </w:r>
    </w:p>
    <w:p>
      <w:pPr>
        <w:spacing w:after="0" w:line="181" w:lineRule="exact"/>
        <w:rPr>
          <w:sz w:val="20"/>
          <w:szCs w:val="20"/>
          <w:color w:val="auto"/>
        </w:rPr>
      </w:pPr>
    </w:p>
    <w:p>
      <w:pPr>
        <w:jc w:val="both"/>
        <w:ind w:firstLine="381"/>
        <w:spacing w:after="0" w:line="259" w:lineRule="auto"/>
        <w:rPr>
          <w:sz w:val="20"/>
          <w:szCs w:val="20"/>
          <w:color w:val="auto"/>
        </w:rPr>
      </w:pPr>
      <w:r>
        <w:rPr>
          <w:rFonts w:ascii="Arial" w:cs="Arial" w:eastAsia="Arial" w:hAnsi="Arial"/>
          <w:sz w:val="18"/>
          <w:szCs w:val="18"/>
          <w:color w:val="3E5588"/>
        </w:rPr>
        <w:t>If Mr. Stuart's or Dr. Cadavid's employment is terminated for any other reason, including as a result of such executive officer's death or disability, for cause, or voluntarily by such executive officer without good reason, our obligations under the employment agreement cease immediately, and such executive officer is only entitled to the accrued obligations.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Employee Non-Solicitation, Confidentiality and Assignment of Inventions Agreements</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3E5588"/>
        </w:rPr>
        <w:t>In connection with the employment agreements, each of our named executive officers has entered into a standard form agreement with respect to non-solicitation, confidential information and assignment of inventions.</w:t>
      </w:r>
    </w:p>
    <w:p>
      <w:pPr>
        <w:spacing w:after="0" w:line="186" w:lineRule="exact"/>
        <w:rPr>
          <w:sz w:val="20"/>
          <w:szCs w:val="20"/>
          <w:color w:val="auto"/>
        </w:rPr>
      </w:pPr>
    </w:p>
    <w:p>
      <w:pPr>
        <w:jc w:val="both"/>
        <w:ind w:firstLine="398"/>
        <w:spacing w:after="0" w:line="256" w:lineRule="auto"/>
        <w:rPr>
          <w:sz w:val="20"/>
          <w:szCs w:val="20"/>
          <w:color w:val="auto"/>
        </w:rPr>
      </w:pPr>
      <w:r>
        <w:rPr>
          <w:rFonts w:ascii="Arial" w:cs="Arial" w:eastAsia="Arial" w:hAnsi="Arial"/>
          <w:sz w:val="18"/>
          <w:szCs w:val="18"/>
          <w:color w:val="3E5588"/>
        </w:rPr>
        <w:t>Under their respective agreements, each named executive officer has agreed that we own all inventions that are developed by such executive officer during his employment with us that (i) are related to our business or our customers or suppliers or any of our products or services being researched, developed, manufactured or sold by us or which may be used with such products or services, (ii) result from tasks assigned to the executive officer by us or (iii) result from the use of our premises or personal property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E5588"/>
        </w:rPr>
        <w:t>(whether tangible or intangible) owned, leased or contracted for by us. Each named executive officer also agreed to provide us with a non-exclusive, royalty-free, paid-up, irrevocable, worldwide license for any prior inventions that such executive officer incorporates into any of our products, processes, machines or other works, in the course of such executive officer's employment with us. Under their respective agreements, each named executive officer has further agreed not to solicit our employees, consultants, customers, business or prospective customers during his employment and for a period of one year after the termination of his employment, and to protect our confidential and proprietary information indefinitely.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Stock Option and Other Compensation Plans</w:t>
      </w:r>
    </w:p>
    <w:p>
      <w:pPr>
        <w:spacing w:after="0" w:line="231" w:lineRule="exact"/>
        <w:rPr>
          <w:sz w:val="20"/>
          <w:szCs w:val="20"/>
          <w:color w:val="auto"/>
        </w:rPr>
      </w:pPr>
    </w:p>
    <w:p>
      <w:pPr>
        <w:jc w:val="both"/>
        <w:ind w:firstLine="394"/>
        <w:spacing w:after="0" w:line="332" w:lineRule="auto"/>
        <w:rPr>
          <w:sz w:val="20"/>
          <w:szCs w:val="20"/>
          <w:color w:val="auto"/>
        </w:rPr>
      </w:pPr>
      <w:r>
        <w:rPr>
          <w:rFonts w:ascii="Arial" w:cs="Arial" w:eastAsia="Arial" w:hAnsi="Arial"/>
          <w:sz w:val="16"/>
          <w:szCs w:val="16"/>
          <w:color w:val="3E5588"/>
        </w:rPr>
        <w:t>In this section we describe our 2016 Plan, our 2019 Plan and our 2019 Employee Stock Purchase Plan, or the 2019 ESPP. Prior to this offering, we granted awards to eligible participants under the 2016 Plan. We expect to grant future awards to eligible participants from time to time only under the 2019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2016 Stock Incentive Plan</w:t>
      </w:r>
    </w:p>
    <w:p>
      <w:pPr>
        <w:spacing w:after="0" w:line="225" w:lineRule="exact"/>
        <w:rPr>
          <w:sz w:val="20"/>
          <w:szCs w:val="20"/>
          <w:color w:val="auto"/>
        </w:rPr>
      </w:pPr>
    </w:p>
    <w:p>
      <w:pPr>
        <w:jc w:val="both"/>
        <w:ind w:firstLine="423"/>
        <w:spacing w:after="0" w:line="253" w:lineRule="auto"/>
        <w:rPr>
          <w:sz w:val="20"/>
          <w:szCs w:val="20"/>
          <w:color w:val="auto"/>
        </w:rPr>
      </w:pPr>
      <w:r>
        <w:rPr>
          <w:rFonts w:ascii="Arial" w:cs="Arial" w:eastAsia="Arial" w:hAnsi="Arial"/>
          <w:sz w:val="18"/>
          <w:szCs w:val="18"/>
          <w:color w:val="3E5588"/>
        </w:rPr>
        <w:t>The 2016 Plan was initially approved by our board of directors and stockholders in July 2016 and was subsequently amended in 2017, 2018 and 2019, in each case to increase the total number of shares reserved for issuance under the plan. The 2016 Plan provides for the grant of incentive stock options, nonstatutory options, stock appreciation rights, awards of restricted stock, restricted stock units and other stock-based awards. Our employees, officers, directors, consultants and advisors are eligible to receive awards under the 2016 Plan; however, incentive stock options may only be granted to our employees. The type of award granted under the 2016 Plan and the terms of such award are set forth in the applicable award agreement. Pursuant to the terms of the 2016 Plan, our board of directors (or a committee delegated by our board of directors) administers the plan and, subject to any limitations in the plan, selects the recipients of awards and determines:</w:t>
      </w:r>
    </w:p>
    <w:p>
      <w:pPr>
        <w:spacing w:after="0" w:line="215"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3E5588"/>
        </w:rPr>
      </w:pPr>
      <w:r>
        <w:rPr>
          <w:rFonts w:ascii="Arial" w:cs="Arial" w:eastAsia="Arial" w:hAnsi="Arial"/>
          <w:sz w:val="18"/>
          <w:szCs w:val="18"/>
          <w:color w:val="3E5588"/>
        </w:rPr>
        <w:t>the number of shares of our common stock covered by options and the dates upon which the options become exercisable;</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84"/>
        </w:numPr>
        <w:rPr>
          <w:rFonts w:ascii="Arial" w:cs="Arial" w:eastAsia="Arial" w:hAnsi="Arial"/>
          <w:sz w:val="18"/>
          <w:szCs w:val="18"/>
          <w:color w:val="3E5588"/>
        </w:rPr>
      </w:pPr>
      <w:r>
        <w:rPr>
          <w:rFonts w:ascii="Arial" w:cs="Arial" w:eastAsia="Arial" w:hAnsi="Arial"/>
          <w:sz w:val="18"/>
          <w:szCs w:val="18"/>
          <w:color w:val="3E5588"/>
        </w:rPr>
        <w:t>the type of options to be granted;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84"/>
        </w:numPr>
        <w:rPr>
          <w:rFonts w:ascii="Arial" w:cs="Arial" w:eastAsia="Arial" w:hAnsi="Arial"/>
          <w:sz w:val="18"/>
          <w:szCs w:val="18"/>
          <w:color w:val="3E5588"/>
        </w:rPr>
      </w:pPr>
      <w:r>
        <w:rPr>
          <w:rFonts w:ascii="Arial" w:cs="Arial" w:eastAsia="Arial" w:hAnsi="Arial"/>
          <w:sz w:val="18"/>
          <w:szCs w:val="18"/>
          <w:color w:val="3E5588"/>
        </w:rPr>
        <w:t>the duration of options, which may not be in excess of ten years;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84"/>
        </w:numPr>
        <w:rPr>
          <w:rFonts w:ascii="Arial" w:cs="Arial" w:eastAsia="Arial" w:hAnsi="Arial"/>
          <w:sz w:val="18"/>
          <w:szCs w:val="18"/>
          <w:color w:val="3E5588"/>
        </w:rPr>
      </w:pPr>
      <w:r>
        <w:rPr>
          <w:rFonts w:ascii="Arial" w:cs="Arial" w:eastAsia="Arial" w:hAnsi="Arial"/>
          <w:sz w:val="18"/>
          <w:szCs w:val="18"/>
          <w:color w:val="3E5588"/>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3E5588"/>
        </w:rPr>
      </w:pPr>
    </w:p>
    <w:p>
      <w:pPr>
        <w:jc w:val="both"/>
        <w:ind w:left="1080" w:hanging="532"/>
        <w:spacing w:after="0" w:line="298" w:lineRule="auto"/>
        <w:tabs>
          <w:tab w:leader="none" w:pos="1080" w:val="left"/>
        </w:tabs>
        <w:numPr>
          <w:ilvl w:val="0"/>
          <w:numId w:val="84"/>
        </w:numPr>
        <w:rPr>
          <w:rFonts w:ascii="Arial" w:cs="Arial" w:eastAsia="Arial" w:hAnsi="Arial"/>
          <w:sz w:val="16"/>
          <w:szCs w:val="16"/>
          <w:color w:val="3E5588"/>
        </w:rPr>
      </w:pPr>
      <w:r>
        <w:rPr>
          <w:rFonts w:ascii="Arial" w:cs="Arial" w:eastAsia="Arial" w:hAnsi="Arial"/>
          <w:sz w:val="16"/>
          <w:szCs w:val="16"/>
          <w:color w:val="3E5588"/>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both"/>
        <w:ind w:firstLine="463"/>
        <w:spacing w:after="0" w:line="370" w:lineRule="auto"/>
        <w:rPr>
          <w:sz w:val="20"/>
          <w:szCs w:val="20"/>
          <w:color w:val="auto"/>
        </w:rPr>
      </w:pPr>
      <w:r>
        <w:rPr>
          <w:rFonts w:ascii="Arial" w:cs="Arial" w:eastAsia="Arial" w:hAnsi="Arial"/>
          <w:sz w:val="15"/>
          <w:szCs w:val="15"/>
          <w:color w:val="3E5588"/>
        </w:rPr>
        <w:t>The maximum number of shares of common stock authorized for issuance under the 2016 Plan is 3,566,428 shares. Our board of directors may amend, suspend or terminate the 2016 Plan (or any portion of the 2016 Plan) at any time, except that stockholder approval may be required to comply with applicable law.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Effect of Certain Changes in Capitalization</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3E5588"/>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3E5588"/>
        </w:rPr>
        <w:t>under the terms of the 2016 Plan, we are required to equitably adjust (or make substitute awards, if applicable), in the manner determined by our board of directors:</w:t>
      </w:r>
    </w:p>
    <w:p>
      <w:pPr>
        <w:spacing w:after="0" w:line="199" w:lineRule="exact"/>
        <w:rPr>
          <w:sz w:val="20"/>
          <w:szCs w:val="20"/>
          <w:color w:val="auto"/>
        </w:rPr>
      </w:pPr>
    </w:p>
    <w:p>
      <w:pPr>
        <w:ind w:left="1080" w:hanging="532"/>
        <w:spacing w:after="0"/>
        <w:tabs>
          <w:tab w:leader="none" w:pos="1080" w:val="left"/>
        </w:tabs>
        <w:numPr>
          <w:ilvl w:val="0"/>
          <w:numId w:val="85"/>
        </w:numPr>
        <w:rPr>
          <w:rFonts w:ascii="Arial" w:cs="Arial" w:eastAsia="Arial" w:hAnsi="Arial"/>
          <w:sz w:val="18"/>
          <w:szCs w:val="18"/>
          <w:color w:val="3E5588"/>
        </w:rPr>
      </w:pPr>
      <w:r>
        <w:rPr>
          <w:rFonts w:ascii="Arial" w:cs="Arial" w:eastAsia="Arial" w:hAnsi="Arial"/>
          <w:sz w:val="18"/>
          <w:szCs w:val="18"/>
          <w:color w:val="3E5588"/>
        </w:rPr>
        <w:t>the number and class of securities available under the 2016 Plan;</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85"/>
        </w:numPr>
        <w:rPr>
          <w:rFonts w:ascii="Arial" w:cs="Arial" w:eastAsia="Arial" w:hAnsi="Arial"/>
          <w:sz w:val="18"/>
          <w:szCs w:val="18"/>
          <w:color w:val="3E5588"/>
        </w:rPr>
      </w:pPr>
      <w:r>
        <w:rPr>
          <w:rFonts w:ascii="Arial" w:cs="Arial" w:eastAsia="Arial" w:hAnsi="Arial"/>
          <w:sz w:val="18"/>
          <w:szCs w:val="18"/>
          <w:color w:val="3E5588"/>
        </w:rPr>
        <w:t>the number and class of securities and exercise price per share of each outstanding option;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85"/>
        </w:numPr>
        <w:rPr>
          <w:rFonts w:ascii="Arial" w:cs="Arial" w:eastAsia="Arial" w:hAnsi="Arial"/>
          <w:sz w:val="18"/>
          <w:szCs w:val="18"/>
          <w:color w:val="3E5588"/>
        </w:rPr>
      </w:pPr>
      <w:r>
        <w:rPr>
          <w:rFonts w:ascii="Arial" w:cs="Arial" w:eastAsia="Arial" w:hAnsi="Arial"/>
          <w:sz w:val="18"/>
          <w:szCs w:val="18"/>
          <w:color w:val="3E5588"/>
        </w:rPr>
        <w:t>the share and per-share provisions and the measurement price of each outstanding stock appreciation right;</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85"/>
        </w:numPr>
        <w:rPr>
          <w:rFonts w:ascii="Arial" w:cs="Arial" w:eastAsia="Arial" w:hAnsi="Arial"/>
          <w:sz w:val="18"/>
          <w:szCs w:val="18"/>
          <w:color w:val="3E5588"/>
        </w:rPr>
      </w:pPr>
      <w:r>
        <w:rPr>
          <w:rFonts w:ascii="Arial" w:cs="Arial" w:eastAsia="Arial" w:hAnsi="Arial"/>
          <w:sz w:val="18"/>
          <w:szCs w:val="18"/>
          <w:color w:val="3E5588"/>
        </w:rPr>
        <w:t>the number of shares subject to and the repurchase price per share subject to each outstanding restricted stock award or restricted stock unit award; and</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85"/>
        </w:numPr>
        <w:rPr>
          <w:rFonts w:ascii="Arial" w:cs="Arial" w:eastAsia="Arial" w:hAnsi="Arial"/>
          <w:sz w:val="18"/>
          <w:szCs w:val="18"/>
          <w:color w:val="3E5588"/>
        </w:rPr>
      </w:pPr>
      <w:r>
        <w:rPr>
          <w:rFonts w:ascii="Arial" w:cs="Arial" w:eastAsia="Arial" w:hAnsi="Arial"/>
          <w:sz w:val="18"/>
          <w:szCs w:val="18"/>
          <w:color w:val="3E5588"/>
        </w:rPr>
        <w:t>the share and per-share-related provisions and the purchase price, if any, of each outstanding other stock-based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Effect of Certain Corporate Transactions</w:t>
      </w:r>
    </w:p>
    <w:p>
      <w:pPr>
        <w:spacing w:after="0" w:line="225"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3E5588"/>
        </w:rPr>
        <w:t>Upon the occurrence of a merger or other reorganization event (as defined in the 2016 Plan), our board of directors may, on such terms as our board determines (except to the extent specifically provided otherwise in an applicable award agreement or other agreement between the participant and us), take any one or more of the following actions pursuant to the 2016 Plan as to all or any (or any portion of) outstanding awards, other than awards of restricted stock:</w:t>
      </w:r>
    </w:p>
    <w:p>
      <w:pPr>
        <w:spacing w:after="0" w:line="174" w:lineRule="exact"/>
        <w:rPr>
          <w:sz w:val="20"/>
          <w:szCs w:val="20"/>
          <w:color w:val="auto"/>
        </w:rPr>
      </w:pPr>
    </w:p>
    <w:p>
      <w:pPr>
        <w:ind w:left="1080" w:hanging="532"/>
        <w:spacing w:after="0" w:line="268" w:lineRule="auto"/>
        <w:tabs>
          <w:tab w:leader="none" w:pos="1080" w:val="left"/>
        </w:tabs>
        <w:numPr>
          <w:ilvl w:val="0"/>
          <w:numId w:val="86"/>
        </w:numPr>
        <w:rPr>
          <w:rFonts w:ascii="Arial" w:cs="Arial" w:eastAsia="Arial" w:hAnsi="Arial"/>
          <w:sz w:val="18"/>
          <w:szCs w:val="18"/>
          <w:color w:val="3E5588"/>
        </w:rPr>
      </w:pPr>
      <w:r>
        <w:rPr>
          <w:rFonts w:ascii="Arial" w:cs="Arial" w:eastAsia="Arial" w:hAnsi="Arial"/>
          <w:sz w:val="18"/>
          <w:szCs w:val="18"/>
          <w:color w:val="3E5588"/>
        </w:rPr>
        <w:t>provide that outstanding awards will be assumed, or substantially equivalent awards will be substituted, by the acquiring or succeeding corporation (or an affiliate of the acquiring or succeeding corporation);</w:t>
      </w:r>
    </w:p>
    <w:p>
      <w:pPr>
        <w:spacing w:after="0" w:line="199"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86"/>
        </w:numPr>
        <w:rPr>
          <w:rFonts w:ascii="Arial" w:cs="Arial" w:eastAsia="Arial" w:hAnsi="Arial"/>
          <w:sz w:val="18"/>
          <w:szCs w:val="18"/>
          <w:color w:val="3E5588"/>
        </w:rPr>
      </w:pPr>
      <w:r>
        <w:rPr>
          <w:rFonts w:ascii="Arial" w:cs="Arial" w:eastAsia="Arial" w:hAnsi="Arial"/>
          <w:sz w:val="18"/>
          <w:szCs w:val="18"/>
          <w:color w:val="3E5588"/>
        </w:rPr>
        <w:t>upon written notice to a participant, provide that all of the participant's unexercised awards will terminate immediately prior to the consummation of the reorganization event unless exercised by the participant (to the extent then exercisable) within a specified period following the date of the notice;</w:t>
      </w:r>
    </w:p>
    <w:p>
      <w:pPr>
        <w:spacing w:after="0" w:line="221"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86"/>
        </w:numPr>
        <w:rPr>
          <w:rFonts w:ascii="Arial" w:cs="Arial" w:eastAsia="Arial" w:hAnsi="Arial"/>
          <w:sz w:val="18"/>
          <w:szCs w:val="18"/>
          <w:color w:val="3E5588"/>
        </w:rPr>
      </w:pPr>
      <w:r>
        <w:rPr>
          <w:rFonts w:ascii="Arial" w:cs="Arial" w:eastAsia="Arial" w:hAnsi="Arial"/>
          <w:sz w:val="18"/>
          <w:szCs w:val="18"/>
          <w:color w:val="3E5588"/>
        </w:rPr>
        <w:t>provide that outstanding awards will become exercisable, realizable or deliverable, or restrictions applicable to an award will lapse, in whole or in part, prior to or upon such reorganization event;</w:t>
      </w:r>
    </w:p>
    <w:p>
      <w:pPr>
        <w:spacing w:after="0" w:line="199" w:lineRule="exact"/>
        <w:rPr>
          <w:rFonts w:ascii="Arial" w:cs="Arial" w:eastAsia="Arial" w:hAnsi="Arial"/>
          <w:sz w:val="18"/>
          <w:szCs w:val="18"/>
          <w:color w:val="3E5588"/>
        </w:rPr>
      </w:pPr>
    </w:p>
    <w:p>
      <w:pPr>
        <w:jc w:val="both"/>
        <w:ind w:left="1080" w:hanging="532"/>
        <w:spacing w:after="0" w:line="254" w:lineRule="auto"/>
        <w:tabs>
          <w:tab w:leader="none" w:pos="1080" w:val="left"/>
        </w:tabs>
        <w:numPr>
          <w:ilvl w:val="0"/>
          <w:numId w:val="86"/>
        </w:numPr>
        <w:rPr>
          <w:rFonts w:ascii="Arial" w:cs="Arial" w:eastAsia="Arial" w:hAnsi="Arial"/>
          <w:sz w:val="18"/>
          <w:szCs w:val="18"/>
          <w:color w:val="3E5588"/>
        </w:rPr>
      </w:pPr>
      <w:r>
        <w:rPr>
          <w:rFonts w:ascii="Arial" w:cs="Arial" w:eastAsia="Arial" w:hAnsi="Arial"/>
          <w:sz w:val="18"/>
          <w:szCs w:val="18"/>
          <w:color w:val="3E5588"/>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the reorganization event) multiplied by (2) the excess, if any, of the cash payment for each share surrendered in the reorganization event over the exercise, measurement or purchase price of such award and any applicable tax withholdings, in exchange for the termination of the award;</w:t>
      </w:r>
    </w:p>
    <w:p>
      <w:pPr>
        <w:spacing w:after="0" w:line="211"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86"/>
        </w:numPr>
        <w:rPr>
          <w:rFonts w:ascii="Arial" w:cs="Arial" w:eastAsia="Arial" w:hAnsi="Arial"/>
          <w:sz w:val="18"/>
          <w:szCs w:val="18"/>
          <w:color w:val="3E5588"/>
        </w:rPr>
      </w:pPr>
      <w:r>
        <w:rPr>
          <w:rFonts w:ascii="Arial" w:cs="Arial" w:eastAsia="Arial" w:hAnsi="Arial"/>
          <w:sz w:val="18"/>
          <w:szCs w:val="18"/>
          <w:color w:val="3E5588"/>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86"/>
        </w:numPr>
        <w:rPr>
          <w:rFonts w:ascii="Arial" w:cs="Arial" w:eastAsia="Arial" w:hAnsi="Arial"/>
          <w:sz w:val="18"/>
          <w:szCs w:val="18"/>
          <w:color w:val="3E5588"/>
        </w:rPr>
      </w:pPr>
      <w:r>
        <w:rPr>
          <w:rFonts w:ascii="Arial" w:cs="Arial" w:eastAsia="Arial" w:hAnsi="Arial"/>
          <w:sz w:val="18"/>
          <w:szCs w:val="18"/>
          <w:color w:val="3E5588"/>
        </w:rPr>
        <w:t>any combination of the foregoing.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3E5588"/>
        </w:rPr>
        <w:t>Our board of directors is not obligated under the 2016 Plan to treat all awards, all awards held by a participant, or all awards of the same type, identically.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3E5588"/>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66"/>
        <w:spacing w:after="0" w:line="312" w:lineRule="auto"/>
        <w:rPr>
          <w:sz w:val="20"/>
          <w:szCs w:val="20"/>
          <w:color w:val="auto"/>
        </w:rPr>
      </w:pPr>
      <w:r>
        <w:rPr>
          <w:rFonts w:ascii="Arial" w:cs="Arial" w:eastAsia="Arial" w:hAnsi="Arial"/>
          <w:sz w:val="15"/>
          <w:szCs w:val="15"/>
          <w:color w:val="3E5588"/>
        </w:rPr>
        <w:t>Upon the occurrence of a reorganization event other than our liquidation or dissolution, our repurchase and other rights with respect to outstanding restricted stock awards will continue for the benefit of the succeeding company and will, unless our board of directors determines otherwise, apply to the cash, securities, or other property which our common stock was converted into or exchanged for in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any other agreement between a participant and us, either initially or by amendment. Upon our liquidation or dissolution, except to the extent specifically provided to the contrary in the restricted stock award agreement or any other agreement between the plan participant and us, all restrictions and conditions on all restricted stock awards then outstanding will automatically be deemed terminated or satisfied.</w:t>
      </w:r>
    </w:p>
    <w:p>
      <w:pPr>
        <w:spacing w:after="0" w:line="159"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3E5588"/>
        </w:rPr>
        <w:t>Our board of directors may at any time provide that any award under the 2016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firstLine="507"/>
        <w:spacing w:after="0" w:line="254" w:lineRule="auto"/>
        <w:rPr>
          <w:sz w:val="20"/>
          <w:szCs w:val="20"/>
          <w:color w:val="auto"/>
        </w:rPr>
      </w:pPr>
      <w:r>
        <w:rPr>
          <w:rFonts w:ascii="Arial" w:cs="Arial" w:eastAsia="Arial" w:hAnsi="Arial"/>
          <w:sz w:val="18"/>
          <w:szCs w:val="18"/>
          <w:color w:val="3E5588"/>
        </w:rPr>
        <w:t>As of June 30, 2019, there were 1,663,967 shares of restricted common stock outstanding under the 2016 Plan, including 507,593 shares of unvested restricted common stock subject to repurchase by us. In addition, as of June 30, 2019, there were options to purchase 1,592,753 shares of common stock outstanding under the 2016 Plan at a weighted average exercise price of $7.81 per share, options to purchase 28,205 shares of our common stock had been exercised under the 2016 Plan and 281,503 shares of common stock were available for future issuance under the 2016 Plan. No further awards will be made under the 2016 Plan on or after the effectiveness of the registration statement for this offering; however, awards outstanding under the 2016 Plan will continue to be governed by their existing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2019 Stock Incentive Plan</w:t>
      </w:r>
    </w:p>
    <w:p>
      <w:pPr>
        <w:spacing w:after="0" w:line="225" w:lineRule="exact"/>
        <w:rPr>
          <w:sz w:val="20"/>
          <w:szCs w:val="20"/>
          <w:color w:val="auto"/>
        </w:rPr>
      </w:pPr>
    </w:p>
    <w:p>
      <w:pPr>
        <w:jc w:val="both"/>
        <w:ind w:firstLine="395"/>
        <w:spacing w:after="0" w:line="287" w:lineRule="auto"/>
        <w:rPr>
          <w:sz w:val="20"/>
          <w:szCs w:val="20"/>
          <w:color w:val="auto"/>
        </w:rPr>
      </w:pPr>
      <w:r>
        <w:rPr>
          <w:rFonts w:ascii="Arial" w:cs="Arial" w:eastAsia="Arial" w:hAnsi="Arial"/>
          <w:sz w:val="16"/>
          <w:szCs w:val="16"/>
          <w:color w:val="3E5588"/>
        </w:rPr>
        <w:t>In June 2019, our board of directors adopted and, in July 2019, our stockholders approved, the 2019 Plan, which became effective immediately prior to the effectiveness of the registration statement of which this prospectus forms a part. The 2019 Plan provides for the grant of incentive stock options, nonstatutory stock options, stock appreciation rights, restricted stock awards, restricted stock units and other stock-based awards. The number of shares of our common stock reserved for issuance under the 2019 Plan is the sum of: (1) 2,017,142; plus (2) the number of shares (up to 2,367,035 shares) as is equal to the sum of (x) the number of shares of our common stock reserved for issuance under the 2016 Plan that remained available for grant under the 2016 Plan immediately prior to the effectiveness of the registration statement of which this prospectus forms a part and (y) the number of shares of our common stock subject to outstanding awards under the 2016 Plan that expire, terminate or are otherwise surrendered, cancelled, forfeited or repurchased by us at their original issuance price pursuant to a contractual repurchase right; plus (3) an annual increase, to be added on the first day of each fiscal year, beginning with the fiscal year ending December 31, 2020 and continuing until, and including, the fiscal year ending December 31, 2029, equal to the lowest of (i) 2,000,000 shares of our common stock, (ii) 4% of the number of shares of our common stock outstanding on the first day of such fiscal year and (iii) an amount determined by our board of directors.</w:t>
      </w:r>
    </w:p>
    <w:p>
      <w:pPr>
        <w:spacing w:after="0" w:line="177" w:lineRule="exact"/>
        <w:rPr>
          <w:sz w:val="20"/>
          <w:szCs w:val="20"/>
          <w:color w:val="auto"/>
        </w:rPr>
      </w:pPr>
    </w:p>
    <w:p>
      <w:pPr>
        <w:jc w:val="both"/>
        <w:ind w:firstLine="396"/>
        <w:spacing w:after="0" w:line="306" w:lineRule="auto"/>
        <w:rPr>
          <w:sz w:val="20"/>
          <w:szCs w:val="20"/>
          <w:color w:val="auto"/>
        </w:rPr>
      </w:pPr>
      <w:r>
        <w:rPr>
          <w:rFonts w:ascii="Arial" w:cs="Arial" w:eastAsia="Arial" w:hAnsi="Arial"/>
          <w:sz w:val="16"/>
          <w:szCs w:val="16"/>
          <w:color w:val="3E5588"/>
        </w:rPr>
        <w:t>Our employees, officers, directors, consultants and advisors are eligible to receive awards under the 2019 Plan. Incentive stock options, however, may only be granted to our employees. Our board of directors has granted under the 2019 Plan options to purchase 308,486 shares of our common stock to certain of our employees and non-employee directors effective upon the commencement of trading of our common stock on the Nasdaq Global Market.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01"/>
        <w:spacing w:after="0" w:line="268" w:lineRule="auto"/>
        <w:rPr>
          <w:sz w:val="20"/>
          <w:szCs w:val="20"/>
          <w:color w:val="auto"/>
        </w:rPr>
      </w:pPr>
      <w:r>
        <w:rPr>
          <w:rFonts w:ascii="Arial" w:cs="Arial" w:eastAsia="Arial" w:hAnsi="Arial"/>
          <w:sz w:val="18"/>
          <w:szCs w:val="18"/>
          <w:color w:val="3E5588"/>
        </w:rPr>
        <w:t>Pursuant to the terms of the 2019 Plan, our board of directors (or a committee delegated by our board of directors) administers the plan and, subject to any limitations in the plan, selects the recipients of awards and determines:</w:t>
      </w:r>
    </w:p>
    <w:p>
      <w:pPr>
        <w:spacing w:after="0" w:line="19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3E5588"/>
        </w:rPr>
      </w:pPr>
      <w:r>
        <w:rPr>
          <w:rFonts w:ascii="Arial" w:cs="Arial" w:eastAsia="Arial" w:hAnsi="Arial"/>
          <w:sz w:val="18"/>
          <w:szCs w:val="18"/>
          <w:color w:val="3E5588"/>
        </w:rPr>
        <w:t>the number of shares of our common stock covered by options and the dates upon which the options become exercisable;</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87"/>
        </w:numPr>
        <w:rPr>
          <w:rFonts w:ascii="Arial" w:cs="Arial" w:eastAsia="Arial" w:hAnsi="Arial"/>
          <w:sz w:val="18"/>
          <w:szCs w:val="18"/>
          <w:color w:val="3E5588"/>
        </w:rPr>
      </w:pPr>
      <w:r>
        <w:rPr>
          <w:rFonts w:ascii="Arial" w:cs="Arial" w:eastAsia="Arial" w:hAnsi="Arial"/>
          <w:sz w:val="18"/>
          <w:szCs w:val="18"/>
          <w:color w:val="3E5588"/>
        </w:rPr>
        <w:t>the type of options to be granted;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87"/>
        </w:numPr>
        <w:rPr>
          <w:rFonts w:ascii="Arial" w:cs="Arial" w:eastAsia="Arial" w:hAnsi="Arial"/>
          <w:sz w:val="18"/>
          <w:szCs w:val="18"/>
          <w:color w:val="3E5588"/>
        </w:rPr>
      </w:pPr>
      <w:r>
        <w:rPr>
          <w:rFonts w:ascii="Arial" w:cs="Arial" w:eastAsia="Arial" w:hAnsi="Arial"/>
          <w:sz w:val="18"/>
          <w:szCs w:val="18"/>
          <w:color w:val="3E5588"/>
        </w:rPr>
        <w:t>the duration of options, which may not be in excess of ten years;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87"/>
        </w:numPr>
        <w:rPr>
          <w:rFonts w:ascii="Arial" w:cs="Arial" w:eastAsia="Arial" w:hAnsi="Arial"/>
          <w:sz w:val="18"/>
          <w:szCs w:val="18"/>
          <w:color w:val="3E5588"/>
        </w:rPr>
      </w:pPr>
      <w:r>
        <w:rPr>
          <w:rFonts w:ascii="Arial" w:cs="Arial" w:eastAsia="Arial" w:hAnsi="Arial"/>
          <w:sz w:val="18"/>
          <w:szCs w:val="18"/>
          <w:color w:val="3E5588"/>
        </w:rPr>
        <w:t>the exercise price of options, which must be at least equal to the fair market value of our common stock on the date of grant; and</w:t>
      </w:r>
    </w:p>
    <w:p>
      <w:pPr>
        <w:spacing w:after="0" w:line="252" w:lineRule="exact"/>
        <w:rPr>
          <w:rFonts w:ascii="Arial" w:cs="Arial" w:eastAsia="Arial" w:hAnsi="Arial"/>
          <w:sz w:val="18"/>
          <w:szCs w:val="18"/>
          <w:color w:val="3E5588"/>
        </w:rPr>
      </w:pPr>
    </w:p>
    <w:p>
      <w:pPr>
        <w:jc w:val="both"/>
        <w:ind w:left="1080" w:hanging="532"/>
        <w:spacing w:after="0" w:line="298" w:lineRule="auto"/>
        <w:tabs>
          <w:tab w:leader="none" w:pos="1080" w:val="left"/>
        </w:tabs>
        <w:numPr>
          <w:ilvl w:val="0"/>
          <w:numId w:val="87"/>
        </w:numPr>
        <w:rPr>
          <w:rFonts w:ascii="Arial" w:cs="Arial" w:eastAsia="Arial" w:hAnsi="Arial"/>
          <w:sz w:val="16"/>
          <w:szCs w:val="16"/>
          <w:color w:val="3E5588"/>
        </w:rPr>
      </w:pPr>
      <w:r>
        <w:rPr>
          <w:rFonts w:ascii="Arial" w:cs="Arial" w:eastAsia="Arial" w:hAnsi="Arial"/>
          <w:sz w:val="16"/>
          <w:szCs w:val="16"/>
          <w:color w:val="3E5588"/>
        </w:rPr>
        <w:t>the number of shares of our common stock subject to and the terms of any stock appreciation rights, restricted stock awards, restricted stock units or other stock-based awards and the terms and conditions of such awards, including conditions for repurchase, issue price and repurchase price (though the measurement price of stock appreciation rights must be at least equal to the fair market value of our common stock on the date of grant and the duration of such awards may not be in excess of ten years).</w:t>
      </w:r>
    </w:p>
    <w:p>
      <w:pPr>
        <w:spacing w:after="0" w:line="167"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3E5588"/>
        </w:rPr>
        <w:t>If our board of directors delegates authority to one or more of our officers to grant awards under the 2019 Plan, the officers will have the power to make awards to all of our employees, except officers and executive officers (as such terms are defined in the 2019 plan). Our board of directors will fix the terms of the awards to be granted by any such officer, the maximum number of shares subject to awards that such officer may make, and the time period in which such awards may be granted.</w:t>
      </w:r>
    </w:p>
    <w:p>
      <w:pPr>
        <w:spacing w:after="0" w:line="197"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color w:val="3E5588"/>
        </w:rPr>
        <w:t>The 2019 Plan contains limits on awards that may be made under the 2019 Plan to our non-employee directors. In any calendar year, the value (calculated based on grant date fair value for financial reporting purposes) of shares of our common stock subject to awards granted under the 2019 Plan to an individual non-employee director, plus the amount of cash compensation paid to such individual non-employee director may not exceed $750,000 in the case of an incumbent director, $1,000,000 in the case of the chairman of our board of directors, or $1,000,000 in the case of a new director during his or her first year of service. However, our board of directors may make exceptions to this limit for individual non-employee directors in extraordinary circumstances, provided that the non-employee director receiving such additional compensation may not participate in the decision to award such compensation.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Effect of Certain Changes in Capitalization</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3E5588"/>
        </w:rPr>
        <w:t>Upon the occurrence of any stock split, reverse stock split, stock dividend, recapitalization, combination of shares, reclassification of shares, spin-off or other similar change in capitalization or event, or any dividend or distribution to holders of our common stock other than an ordinary cash dividend, under the terms of the 2019 Plan, we are required to equitably adjust (or make substitute awards, if applicable), in the manner determined by our board of directors:</w:t>
      </w:r>
    </w:p>
    <w:p>
      <w:pPr>
        <w:spacing w:after="0" w:line="174" w:lineRule="exact"/>
        <w:rPr>
          <w:sz w:val="20"/>
          <w:szCs w:val="20"/>
          <w:color w:val="auto"/>
        </w:rPr>
      </w:pPr>
    </w:p>
    <w:p>
      <w:pPr>
        <w:ind w:left="1080" w:hanging="532"/>
        <w:spacing w:after="0"/>
        <w:tabs>
          <w:tab w:leader="none" w:pos="1080" w:val="left"/>
        </w:tabs>
        <w:numPr>
          <w:ilvl w:val="0"/>
          <w:numId w:val="88"/>
        </w:numPr>
        <w:rPr>
          <w:rFonts w:ascii="Arial" w:cs="Arial" w:eastAsia="Arial" w:hAnsi="Arial"/>
          <w:sz w:val="18"/>
          <w:szCs w:val="18"/>
          <w:color w:val="3E5588"/>
        </w:rPr>
      </w:pPr>
      <w:r>
        <w:rPr>
          <w:rFonts w:ascii="Arial" w:cs="Arial" w:eastAsia="Arial" w:hAnsi="Arial"/>
          <w:sz w:val="18"/>
          <w:szCs w:val="18"/>
          <w:color w:val="3E5588"/>
        </w:rPr>
        <w:t>the number and class of securities available under the 2019 Plan;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88"/>
        </w:numPr>
        <w:rPr>
          <w:rFonts w:ascii="Arial" w:cs="Arial" w:eastAsia="Arial" w:hAnsi="Arial"/>
          <w:sz w:val="18"/>
          <w:szCs w:val="18"/>
          <w:color w:val="3E5588"/>
        </w:rPr>
      </w:pPr>
      <w:r>
        <w:rPr>
          <w:rFonts w:ascii="Arial" w:cs="Arial" w:eastAsia="Arial" w:hAnsi="Arial"/>
          <w:sz w:val="18"/>
          <w:szCs w:val="18"/>
          <w:color w:val="3E5588"/>
        </w:rPr>
        <w:t>the share counting rules and sublimits of the 2019 Plan;</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88"/>
        </w:numPr>
        <w:rPr>
          <w:rFonts w:ascii="Arial" w:cs="Arial" w:eastAsia="Arial" w:hAnsi="Arial"/>
          <w:sz w:val="18"/>
          <w:szCs w:val="18"/>
          <w:color w:val="3E5588"/>
        </w:rPr>
      </w:pPr>
      <w:r>
        <w:rPr>
          <w:rFonts w:ascii="Arial" w:cs="Arial" w:eastAsia="Arial" w:hAnsi="Arial"/>
          <w:sz w:val="18"/>
          <w:szCs w:val="18"/>
          <w:color w:val="3E5588"/>
        </w:rPr>
        <w:t>the number and class of securities and exercise price per share of each outstanding option;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88"/>
        </w:numPr>
        <w:rPr>
          <w:rFonts w:ascii="Arial" w:cs="Arial" w:eastAsia="Arial" w:hAnsi="Arial"/>
          <w:sz w:val="18"/>
          <w:szCs w:val="18"/>
          <w:color w:val="3E5588"/>
        </w:rPr>
      </w:pPr>
      <w:r>
        <w:rPr>
          <w:rFonts w:ascii="Arial" w:cs="Arial" w:eastAsia="Arial" w:hAnsi="Arial"/>
          <w:sz w:val="18"/>
          <w:szCs w:val="18"/>
          <w:color w:val="3E5588"/>
        </w:rPr>
        <w:t>the share and per-share provisions and the measurement price of each outstanding stock appreciation right;</w:t>
      </w:r>
    </w:p>
    <w:p>
      <w:pPr>
        <w:spacing w:after="0" w:line="238" w:lineRule="exact"/>
        <w:rPr>
          <w:rFonts w:ascii="Arial" w:cs="Arial" w:eastAsia="Arial" w:hAnsi="Arial"/>
          <w:sz w:val="18"/>
          <w:szCs w:val="18"/>
          <w:color w:val="3E5588"/>
        </w:rPr>
      </w:pPr>
    </w:p>
    <w:p>
      <w:pPr>
        <w:ind w:left="5580" w:right="1540" w:hanging="5032"/>
        <w:spacing w:after="0" w:line="519" w:lineRule="auto"/>
        <w:tabs>
          <w:tab w:leader="none" w:pos="1086" w:val="left"/>
        </w:tabs>
        <w:numPr>
          <w:ilvl w:val="0"/>
          <w:numId w:val="88"/>
        </w:numPr>
        <w:rPr>
          <w:rFonts w:ascii="Arial" w:cs="Arial" w:eastAsia="Arial" w:hAnsi="Arial"/>
          <w:sz w:val="18"/>
          <w:szCs w:val="18"/>
          <w:color w:val="3E5588"/>
        </w:rPr>
      </w:pPr>
      <w:r>
        <w:rPr>
          <w:rFonts w:ascii="Arial" w:cs="Arial" w:eastAsia="Arial" w:hAnsi="Arial"/>
          <w:sz w:val="18"/>
          <w:szCs w:val="18"/>
          <w:color w:val="3E5588"/>
        </w:rPr>
        <w:t>the number of shares subject to, and the repurchase price per share subject to, each outstanding award of restricted stock; and 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89"/>
        </w:numPr>
        <w:rPr>
          <w:rFonts w:ascii="Arial" w:cs="Arial" w:eastAsia="Arial" w:hAnsi="Arial"/>
          <w:sz w:val="18"/>
          <w:szCs w:val="18"/>
          <w:color w:val="3E5588"/>
        </w:rPr>
      </w:pPr>
      <w:r>
        <w:rPr>
          <w:rFonts w:ascii="Arial" w:cs="Arial" w:eastAsia="Arial" w:hAnsi="Arial"/>
          <w:sz w:val="18"/>
          <w:szCs w:val="18"/>
          <w:color w:val="3E5588"/>
        </w:rPr>
        <w:t>the share and per-share related provisions and the purchase price, if any, of each outstanding award of restricted stock units and each other stock-based award.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Effect of Certain Corporate Transactions</w:t>
      </w:r>
    </w:p>
    <w:p>
      <w:pPr>
        <w:spacing w:after="0" w:line="225" w:lineRule="exact"/>
        <w:rPr>
          <w:sz w:val="20"/>
          <w:szCs w:val="20"/>
          <w:color w:val="auto"/>
        </w:rPr>
      </w:pPr>
    </w:p>
    <w:p>
      <w:pPr>
        <w:jc w:val="both"/>
        <w:ind w:firstLine="510"/>
        <w:spacing w:after="0" w:line="306" w:lineRule="auto"/>
        <w:rPr>
          <w:sz w:val="20"/>
          <w:szCs w:val="20"/>
          <w:color w:val="auto"/>
        </w:rPr>
      </w:pPr>
      <w:r>
        <w:rPr>
          <w:rFonts w:ascii="Arial" w:cs="Arial" w:eastAsia="Arial" w:hAnsi="Arial"/>
          <w:sz w:val="16"/>
          <w:szCs w:val="16"/>
          <w:color w:val="3E5588"/>
        </w:rPr>
        <w:t>Upon the occurrence of a merger or other reorganization event (as defined in the 2019 Plan), our board of directors may, on such terms as our board determines (except to the extent specifically provided otherwise in an applicable award agreement or other agreement between the participant and us), take any one or more of the following actions pursuant to the 2019 Plan as to all or any (or any portion of) outstanding awards, other than awards of restricted stock:</w:t>
      </w:r>
    </w:p>
    <w:p>
      <w:pPr>
        <w:spacing w:after="0" w:line="188" w:lineRule="exact"/>
        <w:rPr>
          <w:sz w:val="20"/>
          <w:szCs w:val="20"/>
          <w:color w:val="auto"/>
        </w:rPr>
      </w:pPr>
    </w:p>
    <w:p>
      <w:pPr>
        <w:ind w:left="1080" w:hanging="532"/>
        <w:spacing w:after="0" w:line="268" w:lineRule="auto"/>
        <w:tabs>
          <w:tab w:leader="none" w:pos="1080" w:val="left"/>
        </w:tabs>
        <w:numPr>
          <w:ilvl w:val="0"/>
          <w:numId w:val="90"/>
        </w:numPr>
        <w:rPr>
          <w:rFonts w:ascii="Arial" w:cs="Arial" w:eastAsia="Arial" w:hAnsi="Arial"/>
          <w:sz w:val="18"/>
          <w:szCs w:val="18"/>
          <w:color w:val="3E5588"/>
        </w:rPr>
      </w:pPr>
      <w:r>
        <w:rPr>
          <w:rFonts w:ascii="Arial" w:cs="Arial" w:eastAsia="Arial" w:hAnsi="Arial"/>
          <w:sz w:val="18"/>
          <w:szCs w:val="18"/>
          <w:color w:val="3E5588"/>
        </w:rPr>
        <w:t>provide that outstanding awards will be assumed, or substantially equivalent awards will be substituted, by the acquiring or succeeding corporation (or an affiliate of the acquiring or succeeding corporation);</w:t>
      </w:r>
    </w:p>
    <w:p>
      <w:pPr>
        <w:spacing w:after="0" w:line="199" w:lineRule="exact"/>
        <w:rPr>
          <w:rFonts w:ascii="Arial" w:cs="Arial" w:eastAsia="Arial" w:hAnsi="Arial"/>
          <w:sz w:val="18"/>
          <w:szCs w:val="18"/>
          <w:color w:val="3E5588"/>
        </w:rPr>
      </w:pPr>
    </w:p>
    <w:p>
      <w:pPr>
        <w:jc w:val="both"/>
        <w:ind w:left="1080" w:hanging="532"/>
        <w:spacing w:after="0" w:line="306" w:lineRule="auto"/>
        <w:tabs>
          <w:tab w:leader="none" w:pos="1080" w:val="left"/>
        </w:tabs>
        <w:numPr>
          <w:ilvl w:val="0"/>
          <w:numId w:val="90"/>
        </w:numPr>
        <w:rPr>
          <w:rFonts w:ascii="Arial" w:cs="Arial" w:eastAsia="Arial" w:hAnsi="Arial"/>
          <w:sz w:val="16"/>
          <w:szCs w:val="16"/>
          <w:color w:val="3E5588"/>
        </w:rPr>
      </w:pPr>
      <w:r>
        <w:rPr>
          <w:rFonts w:ascii="Arial" w:cs="Arial" w:eastAsia="Arial" w:hAnsi="Arial"/>
          <w:sz w:val="16"/>
          <w:szCs w:val="16"/>
          <w:color w:val="3E5588"/>
        </w:rPr>
        <w:t>upon written notice to a participant, provide that all of the participant's unvested awards will be forfeited immediately prior to the consummation of the reorganization event, and/or vested but unexercised awards will terminate immediately prior to the consummation of the reorganization event unless exercised by the participant (to the extent then exercisable) within a specified period following the date of the notice;</w:t>
      </w:r>
    </w:p>
    <w:p>
      <w:pPr>
        <w:spacing w:after="0" w:line="174"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90"/>
        </w:numPr>
        <w:rPr>
          <w:rFonts w:ascii="Arial" w:cs="Arial" w:eastAsia="Arial" w:hAnsi="Arial"/>
          <w:sz w:val="18"/>
          <w:szCs w:val="18"/>
          <w:color w:val="3E5588"/>
        </w:rPr>
      </w:pPr>
      <w:r>
        <w:rPr>
          <w:rFonts w:ascii="Arial" w:cs="Arial" w:eastAsia="Arial" w:hAnsi="Arial"/>
          <w:sz w:val="18"/>
          <w:szCs w:val="18"/>
          <w:color w:val="3E5588"/>
        </w:rPr>
        <w:t>provide that outstanding awards will become exercisable, realizable or deliverable, or restrictions applicable to an award will lapse, in whole or in part, prior to or upon such reorganization event;</w:t>
      </w:r>
    </w:p>
    <w:p>
      <w:pPr>
        <w:spacing w:after="0" w:line="212" w:lineRule="exact"/>
        <w:rPr>
          <w:rFonts w:ascii="Arial" w:cs="Arial" w:eastAsia="Arial" w:hAnsi="Arial"/>
          <w:sz w:val="18"/>
          <w:szCs w:val="18"/>
          <w:color w:val="3E5588"/>
        </w:rPr>
      </w:pPr>
    </w:p>
    <w:p>
      <w:pPr>
        <w:jc w:val="both"/>
        <w:ind w:left="1080" w:hanging="532"/>
        <w:spacing w:after="0" w:line="291" w:lineRule="auto"/>
        <w:tabs>
          <w:tab w:leader="none" w:pos="1080" w:val="left"/>
        </w:tabs>
        <w:numPr>
          <w:ilvl w:val="0"/>
          <w:numId w:val="90"/>
        </w:numPr>
        <w:rPr>
          <w:rFonts w:ascii="Arial" w:cs="Arial" w:eastAsia="Arial" w:hAnsi="Arial"/>
          <w:sz w:val="16"/>
          <w:szCs w:val="16"/>
          <w:color w:val="3E5588"/>
        </w:rPr>
      </w:pPr>
      <w:r>
        <w:rPr>
          <w:rFonts w:ascii="Arial" w:cs="Arial" w:eastAsia="Arial" w:hAnsi="Arial"/>
          <w:sz w:val="16"/>
          <w:szCs w:val="16"/>
          <w:color w:val="3E5588"/>
        </w:rPr>
        <w:t>in the event of a reorganization event pursuant to which holders of shares of our common stock will receive a cash payment for each share surrendered in the reorganization event, make or provide for a cash payment to participants with respect to each award held by a participant equal to (1) the number of shares of our common stock subject to the vested portion of the award (after giving effect to any acceleration of vesting that occurs upon or immediately prior to such reorganization event) multiplied by (2) the excess, if any, of the cash payment for each share surrendered in the reorganization event over the exercise, measurement or purchase price of such award and any applicable tax withholdings, in exchange for the termination of such award;</w:t>
      </w:r>
    </w:p>
    <w:p>
      <w:pPr>
        <w:spacing w:after="0" w:line="187"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90"/>
        </w:numPr>
        <w:rPr>
          <w:rFonts w:ascii="Arial" w:cs="Arial" w:eastAsia="Arial" w:hAnsi="Arial"/>
          <w:sz w:val="18"/>
          <w:szCs w:val="18"/>
          <w:color w:val="3E5588"/>
        </w:rPr>
      </w:pPr>
      <w:r>
        <w:rPr>
          <w:rFonts w:ascii="Arial" w:cs="Arial" w:eastAsia="Arial" w:hAnsi="Arial"/>
          <w:sz w:val="18"/>
          <w:szCs w:val="18"/>
          <w:color w:val="3E5588"/>
        </w:rPr>
        <w:t>provide that, in connection with our liquidation or dissolution, awards will convert into the right to receive liquidation proceeds (if applicable, net of the exercise, measurement or purchase price thereof and any applicable tax withholdings); or</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90"/>
        </w:numPr>
        <w:rPr>
          <w:rFonts w:ascii="Arial" w:cs="Arial" w:eastAsia="Arial" w:hAnsi="Arial"/>
          <w:sz w:val="18"/>
          <w:szCs w:val="18"/>
          <w:color w:val="3E5588"/>
        </w:rPr>
      </w:pPr>
      <w:r>
        <w:rPr>
          <w:rFonts w:ascii="Arial" w:cs="Arial" w:eastAsia="Arial" w:hAnsi="Arial"/>
          <w:sz w:val="18"/>
          <w:szCs w:val="18"/>
          <w:color w:val="3E5588"/>
        </w:rPr>
        <w:t>any combination of the foregoing.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Our board of directors is not obligated under the 2019 Plan to treat all awards, all awards held by a participant, or all awards of the same type, identically.</w:t>
      </w:r>
    </w:p>
    <w:p>
      <w:pPr>
        <w:spacing w:after="0" w:line="248"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3E5588"/>
        </w:rPr>
        <w:t>In the case of certain restricted stock units, no assumption or substitution is permitted, and the restricted stock units will instead be settled in accordance with the terms of the applicable restricted stock unit agreement.</w:t>
      </w:r>
    </w:p>
    <w:p>
      <w:pPr>
        <w:spacing w:after="0" w:line="186" w:lineRule="exact"/>
        <w:rPr>
          <w:sz w:val="20"/>
          <w:szCs w:val="20"/>
          <w:color w:val="auto"/>
        </w:rPr>
      </w:pPr>
    </w:p>
    <w:p>
      <w:pPr>
        <w:jc w:val="both"/>
        <w:ind w:firstLine="355"/>
        <w:spacing w:after="0" w:line="291" w:lineRule="auto"/>
        <w:rPr>
          <w:sz w:val="20"/>
          <w:szCs w:val="20"/>
          <w:color w:val="auto"/>
        </w:rPr>
      </w:pPr>
      <w:r>
        <w:rPr>
          <w:rFonts w:ascii="Arial" w:cs="Arial" w:eastAsia="Arial" w:hAnsi="Arial"/>
          <w:sz w:val="16"/>
          <w:szCs w:val="16"/>
          <w:color w:val="3E5588"/>
        </w:rPr>
        <w:t>Upon the occurrence of a reorganization event other than our liquidation or dissolution, our repurchase and other rights with respect to outstanding awards of restricted stock will continue for the benefit of the succeeding company and will, unless our board of directors determines otherwise, apply to the cash, securities, or other property which our common stock was converted into or exchanged for pursuant to the reorganization event in the same manner and to the same extent as they applied to the common stock subject to the restricted stock award. However, the board may provide for the termination or deemed satisfaction of such repurchase or other rights under the restricted stock award agreement or in any other agreement between a participant and us, either initially or by amendment. Upon our liquidation or dissolution, except to the extent specifically provided to the contrary in the restricted stock award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agreement or any other agreement between the participant and us, all restrictions and conditions on all restricted stock awards then outstanding will automatically be deemed terminated or satisfied.</w:t>
      </w:r>
    </w:p>
    <w:p>
      <w:pPr>
        <w:spacing w:after="0" w:line="186" w:lineRule="exact"/>
        <w:rPr>
          <w:sz w:val="20"/>
          <w:szCs w:val="20"/>
          <w:color w:val="auto"/>
        </w:rPr>
      </w:pPr>
    </w:p>
    <w:p>
      <w:pPr>
        <w:jc w:val="both"/>
        <w:ind w:right="20" w:firstLine="341"/>
        <w:spacing w:after="0" w:line="268" w:lineRule="auto"/>
        <w:rPr>
          <w:sz w:val="20"/>
          <w:szCs w:val="20"/>
          <w:color w:val="auto"/>
        </w:rPr>
      </w:pPr>
      <w:r>
        <w:rPr>
          <w:rFonts w:ascii="Arial" w:cs="Arial" w:eastAsia="Arial" w:hAnsi="Arial"/>
          <w:sz w:val="18"/>
          <w:szCs w:val="18"/>
          <w:color w:val="3E5588"/>
        </w:rPr>
        <w:t>At any time, our board of directors may provide that any award under the 2019 Plan will become immediately exercisable in whole or in part, free of some or all restrictions or conditions, or otherwise realizable in whole or in part as the case may be.</w:t>
      </w:r>
    </w:p>
    <w:p>
      <w:pPr>
        <w:spacing w:after="0" w:line="186" w:lineRule="exact"/>
        <w:rPr>
          <w:sz w:val="20"/>
          <w:szCs w:val="20"/>
          <w:color w:val="auto"/>
        </w:rPr>
      </w:pPr>
    </w:p>
    <w:p>
      <w:pPr>
        <w:jc w:val="both"/>
        <w:ind w:firstLine="538"/>
        <w:spacing w:after="0" w:line="255" w:lineRule="auto"/>
        <w:rPr>
          <w:sz w:val="20"/>
          <w:szCs w:val="20"/>
          <w:color w:val="auto"/>
        </w:rPr>
      </w:pPr>
      <w:r>
        <w:rPr>
          <w:rFonts w:ascii="Arial" w:cs="Arial" w:eastAsia="Arial" w:hAnsi="Arial"/>
          <w:sz w:val="18"/>
          <w:szCs w:val="18"/>
          <w:color w:val="3E5588"/>
        </w:rPr>
        <w:t>Except with respect to certain actions requiring stockholder approval under the Code or Nasdaq rules, our board of directors may amend, modify or terminate any outstanding award under the 2019 Plan, including but not limited to, substituting for the award another award of the same or a different type, changing the date of exercise or realization, and converting an incentive stock option to a nonstatutory stock option, subject to certain participant consent requirements. However, unless our stockholders approve such action, the 2019 Plan provides that we may not (except as otherwise permitted in connection with a change in capitalization or reorganization event):</w:t>
      </w:r>
    </w:p>
    <w:p>
      <w:pPr>
        <w:spacing w:after="0" w:line="210" w:lineRule="exact"/>
        <w:rPr>
          <w:sz w:val="20"/>
          <w:szCs w:val="20"/>
          <w:color w:val="auto"/>
        </w:rPr>
      </w:pPr>
    </w:p>
    <w:p>
      <w:pPr>
        <w:ind w:left="1080" w:hanging="532"/>
        <w:spacing w:after="0" w:line="332" w:lineRule="auto"/>
        <w:tabs>
          <w:tab w:leader="none" w:pos="1080" w:val="left"/>
        </w:tabs>
        <w:numPr>
          <w:ilvl w:val="0"/>
          <w:numId w:val="91"/>
        </w:numPr>
        <w:rPr>
          <w:rFonts w:ascii="Arial" w:cs="Arial" w:eastAsia="Arial" w:hAnsi="Arial"/>
          <w:sz w:val="16"/>
          <w:szCs w:val="16"/>
          <w:color w:val="3E5588"/>
        </w:rPr>
      </w:pPr>
      <w:r>
        <w:rPr>
          <w:rFonts w:ascii="Arial" w:cs="Arial" w:eastAsia="Arial" w:hAnsi="Arial"/>
          <w:sz w:val="16"/>
          <w:szCs w:val="16"/>
          <w:color w:val="3E5588"/>
        </w:rPr>
        <w:t>amend any outstanding stock option or stock appreciation right granted under the 2019 Plan to provide an exercise or measurement price per share that is lower than the then-current exercise or measurement price per share of such outstanding award;</w:t>
      </w:r>
    </w:p>
    <w:p>
      <w:pPr>
        <w:spacing w:after="0" w:line="166" w:lineRule="exact"/>
        <w:rPr>
          <w:rFonts w:ascii="Arial" w:cs="Arial" w:eastAsia="Arial" w:hAnsi="Arial"/>
          <w:sz w:val="16"/>
          <w:szCs w:val="16"/>
          <w:color w:val="3E5588"/>
        </w:rPr>
      </w:pPr>
    </w:p>
    <w:p>
      <w:pPr>
        <w:jc w:val="both"/>
        <w:ind w:left="1080" w:hanging="532"/>
        <w:spacing w:after="0" w:line="298" w:lineRule="auto"/>
        <w:tabs>
          <w:tab w:leader="none" w:pos="1080" w:val="left"/>
        </w:tabs>
        <w:numPr>
          <w:ilvl w:val="0"/>
          <w:numId w:val="91"/>
        </w:numPr>
        <w:rPr>
          <w:rFonts w:ascii="Arial" w:cs="Arial" w:eastAsia="Arial" w:hAnsi="Arial"/>
          <w:sz w:val="16"/>
          <w:szCs w:val="16"/>
          <w:color w:val="3E5588"/>
        </w:rPr>
      </w:pPr>
      <w:r>
        <w:rPr>
          <w:rFonts w:ascii="Arial" w:cs="Arial" w:eastAsia="Arial" w:hAnsi="Arial"/>
          <w:sz w:val="16"/>
          <w:szCs w:val="16"/>
          <w:color w:val="3E5588"/>
        </w:rPr>
        <w:t>cancel any outstanding stock option or stock appreciation right (whether or not granted under the 2019 Plan) and grant a new award under the 2019 Plan in substitution for the cancelled award (other than substitute awards permitted in connection with a merger or consolidation of an entity with us or our acquisition of property or stock of another entity) covering the same or a different number of shares of our common stock and having an exercise or measurement price per share lower than the then-current exercise or measurement price per share of the cancelled award;</w:t>
      </w:r>
    </w:p>
    <w:p>
      <w:pPr>
        <w:spacing w:after="0" w:line="180" w:lineRule="exact"/>
        <w:rPr>
          <w:rFonts w:ascii="Arial" w:cs="Arial" w:eastAsia="Arial" w:hAnsi="Arial"/>
          <w:sz w:val="16"/>
          <w:szCs w:val="16"/>
          <w:color w:val="3E5588"/>
        </w:rPr>
      </w:pPr>
    </w:p>
    <w:p>
      <w:pPr>
        <w:jc w:val="both"/>
        <w:ind w:left="1080" w:hanging="532"/>
        <w:spacing w:after="0" w:line="259" w:lineRule="auto"/>
        <w:tabs>
          <w:tab w:leader="none" w:pos="1080" w:val="left"/>
        </w:tabs>
        <w:numPr>
          <w:ilvl w:val="0"/>
          <w:numId w:val="91"/>
        </w:numPr>
        <w:rPr>
          <w:rFonts w:ascii="Arial" w:cs="Arial" w:eastAsia="Arial" w:hAnsi="Arial"/>
          <w:sz w:val="18"/>
          <w:szCs w:val="18"/>
          <w:color w:val="3E5588"/>
        </w:rPr>
      </w:pPr>
      <w:r>
        <w:rPr>
          <w:rFonts w:ascii="Arial" w:cs="Arial" w:eastAsia="Arial" w:hAnsi="Arial"/>
          <w:sz w:val="18"/>
          <w:szCs w:val="18"/>
          <w:color w:val="3E5588"/>
        </w:rPr>
        <w:t>cancel in exchange for a cash payment any outstanding option or stock appreciation right with an exercise or measurement price per share above the then-current fair market value of our common stock (valued in the manner determined by (or in the manner approved by) our board of directors); or</w:t>
      </w:r>
    </w:p>
    <w:p>
      <w:pPr>
        <w:spacing w:after="0" w:line="207"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91"/>
        </w:numPr>
        <w:rPr>
          <w:rFonts w:ascii="Arial" w:cs="Arial" w:eastAsia="Arial" w:hAnsi="Arial"/>
          <w:sz w:val="18"/>
          <w:szCs w:val="18"/>
          <w:color w:val="3E5588"/>
        </w:rPr>
      </w:pPr>
      <w:r>
        <w:rPr>
          <w:rFonts w:ascii="Arial" w:cs="Arial" w:eastAsia="Arial" w:hAnsi="Arial"/>
          <w:sz w:val="18"/>
          <w:szCs w:val="18"/>
          <w:color w:val="3E5588"/>
        </w:rPr>
        <w:t>take any other action that constitutes a "repricing" within the meaning of Nasdaq rules or rules of any other exchange or marketplace on which our common stock is listed or traded.</w:t>
      </w:r>
    </w:p>
    <w:p>
      <w:pPr>
        <w:spacing w:after="0" w:line="186"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3E5588"/>
        </w:rPr>
        <w:t>No award may be granted under the 2019 Plan on or after the date that is ten years following the effectiveness of the registration statement related to this offering. Our board of directors may amend, suspend or terminate the 2019 Plan at any time, except that stockholder approval may be required to comply with applicable law or stock market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2019 Employee Stock Purchase Plan</w:t>
      </w:r>
    </w:p>
    <w:p>
      <w:pPr>
        <w:spacing w:after="0" w:line="225"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3E5588"/>
        </w:rPr>
        <w:t>In June 2019, our board of directors adopted and, in July 2019, our stockholders approved, the 2019 ESPP, which became effective immediately prior to the effectiveness of the registration statement of which this prospectus forms a part. The 2019 ESPP is administered by our board of directors or by a committee appointed by our board of directors. The 2019 ESPP initially provides participating employees with the opportunity to purchase up to an aggregate of 252,142 shares of our common stock. The number of shares of our common stock reserved for issuance under the 2019 ESPP will automatically increase on the first day of each fiscal year, beginning with the fiscal year ending on December 31, 2020 and continuing until, and including, the fiscal year ending on December 31, 2029, in an amount equal to the lowest of (i) 428,571 shares of our common stock, (ii) 1% of the number of shares of our common stock outstanding on such date and (iii) an amount determined by our board of directors.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3E5588"/>
        </w:rPr>
        <w:t>All of our employees and employees of any designated subsidiary, as defined in the 2019 ESPP, are eligible to participate in the 2019 ESPP, provided that:</w:t>
      </w:r>
    </w:p>
    <w:p>
      <w:pPr>
        <w:spacing w:after="0" w:line="262" w:lineRule="exact"/>
        <w:rPr>
          <w:sz w:val="20"/>
          <w:szCs w:val="20"/>
          <w:color w:val="auto"/>
        </w:rPr>
      </w:pPr>
    </w:p>
    <w:p>
      <w:pPr>
        <w:ind w:left="1080" w:right="20" w:hanging="532"/>
        <w:spacing w:after="0" w:line="268" w:lineRule="auto"/>
        <w:tabs>
          <w:tab w:leader="none" w:pos="1080" w:val="left"/>
        </w:tabs>
        <w:numPr>
          <w:ilvl w:val="0"/>
          <w:numId w:val="92"/>
        </w:numPr>
        <w:rPr>
          <w:rFonts w:ascii="Arial" w:cs="Arial" w:eastAsia="Arial" w:hAnsi="Arial"/>
          <w:sz w:val="18"/>
          <w:szCs w:val="18"/>
          <w:color w:val="3E5588"/>
        </w:rPr>
      </w:pPr>
      <w:r>
        <w:rPr>
          <w:rFonts w:ascii="Arial" w:cs="Arial" w:eastAsia="Arial" w:hAnsi="Arial"/>
          <w:sz w:val="18"/>
          <w:szCs w:val="18"/>
          <w:color w:val="3E5588"/>
        </w:rPr>
        <w:t>such person is customarily employed by us or a designated subsidiary for more than 20 hours a week and for more than five months in a calendar year;</w:t>
      </w:r>
    </w:p>
    <w:p>
      <w:pPr>
        <w:spacing w:after="0" w:line="212" w:lineRule="exact"/>
        <w:rPr>
          <w:rFonts w:ascii="Arial" w:cs="Arial" w:eastAsia="Arial" w:hAnsi="Arial"/>
          <w:sz w:val="18"/>
          <w:szCs w:val="18"/>
          <w:color w:val="3E5588"/>
        </w:rPr>
      </w:pPr>
    </w:p>
    <w:p>
      <w:pPr>
        <w:ind w:left="1080" w:hanging="532"/>
        <w:spacing w:after="0"/>
        <w:tabs>
          <w:tab w:leader="none" w:pos="1080" w:val="left"/>
        </w:tabs>
        <w:numPr>
          <w:ilvl w:val="0"/>
          <w:numId w:val="92"/>
        </w:numPr>
        <w:rPr>
          <w:rFonts w:ascii="Arial" w:cs="Arial" w:eastAsia="Arial" w:hAnsi="Arial"/>
          <w:sz w:val="16"/>
          <w:szCs w:val="16"/>
          <w:color w:val="3E5588"/>
        </w:rPr>
      </w:pPr>
      <w:r>
        <w:rPr>
          <w:rFonts w:ascii="Arial" w:cs="Arial" w:eastAsia="Arial" w:hAnsi="Arial"/>
          <w:sz w:val="16"/>
          <w:szCs w:val="16"/>
          <w:color w:val="3E5588"/>
        </w:rPr>
        <w:t>such person has been employed by us or by a designated subsidiary for at least three months prior to enrolling in the 2019 ESPP; and</w:t>
      </w:r>
    </w:p>
    <w:p>
      <w:pPr>
        <w:spacing w:after="0" w:line="261" w:lineRule="exact"/>
        <w:rPr>
          <w:rFonts w:ascii="Arial" w:cs="Arial" w:eastAsia="Arial" w:hAnsi="Arial"/>
          <w:sz w:val="16"/>
          <w:szCs w:val="16"/>
          <w:color w:val="3E5588"/>
        </w:rPr>
      </w:pPr>
    </w:p>
    <w:p>
      <w:pPr>
        <w:ind w:left="360" w:right="200" w:firstLine="188"/>
        <w:spacing w:after="0" w:line="563" w:lineRule="auto"/>
        <w:tabs>
          <w:tab w:leader="none" w:pos="1092" w:val="left"/>
        </w:tabs>
        <w:numPr>
          <w:ilvl w:val="0"/>
          <w:numId w:val="92"/>
        </w:numPr>
        <w:rPr>
          <w:rFonts w:ascii="Arial" w:cs="Arial" w:eastAsia="Arial" w:hAnsi="Arial"/>
          <w:sz w:val="16"/>
          <w:szCs w:val="16"/>
          <w:color w:val="3E5588"/>
        </w:rPr>
      </w:pPr>
      <w:r>
        <w:rPr>
          <w:rFonts w:ascii="Arial" w:cs="Arial" w:eastAsia="Arial" w:hAnsi="Arial"/>
          <w:sz w:val="16"/>
          <w:szCs w:val="16"/>
          <w:color w:val="3E5588"/>
        </w:rPr>
        <w:t>such person was our employee or an employee of a designated subsidiary on the first day of the applicable offering period under the 2019 ESPP. We retain the discretion to determine which eligible employees may participate in an offering under applicable regulations.</w:t>
      </w:r>
    </w:p>
    <w:p>
      <w:pPr>
        <w:spacing w:after="0" w:line="1" w:lineRule="exact"/>
        <w:rPr>
          <w:sz w:val="20"/>
          <w:szCs w:val="20"/>
          <w:color w:val="auto"/>
        </w:rPr>
      </w:pPr>
    </w:p>
    <w:p>
      <w:pPr>
        <w:jc w:val="both"/>
        <w:ind w:firstLine="378"/>
        <w:spacing w:after="0" w:line="298" w:lineRule="auto"/>
        <w:rPr>
          <w:sz w:val="20"/>
          <w:szCs w:val="20"/>
          <w:color w:val="auto"/>
        </w:rPr>
      </w:pPr>
      <w:r>
        <w:rPr>
          <w:rFonts w:ascii="Arial" w:cs="Arial" w:eastAsia="Arial" w:hAnsi="Arial"/>
          <w:sz w:val="16"/>
          <w:szCs w:val="16"/>
          <w:color w:val="3E5588"/>
        </w:rPr>
        <w:t>We expect to make one or more offerings to our eligible employees to purchase stock under the 2019 ESPP beginning at such time and on such dates as our board of directors may determine, or on the first business day thereafter. Each offering will consist of a six-month offering period during which payroll deductions will be made and held for the purchase of our common stock at the end of the offering period. Our board of directors or a committee designated by the board of directors may, at its discretion, choose a different period of not more than 12 months for offerings.</w:t>
      </w:r>
    </w:p>
    <w:p>
      <w:pPr>
        <w:spacing w:after="0" w:line="167" w:lineRule="exact"/>
        <w:rPr>
          <w:sz w:val="20"/>
          <w:szCs w:val="20"/>
          <w:color w:val="auto"/>
        </w:rPr>
      </w:pPr>
    </w:p>
    <w:p>
      <w:pPr>
        <w:jc w:val="both"/>
        <w:ind w:firstLine="370"/>
        <w:spacing w:after="0" w:line="290" w:lineRule="auto"/>
        <w:rPr>
          <w:sz w:val="20"/>
          <w:szCs w:val="20"/>
          <w:color w:val="auto"/>
        </w:rPr>
      </w:pPr>
      <w:r>
        <w:rPr>
          <w:rFonts w:ascii="Arial" w:cs="Arial" w:eastAsia="Arial" w:hAnsi="Arial"/>
          <w:sz w:val="16"/>
          <w:szCs w:val="16"/>
          <w:color w:val="3E5588"/>
        </w:rPr>
        <w:t>On each offering commencement date, each participant will be granted an option to purchase, on the last business day of the offering period, up to a number of shares of our common stock determined by multiplying $2,083 by the number of full months in the offering period and dividing that product by the closing price of our common stock on the first day of the offering period. No employee may be granted an option under the 2019 ESPP that permits the employee's rights to purchase shares under the 2019 ESPP and any other employee stock purchase plan of ours or of any of our subsidiaries to accrue at a rate that exceeds $25,000 of the fair market value of our common stock (determined as of the first day of each offering period) for each calendar year in which the option is outstanding. In addition, no employee may purchase shares of our common stock under the 2019 ESPP that would result in the employee owning 5% or more of the total combined voting power or value of our stock or the stock of any of our subsidiaries.</w:t>
      </w:r>
    </w:p>
    <w:p>
      <w:pPr>
        <w:spacing w:after="0" w:line="172" w:lineRule="exact"/>
        <w:rPr>
          <w:sz w:val="20"/>
          <w:szCs w:val="20"/>
          <w:color w:val="auto"/>
        </w:rPr>
      </w:pPr>
    </w:p>
    <w:p>
      <w:pPr>
        <w:jc w:val="both"/>
        <w:ind w:firstLine="482"/>
        <w:spacing w:after="0" w:line="290" w:lineRule="auto"/>
        <w:rPr>
          <w:sz w:val="20"/>
          <w:szCs w:val="20"/>
          <w:color w:val="auto"/>
        </w:rPr>
      </w:pPr>
      <w:r>
        <w:rPr>
          <w:rFonts w:ascii="Arial" w:cs="Arial" w:eastAsia="Arial" w:hAnsi="Arial"/>
          <w:sz w:val="16"/>
          <w:szCs w:val="16"/>
          <w:color w:val="3E5588"/>
        </w:rPr>
        <w:t>On the commencement date of each offering period, each eligible employee may authorize up to a maximum of 15% of his or her compensation to be deducted by us during the offering period. Each employee who continues to be a participant in the 2019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2019 ESPP, the purchase price will be determined by our board of directors or the committee for each offering period and will be at least 85% of the applicable closing price of our common stock. If our board of directors or the committee does not make a determination of the purchase price, the purchase price will be 85% of the lesser of the closing price of our common stock on the first business day of the offering period or on the last business day of the offering period.</w:t>
      </w:r>
    </w:p>
    <w:p>
      <w:pPr>
        <w:spacing w:after="0" w:line="172" w:lineRule="exact"/>
        <w:rPr>
          <w:sz w:val="20"/>
          <w:szCs w:val="20"/>
          <w:color w:val="auto"/>
        </w:rPr>
      </w:pPr>
    </w:p>
    <w:p>
      <w:pPr>
        <w:jc w:val="both"/>
        <w:ind w:firstLine="384"/>
        <w:spacing w:after="0" w:line="254" w:lineRule="auto"/>
        <w:rPr>
          <w:sz w:val="20"/>
          <w:szCs w:val="20"/>
          <w:color w:val="auto"/>
        </w:rPr>
      </w:pPr>
      <w:r>
        <w:rPr>
          <w:rFonts w:ascii="Arial" w:cs="Arial" w:eastAsia="Arial" w:hAnsi="Arial"/>
          <w:sz w:val="18"/>
          <w:szCs w:val="18"/>
          <w:color w:val="3E5588"/>
        </w:rPr>
        <w:t>An employee may at any time prior to the close of business on the fifteenth business day (or such other number of days as is determined by us) prior to the end of the offering period, and for any reason, permanently withdraw from participating in the offering and permanently withdraw the balance accumulated in the employee's account. If an employee elects to discontinue his or her payroll deductions during an offering period but does not elect to withdraw his or her funds, funds previously deducted will be applied to the purchase of common stock at the end of the offering period. If a participating employee's employment ends before the last business day of an offering period, no additional payroll deductions will be taken and the balance in the employee's account will be paid to the employee.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50"/>
        <w:spacing w:after="0" w:line="298" w:lineRule="auto"/>
        <w:rPr>
          <w:sz w:val="20"/>
          <w:szCs w:val="20"/>
          <w:color w:val="auto"/>
        </w:rPr>
      </w:pPr>
      <w:r>
        <w:rPr>
          <w:rFonts w:ascii="Arial" w:cs="Arial" w:eastAsia="Arial" w:hAnsi="Arial"/>
          <w:sz w:val="16"/>
          <w:szCs w:val="16"/>
          <w:color w:val="3E5588"/>
        </w:rPr>
        <w:t>We will be required to make equitable adjustments to the extent determined by our board of directors or a committee thereof to the number and class of securities available under the 2019 ESPP, the share limitations under the 2019 ESPP, and the purchase price for an offering period under the 2019 ESPP to reflect stock splits, reverse stock splits, stock dividends, recapitalizations, combinations of shares, reclassifications of shares, spin-offs and other similar changes in capitalization or events or any dividends or distributions to holders of our common stock other than ordinary cash dividends.</w:t>
      </w:r>
    </w:p>
    <w:p>
      <w:pPr>
        <w:spacing w:after="0" w:line="167"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3E5588"/>
        </w:rPr>
        <w:t>In connection with a merger or other reorganization event, as defined in the 2019 ESPP, our board of directors or a committee of our board of directors may take any one or more of the following actions as to outstanding options to purchase shares of our common stock under the 2019 ESPP on such terms as our board of directors or committee thereof determines:</w:t>
      </w:r>
    </w:p>
    <w:p>
      <w:pPr>
        <w:spacing w:after="0" w:line="208" w:lineRule="exact"/>
        <w:rPr>
          <w:sz w:val="20"/>
          <w:szCs w:val="20"/>
          <w:color w:val="auto"/>
        </w:rPr>
      </w:pPr>
    </w:p>
    <w:p>
      <w:pPr>
        <w:ind w:left="1080" w:hanging="532"/>
        <w:spacing w:after="0" w:line="268" w:lineRule="auto"/>
        <w:tabs>
          <w:tab w:leader="none" w:pos="1080" w:val="left"/>
        </w:tabs>
        <w:numPr>
          <w:ilvl w:val="0"/>
          <w:numId w:val="93"/>
        </w:numPr>
        <w:rPr>
          <w:rFonts w:ascii="Arial" w:cs="Arial" w:eastAsia="Arial" w:hAnsi="Arial"/>
          <w:sz w:val="18"/>
          <w:szCs w:val="18"/>
          <w:color w:val="3E5588"/>
        </w:rPr>
      </w:pPr>
      <w:r>
        <w:rPr>
          <w:rFonts w:ascii="Arial" w:cs="Arial" w:eastAsia="Arial" w:hAnsi="Arial"/>
          <w:sz w:val="18"/>
          <w:szCs w:val="18"/>
          <w:color w:val="3E5588"/>
        </w:rPr>
        <w:t>provide that options will be assumed, or substantially equivalent options will be substituted, by the acquiring or succeeding corporation (or an affiliate of the acquiring or succeeding corporation);</w:t>
      </w:r>
    </w:p>
    <w:p>
      <w:pPr>
        <w:spacing w:after="0" w:line="212" w:lineRule="exact"/>
        <w:rPr>
          <w:rFonts w:ascii="Arial" w:cs="Arial" w:eastAsia="Arial" w:hAnsi="Arial"/>
          <w:sz w:val="18"/>
          <w:szCs w:val="18"/>
          <w:color w:val="3E5588"/>
        </w:rPr>
      </w:pPr>
    </w:p>
    <w:p>
      <w:pPr>
        <w:jc w:val="both"/>
        <w:ind w:left="1080" w:hanging="532"/>
        <w:spacing w:after="0" w:line="256" w:lineRule="auto"/>
        <w:tabs>
          <w:tab w:leader="none" w:pos="1080" w:val="left"/>
        </w:tabs>
        <w:numPr>
          <w:ilvl w:val="0"/>
          <w:numId w:val="93"/>
        </w:numPr>
        <w:rPr>
          <w:rFonts w:ascii="Arial" w:cs="Arial" w:eastAsia="Arial" w:hAnsi="Arial"/>
          <w:sz w:val="18"/>
          <w:szCs w:val="18"/>
          <w:color w:val="3E5588"/>
        </w:rPr>
      </w:pPr>
      <w:r>
        <w:rPr>
          <w:rFonts w:ascii="Arial" w:cs="Arial" w:eastAsia="Arial" w:hAnsi="Arial"/>
          <w:sz w:val="18"/>
          <w:szCs w:val="18"/>
          <w:color w:val="3E5588"/>
        </w:rPr>
        <w:t>upon written notice to employees, provide that all outstanding options will be terminated immediately prior to the consummation of such reorganization event and that all such outstanding options will become exercisable to the extent of accumulated payroll deductions as of a date specified by board of directors or committee thereof in such notice, which date will not be less than ten days preceding the effective date of the reorganization event;</w:t>
      </w:r>
    </w:p>
    <w:p>
      <w:pPr>
        <w:spacing w:after="0" w:line="210"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93"/>
        </w:numPr>
        <w:rPr>
          <w:rFonts w:ascii="Arial" w:cs="Arial" w:eastAsia="Arial" w:hAnsi="Arial"/>
          <w:sz w:val="18"/>
          <w:szCs w:val="18"/>
          <w:color w:val="3E5588"/>
        </w:rPr>
      </w:pPr>
      <w:r>
        <w:rPr>
          <w:rFonts w:ascii="Arial" w:cs="Arial" w:eastAsia="Arial" w:hAnsi="Arial"/>
          <w:sz w:val="18"/>
          <w:szCs w:val="18"/>
          <w:color w:val="3E5588"/>
        </w:rPr>
        <w:t>upon written notice to employees, provide that all outstanding options will be cancelled as of a date prior to the effective date of the reorganization event and that all accumulated payroll deductions will be returned to participating employees on such date;</w:t>
      </w:r>
    </w:p>
    <w:p>
      <w:pPr>
        <w:spacing w:after="0" w:line="199" w:lineRule="exact"/>
        <w:rPr>
          <w:rFonts w:ascii="Arial" w:cs="Arial" w:eastAsia="Arial" w:hAnsi="Arial"/>
          <w:sz w:val="18"/>
          <w:szCs w:val="18"/>
          <w:color w:val="3E5588"/>
        </w:rPr>
      </w:pPr>
    </w:p>
    <w:p>
      <w:pPr>
        <w:jc w:val="both"/>
        <w:ind w:left="1080" w:hanging="532"/>
        <w:spacing w:after="0" w:line="289" w:lineRule="auto"/>
        <w:tabs>
          <w:tab w:leader="none" w:pos="1080" w:val="left"/>
        </w:tabs>
        <w:numPr>
          <w:ilvl w:val="0"/>
          <w:numId w:val="93"/>
        </w:numPr>
        <w:rPr>
          <w:rFonts w:ascii="Arial" w:cs="Arial" w:eastAsia="Arial" w:hAnsi="Arial"/>
          <w:sz w:val="16"/>
          <w:szCs w:val="16"/>
          <w:color w:val="3E5588"/>
        </w:rPr>
      </w:pPr>
      <w:r>
        <w:rPr>
          <w:rFonts w:ascii="Arial" w:cs="Arial" w:eastAsia="Arial" w:hAnsi="Arial"/>
          <w:sz w:val="16"/>
          <w:szCs w:val="16"/>
          <w:color w:val="3E5588"/>
        </w:rPr>
        <w:t>in the event of a reorganization event under the terms of which holders of our common stock will receive upon consummation thereof a cash payment for each share surrendered in the reorganization event, change the last day of the offering period to be the date of the consummation of the reorganization event and make or provide for a cash payment to each employee equal to (1) the cash payment for each share surrendered in the reorganization event times the number of shares of our common stock that the employee's accumulated payroll deductions as of immediately prior to the reorganization event could purchase at the applicable purchase price, where the cash payment for each share surrendered in the reorganization event is treated as the fair market value of our common stock on the last day of the applicable offering period for purposes of determining the purchase price and where the number of shares that could be purchased is subject to the applicable limitations under the 2019 ESPP minus (2) the result of multiplying such number of shares by the purchase price; and/or</w:t>
      </w:r>
    </w:p>
    <w:p>
      <w:pPr>
        <w:spacing w:after="0" w:line="199"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93"/>
        </w:numPr>
        <w:rPr>
          <w:rFonts w:ascii="Arial" w:cs="Arial" w:eastAsia="Arial" w:hAnsi="Arial"/>
          <w:sz w:val="18"/>
          <w:szCs w:val="18"/>
          <w:color w:val="3E5588"/>
        </w:rPr>
      </w:pPr>
      <w:r>
        <w:rPr>
          <w:rFonts w:ascii="Arial" w:cs="Arial" w:eastAsia="Arial" w:hAnsi="Arial"/>
          <w:sz w:val="18"/>
          <w:szCs w:val="18"/>
          <w:color w:val="3E5588"/>
        </w:rPr>
        <w:t>provide that, in connection with our liquidation or dissolution, options will convert into the right to receive liquidation proceeds (net of the purchase price thereof).</w:t>
      </w:r>
    </w:p>
    <w:p>
      <w:pPr>
        <w:spacing w:after="0" w:line="186" w:lineRule="exact"/>
        <w:rPr>
          <w:sz w:val="20"/>
          <w:szCs w:val="20"/>
          <w:color w:val="auto"/>
        </w:rPr>
      </w:pPr>
    </w:p>
    <w:p>
      <w:pPr>
        <w:jc w:val="both"/>
        <w:ind w:firstLine="534"/>
        <w:spacing w:after="0" w:line="298" w:lineRule="auto"/>
        <w:rPr>
          <w:sz w:val="20"/>
          <w:szCs w:val="20"/>
          <w:color w:val="auto"/>
        </w:rPr>
      </w:pPr>
      <w:r>
        <w:rPr>
          <w:rFonts w:ascii="Arial" w:cs="Arial" w:eastAsia="Arial" w:hAnsi="Arial"/>
          <w:sz w:val="16"/>
          <w:szCs w:val="16"/>
          <w:color w:val="3E5588"/>
        </w:rPr>
        <w:t>Our board of directors may at any time, and from time to time, amend or suspend the 2019 ESPP or any portion of the 2019 ESPP. We will obtain stockholder approval for any amendment if such approval is required by Section 423 of the Code. Further, our board of directors may not make any amendment that would cause the 2019 ESPP to fail to comply with Section 423 of the Internal Revenue Code. The 2019 ESPP may be terminated at any time by our board of directors. Upon termination, we will refund all amounts in the accounts of participating employees.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401(k) Plan</w:t>
      </w:r>
    </w:p>
    <w:p>
      <w:pPr>
        <w:spacing w:after="0" w:line="231"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3E5588"/>
        </w:rPr>
        <w:t>We maintain a defined contribution employee retirement plan for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Under the 401(k) plan, each employee is fully vested in his or her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3E5588"/>
        </w:rPr>
        <w:t>deferred salary contributions and our discretionary match. Employee contributions are held and invested by the plan's trustee as directed by participants. The 401(k) plan provides us with the discretion to match employee contributions, but to date we have not provided any employer matching contributions.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Limitation of Liability and Indemnification</w:t>
      </w:r>
    </w:p>
    <w:p>
      <w:pPr>
        <w:spacing w:after="0" w:line="231" w:lineRule="exact"/>
        <w:rPr>
          <w:sz w:val="20"/>
          <w:szCs w:val="20"/>
          <w:color w:val="auto"/>
        </w:rPr>
      </w:pPr>
    </w:p>
    <w:p>
      <w:pPr>
        <w:jc w:val="both"/>
        <w:ind w:firstLine="358"/>
        <w:spacing w:after="0" w:line="256" w:lineRule="auto"/>
        <w:rPr>
          <w:sz w:val="20"/>
          <w:szCs w:val="20"/>
          <w:color w:val="auto"/>
        </w:rPr>
      </w:pPr>
      <w:r>
        <w:rPr>
          <w:rFonts w:ascii="Arial" w:cs="Arial" w:eastAsia="Arial" w:hAnsi="Arial"/>
          <w:sz w:val="18"/>
          <w:szCs w:val="18"/>
          <w:color w:val="3E5588"/>
        </w:rPr>
        <w:t>Our certificate of incorporation, which will become effective upon the closing of this offering, limits the personal liability of directors for breach of fiduciary duty to the maximum extent permitted by the Delaware General Corporation Law, or the DGCL, and provides that no director will have personal liability to us or to our stockholders for monetary damages for breach of fiduciary duty as a director. However, these provisions do not eliminate or limit the liability of any of our directors:</w:t>
      </w:r>
    </w:p>
    <w:p>
      <w:pPr>
        <w:spacing w:after="0" w:line="211" w:lineRule="exact"/>
        <w:rPr>
          <w:sz w:val="20"/>
          <w:szCs w:val="20"/>
          <w:color w:val="auto"/>
        </w:rPr>
      </w:pPr>
    </w:p>
    <w:p>
      <w:pPr>
        <w:ind w:left="1080" w:hanging="532"/>
        <w:spacing w:after="0"/>
        <w:tabs>
          <w:tab w:leader="none" w:pos="1080" w:val="left"/>
        </w:tabs>
        <w:numPr>
          <w:ilvl w:val="0"/>
          <w:numId w:val="94"/>
        </w:numPr>
        <w:rPr>
          <w:rFonts w:ascii="Arial" w:cs="Arial" w:eastAsia="Arial" w:hAnsi="Arial"/>
          <w:sz w:val="18"/>
          <w:szCs w:val="18"/>
          <w:color w:val="3E5588"/>
        </w:rPr>
      </w:pPr>
      <w:r>
        <w:rPr>
          <w:rFonts w:ascii="Arial" w:cs="Arial" w:eastAsia="Arial" w:hAnsi="Arial"/>
          <w:sz w:val="18"/>
          <w:szCs w:val="18"/>
          <w:color w:val="3E5588"/>
        </w:rPr>
        <w:t>for any breach of the director's duty of loyalty to us or our stockholders;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94"/>
        </w:numPr>
        <w:rPr>
          <w:rFonts w:ascii="Arial" w:cs="Arial" w:eastAsia="Arial" w:hAnsi="Arial"/>
          <w:sz w:val="18"/>
          <w:szCs w:val="18"/>
          <w:color w:val="3E5588"/>
        </w:rPr>
      </w:pPr>
      <w:r>
        <w:rPr>
          <w:rFonts w:ascii="Arial" w:cs="Arial" w:eastAsia="Arial" w:hAnsi="Arial"/>
          <w:sz w:val="18"/>
          <w:szCs w:val="18"/>
          <w:color w:val="3E5588"/>
        </w:rPr>
        <w:t>for acts or omissions not in good faith or that involve intentional misconduct or a knowing violation of law;</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94"/>
        </w:numPr>
        <w:rPr>
          <w:rFonts w:ascii="Arial" w:cs="Arial" w:eastAsia="Arial" w:hAnsi="Arial"/>
          <w:sz w:val="18"/>
          <w:szCs w:val="18"/>
          <w:color w:val="3E5588"/>
        </w:rPr>
      </w:pPr>
      <w:r>
        <w:rPr>
          <w:rFonts w:ascii="Arial" w:cs="Arial" w:eastAsia="Arial" w:hAnsi="Arial"/>
          <w:sz w:val="18"/>
          <w:szCs w:val="18"/>
          <w:color w:val="3E5588"/>
        </w:rPr>
        <w:t>for voting for or assenting to unlawful payments of dividends, stock repurchases or other distributions; or</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94"/>
        </w:numPr>
        <w:rPr>
          <w:rFonts w:ascii="Arial" w:cs="Arial" w:eastAsia="Arial" w:hAnsi="Arial"/>
          <w:sz w:val="18"/>
          <w:szCs w:val="18"/>
          <w:color w:val="3E5588"/>
        </w:rPr>
      </w:pPr>
      <w:r>
        <w:rPr>
          <w:rFonts w:ascii="Arial" w:cs="Arial" w:eastAsia="Arial" w:hAnsi="Arial"/>
          <w:sz w:val="18"/>
          <w:szCs w:val="18"/>
          <w:color w:val="3E5588"/>
        </w:rPr>
        <w:t>for any transaction from which the director derived an improper personal benefit.</w:t>
      </w:r>
    </w:p>
    <w:p>
      <w:pPr>
        <w:spacing w:after="0" w:line="225" w:lineRule="exact"/>
        <w:rPr>
          <w:sz w:val="20"/>
          <w:szCs w:val="20"/>
          <w:color w:val="auto"/>
        </w:rPr>
      </w:pPr>
    </w:p>
    <w:p>
      <w:pPr>
        <w:jc w:val="both"/>
        <w:ind w:firstLine="465"/>
        <w:spacing w:after="0" w:line="306" w:lineRule="auto"/>
        <w:rPr>
          <w:sz w:val="20"/>
          <w:szCs w:val="20"/>
          <w:color w:val="auto"/>
        </w:rPr>
      </w:pPr>
      <w:r>
        <w:rPr>
          <w:rFonts w:ascii="Arial" w:cs="Arial" w:eastAsia="Arial" w:hAnsi="Arial"/>
          <w:sz w:val="16"/>
          <w:szCs w:val="16"/>
          <w:color w:val="3E5588"/>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3E5588"/>
        </w:rPr>
        <w:t>In addition, our certificate of incorporation, which will become effective upon the closing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color w:val="3E5588"/>
        </w:rPr>
        <w:t>We maintain a general liability insurance policy that covers specified liabilities of our directors and officers arising out of claims based on acts or omissions in their capacities as directors or officers. In addition, we intend to enter into indemnification agreements with all of our executive officers and directors prior to the completion of this offering. These indemnification agreements may require us, among other things, to indemnify each such executive officer or director for some expenses, including attorneys' fees, judgments, fines and settlement amounts incurred by him or her in any action or proceeding arising out of his or her service as one of our executive officers or directors.</w:t>
      </w:r>
    </w:p>
    <w:p>
      <w:pPr>
        <w:spacing w:after="0" w:line="197" w:lineRule="exact"/>
        <w:rPr>
          <w:sz w:val="20"/>
          <w:szCs w:val="20"/>
          <w:color w:val="auto"/>
        </w:rPr>
      </w:pPr>
    </w:p>
    <w:p>
      <w:pPr>
        <w:jc w:val="both"/>
        <w:ind w:right="20" w:firstLine="374"/>
        <w:spacing w:after="0" w:line="268" w:lineRule="auto"/>
        <w:rPr>
          <w:sz w:val="20"/>
          <w:szCs w:val="20"/>
          <w:color w:val="auto"/>
        </w:rPr>
      </w:pPr>
      <w:r>
        <w:rPr>
          <w:rFonts w:ascii="Arial" w:cs="Arial" w:eastAsia="Arial" w:hAnsi="Arial"/>
          <w:sz w:val="18"/>
          <w:szCs w:val="18"/>
          <w:color w:val="3E5588"/>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jc w:val="both"/>
        <w:ind w:firstLine="407"/>
        <w:spacing w:after="0" w:line="332" w:lineRule="auto"/>
        <w:rPr>
          <w:sz w:val="20"/>
          <w:szCs w:val="20"/>
          <w:color w:val="auto"/>
        </w:rPr>
      </w:pPr>
      <w:r>
        <w:rPr>
          <w:rFonts w:ascii="Arial" w:cs="Arial" w:eastAsia="Arial" w:hAnsi="Arial"/>
          <w:sz w:val="16"/>
          <w:szCs w:val="16"/>
          <w:color w:val="3E5588"/>
        </w:rPr>
        <w:t>Insofar as indemnification for liabilities arising under the Securities Act of 1933, or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Rule 10b5-1 Sales Plans</w:t>
      </w:r>
    </w:p>
    <w:p>
      <w:pPr>
        <w:spacing w:after="0" w:line="231"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3E5588"/>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It also is possible that the director or officer could amend or terminate the plan when not in possession of material, nonpublic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3E5588"/>
        </w:rPr>
        <w:t>information. In addition, our directors and executive officers may buy or sell additional shares outside of a Rule 10b5-1 plan when they are not in possession of material, nonpublic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Director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table below shows all compensation to our non-employee directors during the year ended December 31, 2018.</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3E5588"/>
                <w:w w:val="86"/>
              </w:rPr>
              <w:t>Fees earned or</w:t>
            </w:r>
          </w:p>
        </w:tc>
        <w:tc>
          <w:tcPr>
            <w:tcW w:w="16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3E5588"/>
                <w:w w:val="83"/>
              </w:rPr>
              <w:t>Stock</w:t>
            </w:r>
          </w:p>
        </w:tc>
        <w:tc>
          <w:tcPr>
            <w:tcW w:w="160" w:type="dxa"/>
            <w:vAlign w:val="bottom"/>
          </w:tcPr>
          <w:p>
            <w:pPr>
              <w:spacing w:after="0"/>
              <w:rPr>
                <w:sz w:val="14"/>
                <w:szCs w:val="14"/>
                <w:color w:val="auto"/>
              </w:rPr>
            </w:pPr>
          </w:p>
        </w:tc>
        <w:tc>
          <w:tcPr>
            <w:tcW w:w="620" w:type="dxa"/>
            <w:vAlign w:val="bottom"/>
          </w:tcPr>
          <w:p>
            <w:pPr>
              <w:jc w:val="right"/>
              <w:ind w:right="42"/>
              <w:spacing w:after="0"/>
              <w:rPr>
                <w:sz w:val="20"/>
                <w:szCs w:val="20"/>
                <w:color w:val="auto"/>
              </w:rPr>
            </w:pPr>
            <w:r>
              <w:rPr>
                <w:rFonts w:ascii="Arial" w:cs="Arial" w:eastAsia="Arial" w:hAnsi="Arial"/>
                <w:sz w:val="14"/>
                <w:szCs w:val="14"/>
                <w:b w:val="1"/>
                <w:bCs w:val="1"/>
                <w:color w:val="3E5588"/>
              </w:rPr>
              <w:t>Option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paid in cash</w:t>
            </w:r>
          </w:p>
        </w:tc>
        <w:tc>
          <w:tcPr>
            <w:tcW w:w="16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awards</w:t>
            </w:r>
          </w:p>
        </w:tc>
        <w:tc>
          <w:tcPr>
            <w:tcW w:w="160" w:type="dxa"/>
            <w:vAlign w:val="bottom"/>
          </w:tcPr>
          <w:p>
            <w:pPr>
              <w:spacing w:after="0"/>
              <w:rPr>
                <w:sz w:val="12"/>
                <w:szCs w:val="12"/>
                <w:color w:val="auto"/>
              </w:rPr>
            </w:pPr>
          </w:p>
        </w:tc>
        <w:tc>
          <w:tcPr>
            <w:tcW w:w="62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3E5588"/>
              </w:rPr>
              <w:t>awards</w:t>
            </w:r>
          </w:p>
        </w:tc>
        <w:tc>
          <w:tcPr>
            <w:tcW w:w="160" w:type="dxa"/>
            <w:vAlign w:val="bottom"/>
          </w:tcPr>
          <w:p>
            <w:pPr>
              <w:spacing w:after="0"/>
              <w:rPr>
                <w:sz w:val="12"/>
                <w:szCs w:val="12"/>
                <w:color w:val="auto"/>
              </w:rPr>
            </w:pPr>
          </w:p>
        </w:tc>
        <w:tc>
          <w:tcPr>
            <w:tcW w:w="78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3E5588"/>
              </w:rPr>
              <w:t>Total</w:t>
            </w:r>
          </w:p>
        </w:tc>
        <w:tc>
          <w:tcPr>
            <w:tcW w:w="0" w:type="dxa"/>
            <w:vAlign w:val="bottom"/>
          </w:tcPr>
          <w:p>
            <w:pPr>
              <w:spacing w:after="0"/>
              <w:rPr>
                <w:sz w:val="1"/>
                <w:szCs w:val="1"/>
                <w:color w:val="auto"/>
              </w:rPr>
            </w:pPr>
          </w:p>
        </w:tc>
      </w:tr>
      <w:tr>
        <w:trPr>
          <w:trHeight w:val="176"/>
        </w:trPr>
        <w:tc>
          <w:tcPr>
            <w:tcW w:w="5660" w:type="dxa"/>
            <w:vAlign w:val="bottom"/>
            <w:gridSpan w:val="4"/>
          </w:tcPr>
          <w:p>
            <w:pPr>
              <w:spacing w:after="0"/>
              <w:rPr>
                <w:sz w:val="20"/>
                <w:szCs w:val="20"/>
                <w:color w:val="auto"/>
              </w:rPr>
            </w:pPr>
            <w:r>
              <w:rPr>
                <w:rFonts w:ascii="Arial" w:cs="Arial" w:eastAsia="Arial" w:hAnsi="Arial"/>
                <w:sz w:val="14"/>
                <w:szCs w:val="14"/>
                <w:b w:val="1"/>
                <w:bCs w:val="1"/>
                <w:color w:val="3E5588"/>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3E5588"/>
                <w:w w:val="93"/>
              </w:rPr>
              <w:t>($)</w:t>
            </w:r>
          </w:p>
        </w:tc>
        <w:tc>
          <w:tcPr>
            <w:tcW w:w="740" w:type="dxa"/>
            <w:vAlign w:val="bottom"/>
            <w:gridSpan w:val="2"/>
          </w:tcPr>
          <w:p>
            <w:pPr>
              <w:jc w:val="center"/>
              <w:ind w:left="97"/>
              <w:spacing w:after="0" w:line="176" w:lineRule="exact"/>
              <w:rPr>
                <w:sz w:val="20"/>
                <w:szCs w:val="20"/>
                <w:color w:val="auto"/>
              </w:rPr>
            </w:pPr>
            <w:r>
              <w:rPr>
                <w:rFonts w:ascii="Arial" w:cs="Arial" w:eastAsia="Arial" w:hAnsi="Arial"/>
                <w:sz w:val="13"/>
                <w:szCs w:val="13"/>
                <w:b w:val="1"/>
                <w:bCs w:val="1"/>
                <w:color w:val="3E5588"/>
                <w:w w:val="93"/>
              </w:rPr>
              <w:t>($)</w:t>
            </w:r>
            <w:r>
              <w:rPr>
                <w:rFonts w:ascii="Arial" w:cs="Arial" w:eastAsia="Arial" w:hAnsi="Arial"/>
                <w:sz w:val="20"/>
                <w:szCs w:val="20"/>
                <w:b w:val="1"/>
                <w:bCs w:val="1"/>
                <w:color w:val="3E5588"/>
                <w:w w:val="93"/>
                <w:vertAlign w:val="superscript"/>
              </w:rPr>
              <w:t>(1)</w:t>
            </w:r>
          </w:p>
        </w:tc>
        <w:tc>
          <w:tcPr>
            <w:tcW w:w="780" w:type="dxa"/>
            <w:vAlign w:val="bottom"/>
            <w:gridSpan w:val="2"/>
          </w:tcPr>
          <w:p>
            <w:pPr>
              <w:jc w:val="right"/>
              <w:ind w:right="22"/>
              <w:spacing w:after="0" w:line="176" w:lineRule="exact"/>
              <w:rPr>
                <w:sz w:val="20"/>
                <w:szCs w:val="20"/>
                <w:color w:val="auto"/>
              </w:rPr>
            </w:pPr>
            <w:r>
              <w:rPr>
                <w:rFonts w:ascii="Arial" w:cs="Arial" w:eastAsia="Arial" w:hAnsi="Arial"/>
                <w:sz w:val="20"/>
                <w:szCs w:val="20"/>
                <w:b w:val="1"/>
                <w:bCs w:val="1"/>
                <w:color w:val="3E5588"/>
                <w:vertAlign w:val="subscript"/>
              </w:rPr>
              <w:t>($)</w:t>
            </w:r>
            <w:r>
              <w:rPr>
                <w:rFonts w:ascii="Arial" w:cs="Arial" w:eastAsia="Arial" w:hAnsi="Arial"/>
                <w:sz w:val="9"/>
                <w:szCs w:val="9"/>
                <w:b w:val="1"/>
                <w:bCs w:val="1"/>
                <w:color w:val="3E5588"/>
              </w:rPr>
              <w:t>(2)(3)</w:t>
            </w:r>
          </w:p>
        </w:tc>
        <w:tc>
          <w:tcPr>
            <w:tcW w:w="7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3E5588"/>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3E558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James J. Collins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3E5588"/>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11,576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46,576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3E5588"/>
              </w:rPr>
              <w:t>Alan Ezekowitz</w:t>
            </w:r>
          </w:p>
        </w:tc>
        <w:tc>
          <w:tcPr>
            <w:tcW w:w="1020" w:type="dxa"/>
            <w:vAlign w:val="bottom"/>
          </w:tcPr>
          <w:p>
            <w:pPr>
              <w:jc w:val="right"/>
              <w:spacing w:after="0"/>
              <w:rPr>
                <w:sz w:val="20"/>
                <w:szCs w:val="20"/>
                <w:color w:val="auto"/>
              </w:rPr>
            </w:pPr>
            <w:r>
              <w:rPr>
                <w:rFonts w:ascii="Arial" w:cs="Arial" w:eastAsia="Arial" w:hAnsi="Arial"/>
                <w:sz w:val="18"/>
                <w:szCs w:val="18"/>
                <w:color w:val="3E5588"/>
              </w:rPr>
              <w:t>35,000</w:t>
            </w:r>
          </w:p>
        </w:tc>
        <w:tc>
          <w:tcPr>
            <w:tcW w:w="160" w:type="dxa"/>
            <w:vAlign w:val="bottom"/>
          </w:tcPr>
          <w:p>
            <w:pPr>
              <w:spacing w:after="0"/>
              <w:rPr>
                <w:sz w:val="18"/>
                <w:szCs w:val="18"/>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3E5588"/>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3E5588"/>
              </w:rPr>
              <w:t>11,549</w:t>
            </w:r>
          </w:p>
        </w:tc>
        <w:tc>
          <w:tcPr>
            <w:tcW w:w="780" w:type="dxa"/>
            <w:vAlign w:val="bottom"/>
            <w:gridSpan w:val="2"/>
          </w:tcPr>
          <w:p>
            <w:pPr>
              <w:jc w:val="right"/>
              <w:spacing w:after="0"/>
              <w:rPr>
                <w:sz w:val="20"/>
                <w:szCs w:val="20"/>
                <w:color w:val="auto"/>
              </w:rPr>
            </w:pPr>
            <w:r>
              <w:rPr>
                <w:rFonts w:ascii="Arial" w:cs="Arial" w:eastAsia="Arial" w:hAnsi="Arial"/>
                <w:sz w:val="18"/>
                <w:szCs w:val="18"/>
                <w:color w:val="3E5588"/>
              </w:rPr>
              <w:t>46,549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James Geraghty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35,000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3E5588"/>
                <w:w w:val="88"/>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11,480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46,480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40" w:type="dxa"/>
            <w:vAlign w:val="bottom"/>
            <w:gridSpan w:val="3"/>
          </w:tcPr>
          <w:p>
            <w:pPr>
              <w:spacing w:after="0" w:line="256" w:lineRule="exact"/>
              <w:rPr>
                <w:sz w:val="20"/>
                <w:szCs w:val="20"/>
                <w:color w:val="auto"/>
              </w:rPr>
            </w:pPr>
            <w:r>
              <w:rPr>
                <w:rFonts w:ascii="Arial" w:cs="Arial" w:eastAsia="Arial" w:hAnsi="Arial"/>
                <w:sz w:val="18"/>
                <w:szCs w:val="18"/>
                <w:color w:val="3E5588"/>
              </w:rPr>
              <w:t>Kate Haviland</w:t>
            </w:r>
            <w:r>
              <w:rPr>
                <w:rFonts w:ascii="Arial" w:cs="Arial" w:eastAsia="Arial" w:hAnsi="Arial"/>
                <w:sz w:val="29"/>
                <w:szCs w:val="29"/>
                <w:color w:val="3E5588"/>
                <w:vertAlign w:val="superscript"/>
              </w:rPr>
              <w:t>(4)</w:t>
            </w:r>
          </w:p>
        </w:tc>
        <w:tc>
          <w:tcPr>
            <w:tcW w:w="1020" w:type="dxa"/>
            <w:vAlign w:val="bottom"/>
          </w:tcPr>
          <w:p>
            <w:pPr>
              <w:jc w:val="right"/>
              <w:spacing w:after="0"/>
              <w:rPr>
                <w:sz w:val="20"/>
                <w:szCs w:val="20"/>
                <w:color w:val="auto"/>
              </w:rPr>
            </w:pPr>
            <w:r>
              <w:rPr>
                <w:rFonts w:ascii="Arial" w:cs="Arial" w:eastAsia="Arial" w:hAnsi="Arial"/>
                <w:sz w:val="18"/>
                <w:szCs w:val="18"/>
                <w:color w:val="3E5588"/>
              </w:rPr>
              <w:t>17,500</w:t>
            </w:r>
          </w:p>
        </w:tc>
        <w:tc>
          <w:tcPr>
            <w:tcW w:w="160" w:type="dxa"/>
            <w:vAlign w:val="bottom"/>
          </w:tcPr>
          <w:p>
            <w:pPr>
              <w:spacing w:after="0"/>
              <w:rPr>
                <w:sz w:val="22"/>
                <w:szCs w:val="22"/>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3E5588"/>
                <w:w w:val="88"/>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3E5588"/>
              </w:rPr>
              <w:t>82,459</w:t>
            </w:r>
          </w:p>
        </w:tc>
        <w:tc>
          <w:tcPr>
            <w:tcW w:w="780" w:type="dxa"/>
            <w:vAlign w:val="bottom"/>
            <w:gridSpan w:val="2"/>
          </w:tcPr>
          <w:p>
            <w:pPr>
              <w:jc w:val="right"/>
              <w:spacing w:after="0"/>
              <w:rPr>
                <w:sz w:val="20"/>
                <w:szCs w:val="20"/>
                <w:color w:val="auto"/>
              </w:rPr>
            </w:pPr>
            <w:r>
              <w:rPr>
                <w:rFonts w:ascii="Arial" w:cs="Arial" w:eastAsia="Arial" w:hAnsi="Arial"/>
                <w:sz w:val="18"/>
                <w:szCs w:val="18"/>
                <w:color w:val="3E5588"/>
              </w:rPr>
              <w:t>99,959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Mark Levin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Arial" w:cs="Arial" w:eastAsia="Arial" w:hAnsi="Arial"/>
                <w:sz w:val="18"/>
                <w:szCs w:val="18"/>
                <w:color w:val="3E5588"/>
                <w:w w:val="88"/>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640" w:type="dxa"/>
            <w:vAlign w:val="bottom"/>
            <w:gridSpan w:val="3"/>
          </w:tcPr>
          <w:p>
            <w:pPr>
              <w:spacing w:after="0"/>
              <w:rPr>
                <w:sz w:val="20"/>
                <w:szCs w:val="20"/>
                <w:color w:val="auto"/>
              </w:rPr>
            </w:pPr>
            <w:r>
              <w:rPr>
                <w:rFonts w:ascii="Arial" w:cs="Arial" w:eastAsia="Arial" w:hAnsi="Arial"/>
                <w:sz w:val="18"/>
                <w:szCs w:val="18"/>
                <w:color w:val="3E5588"/>
              </w:rPr>
              <w:t>James Tananbaum</w:t>
            </w:r>
            <w:r>
              <w:rPr>
                <w:rFonts w:ascii="Arial" w:cs="Arial" w:eastAsia="Arial" w:hAnsi="Arial"/>
                <w:sz w:val="29"/>
                <w:szCs w:val="29"/>
                <w:color w:val="3E5588"/>
                <w:vertAlign w:val="superscript"/>
              </w:rPr>
              <w:t>(5)</w:t>
            </w:r>
          </w:p>
        </w:tc>
        <w:tc>
          <w:tcPr>
            <w:tcW w:w="102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3E5588"/>
                <w:w w:val="88"/>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0"/>
        </w:trPr>
        <w:tc>
          <w:tcPr>
            <w:tcW w:w="20" w:type="dxa"/>
            <w:vAlign w:val="bottom"/>
            <w:shd w:val="clear" w:color="auto" w:fill="3E5588"/>
          </w:tcPr>
          <w:p>
            <w:pPr>
              <w:spacing w:after="0" w:line="20" w:lineRule="exact"/>
              <w:rPr>
                <w:sz w:val="1"/>
                <w:szCs w:val="1"/>
                <w:color w:val="auto"/>
              </w:rPr>
            </w:pPr>
          </w:p>
        </w:tc>
        <w:tc>
          <w:tcPr>
            <w:tcW w:w="340" w:type="dxa"/>
            <w:vAlign w:val="bottom"/>
            <w:shd w:val="clear" w:color="auto" w:fill="3E5588"/>
          </w:tcPr>
          <w:p>
            <w:pPr>
              <w:spacing w:after="0" w:line="20" w:lineRule="exact"/>
              <w:rPr>
                <w:sz w:val="1"/>
                <w:szCs w:val="1"/>
                <w:color w:val="auto"/>
              </w:rPr>
            </w:pPr>
          </w:p>
        </w:tc>
        <w:tc>
          <w:tcPr>
            <w:tcW w:w="580" w:type="dxa"/>
            <w:vAlign w:val="bottom"/>
            <w:shd w:val="clear" w:color="auto" w:fill="3E5588"/>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95"/>
        </w:numPr>
        <w:rPr>
          <w:rFonts w:ascii="Arial" w:cs="Arial" w:eastAsia="Arial" w:hAnsi="Arial"/>
          <w:sz w:val="18"/>
          <w:szCs w:val="18"/>
          <w:color w:val="3E5588"/>
        </w:rPr>
      </w:pPr>
      <w:r>
        <w:rPr>
          <w:rFonts w:ascii="Arial" w:cs="Arial" w:eastAsia="Arial" w:hAnsi="Arial"/>
          <w:sz w:val="18"/>
          <w:szCs w:val="18"/>
          <w:color w:val="3E5588"/>
        </w:rPr>
        <w:t>As of December 31, 2018, the aggregate number of shares of our common stock held pursuant to restricted stock awards by each non-employee director was as follows: Dr. Collins, 23,571 shares; Mr. Ezekowitz, 23,571 shares; Mr. Geraghty, 80,714 shares; Ms. Haviland, 0 shares; Mr. Levin, 0 shares and Mr. Tananbaum, 0 shares.</w:t>
      </w:r>
    </w:p>
    <w:p>
      <w:pPr>
        <w:spacing w:after="0" w:line="221" w:lineRule="exact"/>
        <w:rPr>
          <w:rFonts w:ascii="Arial" w:cs="Arial" w:eastAsia="Arial" w:hAnsi="Arial"/>
          <w:sz w:val="18"/>
          <w:szCs w:val="18"/>
          <w:color w:val="3E5588"/>
        </w:rPr>
      </w:pPr>
    </w:p>
    <w:p>
      <w:pPr>
        <w:jc w:val="both"/>
        <w:ind w:left="1680" w:hanging="531"/>
        <w:spacing w:after="0" w:line="294" w:lineRule="auto"/>
        <w:tabs>
          <w:tab w:leader="none" w:pos="1680" w:val="left"/>
        </w:tabs>
        <w:numPr>
          <w:ilvl w:val="0"/>
          <w:numId w:val="95"/>
        </w:numPr>
        <w:rPr>
          <w:rFonts w:ascii="Arial" w:cs="Arial" w:eastAsia="Arial" w:hAnsi="Arial"/>
          <w:sz w:val="16"/>
          <w:szCs w:val="16"/>
          <w:color w:val="3E5588"/>
        </w:rPr>
      </w:pPr>
      <w:r>
        <w:rPr>
          <w:rFonts w:ascii="Arial" w:cs="Arial" w:eastAsia="Arial" w:hAnsi="Arial"/>
          <w:sz w:val="16"/>
          <w:szCs w:val="16"/>
          <w:color w:val="3E5588"/>
        </w:rPr>
        <w:t>The amounts reported in the "Option awards" column reflect the aggregate fair value of stock-based compensation awarded during the year computed in accordance with the provisions of ASC 718. See Note 8 to our consolidated financial statements appearing at the end of this prospectus regarding assumptions underlying the valuation of equity awards. These amounts reflect the accounting cost for these stock options and do not reflect the actual economic value that may be realized by the directors upon the vesting of the stock options, the exercise of the stock options or the sale of the common underlying such stock options.</w:t>
      </w:r>
    </w:p>
    <w:p>
      <w:pPr>
        <w:spacing w:after="0" w:line="183" w:lineRule="exact"/>
        <w:rPr>
          <w:rFonts w:ascii="Arial" w:cs="Arial" w:eastAsia="Arial" w:hAnsi="Arial"/>
          <w:sz w:val="16"/>
          <w:szCs w:val="16"/>
          <w:color w:val="3E5588"/>
        </w:rPr>
      </w:pPr>
    </w:p>
    <w:p>
      <w:pPr>
        <w:jc w:val="both"/>
        <w:ind w:left="1680" w:hanging="531"/>
        <w:spacing w:after="0" w:line="259" w:lineRule="auto"/>
        <w:tabs>
          <w:tab w:leader="none" w:pos="1680" w:val="left"/>
        </w:tabs>
        <w:numPr>
          <w:ilvl w:val="0"/>
          <w:numId w:val="95"/>
        </w:numPr>
        <w:rPr>
          <w:rFonts w:ascii="Arial" w:cs="Arial" w:eastAsia="Arial" w:hAnsi="Arial"/>
          <w:sz w:val="18"/>
          <w:szCs w:val="18"/>
          <w:color w:val="3E5588"/>
        </w:rPr>
      </w:pPr>
      <w:r>
        <w:rPr>
          <w:rFonts w:ascii="Arial" w:cs="Arial" w:eastAsia="Arial" w:hAnsi="Arial"/>
          <w:sz w:val="18"/>
          <w:szCs w:val="18"/>
          <w:color w:val="3E5588"/>
        </w:rPr>
        <w:t>As of December 31, 2018, the aggregate number of shares of our common stock subject to outstanding option awards for each non-employee director was as follows: Dr. Collins, 3,571 shares; Mr. Ezekowitz, 3,571 shares; Mr. Geraghty, 3,571 shares; Ms. Haviland, 23,571 shares; Mr. Levin, 0 shares and Mr. Tananbaum, 0 shares.</w:t>
      </w:r>
    </w:p>
    <w:p>
      <w:pPr>
        <w:spacing w:after="0" w:line="207" w:lineRule="exact"/>
        <w:rPr>
          <w:rFonts w:ascii="Arial" w:cs="Arial" w:eastAsia="Arial" w:hAnsi="Arial"/>
          <w:sz w:val="18"/>
          <w:szCs w:val="18"/>
          <w:color w:val="3E5588"/>
        </w:rPr>
      </w:pPr>
    </w:p>
    <w:p>
      <w:pPr>
        <w:ind w:left="1680" w:hanging="531"/>
        <w:spacing w:after="0"/>
        <w:tabs>
          <w:tab w:leader="none" w:pos="1680" w:val="left"/>
        </w:tabs>
        <w:numPr>
          <w:ilvl w:val="0"/>
          <w:numId w:val="95"/>
        </w:numPr>
        <w:rPr>
          <w:rFonts w:ascii="Arial" w:cs="Arial" w:eastAsia="Arial" w:hAnsi="Arial"/>
          <w:sz w:val="18"/>
          <w:szCs w:val="18"/>
          <w:color w:val="3E5588"/>
        </w:rPr>
      </w:pPr>
      <w:r>
        <w:rPr>
          <w:rFonts w:ascii="Arial" w:cs="Arial" w:eastAsia="Arial" w:hAnsi="Arial"/>
          <w:sz w:val="18"/>
          <w:szCs w:val="18"/>
          <w:color w:val="3E5588"/>
        </w:rPr>
        <w:t>Kate Haviland joined our board of directors in June 2018.</w:t>
      </w:r>
    </w:p>
    <w:p>
      <w:pPr>
        <w:spacing w:after="0" w:line="252" w:lineRule="exact"/>
        <w:rPr>
          <w:rFonts w:ascii="Arial" w:cs="Arial" w:eastAsia="Arial" w:hAnsi="Arial"/>
          <w:sz w:val="18"/>
          <w:szCs w:val="18"/>
          <w:color w:val="3E5588"/>
        </w:rPr>
      </w:pPr>
    </w:p>
    <w:p>
      <w:pPr>
        <w:ind w:left="1680" w:hanging="531"/>
        <w:spacing w:after="0"/>
        <w:tabs>
          <w:tab w:leader="none" w:pos="1680" w:val="left"/>
        </w:tabs>
        <w:numPr>
          <w:ilvl w:val="0"/>
          <w:numId w:val="95"/>
        </w:numPr>
        <w:rPr>
          <w:rFonts w:ascii="Arial" w:cs="Arial" w:eastAsia="Arial" w:hAnsi="Arial"/>
          <w:sz w:val="18"/>
          <w:szCs w:val="18"/>
          <w:color w:val="3E5588"/>
        </w:rPr>
      </w:pPr>
      <w:r>
        <w:rPr>
          <w:rFonts w:ascii="Arial" w:cs="Arial" w:eastAsia="Arial" w:hAnsi="Arial"/>
          <w:sz w:val="18"/>
          <w:szCs w:val="18"/>
          <w:color w:val="3E5588"/>
        </w:rPr>
        <w:t>James Tananbaum resigned from our board of directors effective as of April 3, 2019.</w:t>
      </w:r>
    </w:p>
    <w:p>
      <w:pPr>
        <w:spacing w:after="0" w:line="225" w:lineRule="exact"/>
        <w:rPr>
          <w:sz w:val="20"/>
          <w:szCs w:val="20"/>
          <w:color w:val="auto"/>
        </w:rPr>
      </w:pPr>
    </w:p>
    <w:p>
      <w:pPr>
        <w:jc w:val="both"/>
        <w:ind w:firstLine="381"/>
        <w:spacing w:after="0" w:line="298" w:lineRule="auto"/>
        <w:rPr>
          <w:sz w:val="20"/>
          <w:szCs w:val="20"/>
          <w:color w:val="auto"/>
        </w:rPr>
      </w:pPr>
      <w:r>
        <w:rPr>
          <w:rFonts w:ascii="Arial" w:cs="Arial" w:eastAsia="Arial" w:hAnsi="Arial"/>
          <w:sz w:val="16"/>
          <w:szCs w:val="16"/>
          <w:color w:val="3E5588"/>
        </w:rPr>
        <w:t>In January 2019, Mr. Collins and Mr. Ezekowitz were each granted options to purchase 3,571 shares of our common stock. In May 2019, Mr. Geraghty was granted an option to purchase 3,571 shares of our common stock. Our board of directors has also granted an option to purchase 9,285 shares of our common stock to each of Mr. Geraghty and Ms. Haviland and an option to purchase 5,714 shares of our common stock to each of Dr. Collins and Mr. Ezekowitz, in each case effective upon the commencement of trading of our common stock on the Nasdaq Global Market.</w:t>
      </w:r>
    </w:p>
    <w:p>
      <w:pPr>
        <w:spacing w:after="0" w:line="167" w:lineRule="exact"/>
        <w:rPr>
          <w:sz w:val="20"/>
          <w:szCs w:val="20"/>
          <w:color w:val="auto"/>
        </w:rPr>
      </w:pPr>
    </w:p>
    <w:p>
      <w:pPr>
        <w:jc w:val="both"/>
        <w:ind w:firstLine="472"/>
        <w:spacing w:after="0" w:line="256" w:lineRule="auto"/>
        <w:rPr>
          <w:sz w:val="20"/>
          <w:szCs w:val="20"/>
          <w:color w:val="auto"/>
        </w:rPr>
      </w:pPr>
      <w:r>
        <w:rPr>
          <w:rFonts w:ascii="Arial" w:cs="Arial" w:eastAsia="Arial" w:hAnsi="Arial"/>
          <w:sz w:val="18"/>
          <w:szCs w:val="18"/>
          <w:color w:val="3E5588"/>
        </w:rPr>
        <w:t>Prior to this offering, we paid cash fees and granted restricted stock awards and options to purchase shares of our common stock to certain of our non-employee directors for their service on our board of directors pursuant to a non-employee and non-affiliate director compensation policy. We have historically reimbursed our non-employee directors for reasonable travel and out-of-pocket expenses incurred in connection with attending board of director and committee meetings.</w:t>
      </w:r>
    </w:p>
    <w:p>
      <w:pPr>
        <w:spacing w:after="0" w:line="197"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3E5588"/>
        </w:rPr>
        <w:t>Dr. Gould, one of our directors who also serves as our president and chief executive officer, does not receive any additional compensation for his service as a director. Dr. Gould is one of our named executive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officers and, accordingly, the compensation that we pay to Dr. Gould is discussed above under "—Summary Compensation Table" and "—Narrative to Summary Compensation Table."</w:t>
      </w:r>
    </w:p>
    <w:p>
      <w:pPr>
        <w:spacing w:after="0" w:line="186" w:lineRule="exact"/>
        <w:rPr>
          <w:sz w:val="20"/>
          <w:szCs w:val="20"/>
          <w:color w:val="auto"/>
        </w:rPr>
      </w:pPr>
    </w:p>
    <w:p>
      <w:pPr>
        <w:jc w:val="both"/>
        <w:ind w:firstLine="417"/>
        <w:spacing w:after="0" w:line="290" w:lineRule="auto"/>
        <w:rPr>
          <w:sz w:val="20"/>
          <w:szCs w:val="20"/>
          <w:color w:val="auto"/>
        </w:rPr>
      </w:pPr>
      <w:r>
        <w:rPr>
          <w:rFonts w:ascii="Arial" w:cs="Arial" w:eastAsia="Arial" w:hAnsi="Arial"/>
          <w:sz w:val="16"/>
          <w:szCs w:val="16"/>
          <w:color w:val="3E5588"/>
        </w:rPr>
        <w:t>In June 2019, our board of directors approved a director compensation program that became effective on the effective date of the registration statement of which this prospectus is a part. Under this director compensation program, we will pay our non-employee directors a cash retainer for service on the board of directors and for service on each committee on which the director is a member. The chairman of the board and of each committee will receive additional retainers for such service. These fees are payable in arrears in four equal quarterly installments on the last day of each quarter, provided that the amount of such payment will be prorated for any portion of such quarter that the director is not serving on our board of directors and no fee will be payable in respect of any period prior to the completion of this offering. The fees paid to non-employee directors for service on the board of directors and for service on each committee of the board of directors on which the director is a member are as follows:</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E5588"/>
                <w:w w:val="92"/>
              </w:rPr>
              <w:t>Chairman</w:t>
            </w:r>
          </w:p>
        </w:tc>
      </w:tr>
      <w:tr>
        <w:trPr>
          <w:trHeight w:val="149"/>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3E5588"/>
                <w:w w:val="96"/>
              </w:rPr>
              <w:t>Member</w:t>
            </w:r>
          </w:p>
        </w:tc>
        <w:tc>
          <w:tcPr>
            <w:tcW w:w="80" w:type="dxa"/>
            <w:vAlign w:val="bottom"/>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3E5588"/>
                <w:w w:val="87"/>
              </w:rPr>
              <w:t>Supplemental</w:t>
            </w:r>
          </w:p>
        </w:tc>
      </w:tr>
      <w:tr>
        <w:trPr>
          <w:trHeight w:val="161"/>
        </w:trPr>
        <w:tc>
          <w:tcPr>
            <w:tcW w:w="5880" w:type="dxa"/>
            <w:vAlign w:val="bottom"/>
          </w:tcPr>
          <w:p>
            <w:pPr>
              <w:spacing w:after="0"/>
              <w:rPr>
                <w:sz w:val="14"/>
                <w:szCs w:val="14"/>
                <w:color w:val="auto"/>
              </w:rPr>
            </w:pPr>
          </w:p>
        </w:tc>
        <w:tc>
          <w:tcPr>
            <w:tcW w:w="820" w:type="dxa"/>
            <w:vAlign w:val="bottom"/>
            <w:tcBorders>
              <w:bottom w:val="single" w:sz="8" w:color="3E5588"/>
            </w:tcBorders>
            <w:gridSpan w:val="2"/>
          </w:tcPr>
          <w:p>
            <w:pPr>
              <w:jc w:val="right"/>
              <w:spacing w:after="0"/>
              <w:rPr>
                <w:sz w:val="20"/>
                <w:szCs w:val="20"/>
                <w:color w:val="auto"/>
              </w:rPr>
            </w:pPr>
            <w:r>
              <w:rPr>
                <w:rFonts w:ascii="Arial" w:cs="Arial" w:eastAsia="Arial" w:hAnsi="Arial"/>
                <w:sz w:val="14"/>
                <w:szCs w:val="14"/>
                <w:b w:val="1"/>
                <w:bCs w:val="1"/>
                <w:color w:val="3E5588"/>
                <w:w w:val="95"/>
              </w:rPr>
              <w:t>Annual Fee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3E5588"/>
            </w:tcBorders>
          </w:tcPr>
          <w:p>
            <w:pPr>
              <w:spacing w:after="0"/>
              <w:rPr>
                <w:sz w:val="14"/>
                <w:szCs w:val="14"/>
                <w:color w:val="auto"/>
              </w:rPr>
            </w:pPr>
          </w:p>
        </w:tc>
        <w:tc>
          <w:tcPr>
            <w:tcW w:w="840" w:type="dxa"/>
            <w:vAlign w:val="bottom"/>
            <w:tcBorders>
              <w:bottom w:val="single" w:sz="8" w:color="3E5588"/>
            </w:tcBorders>
          </w:tcPr>
          <w:p>
            <w:pPr>
              <w:jc w:val="center"/>
              <w:ind w:right="19"/>
              <w:spacing w:after="0"/>
              <w:rPr>
                <w:sz w:val="20"/>
                <w:szCs w:val="20"/>
                <w:color w:val="auto"/>
              </w:rPr>
            </w:pPr>
            <w:r>
              <w:rPr>
                <w:rFonts w:ascii="Arial" w:cs="Arial" w:eastAsia="Arial" w:hAnsi="Arial"/>
                <w:sz w:val="14"/>
                <w:szCs w:val="14"/>
                <w:b w:val="1"/>
                <w:bCs w:val="1"/>
                <w:color w:val="3E5588"/>
                <w:w w:val="87"/>
              </w:rPr>
              <w:t>Annual Fee</w:t>
            </w:r>
          </w:p>
        </w:tc>
        <w:tc>
          <w:tcPr>
            <w:tcW w:w="160" w:type="dxa"/>
            <w:vAlign w:val="bottom"/>
          </w:tcPr>
          <w:p>
            <w:pPr>
              <w:spacing w:after="0"/>
              <w:rPr>
                <w:sz w:val="14"/>
                <w:szCs w:val="14"/>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3E5588"/>
              </w:rPr>
              <w:t>Board of Directors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35,000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30,000</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3E5588"/>
              </w:rPr>
              <w:t>Audit Committee</w:t>
            </w:r>
          </w:p>
        </w:tc>
        <w:tc>
          <w:tcPr>
            <w:tcW w:w="12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3E5588"/>
              </w:rPr>
              <w:t>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3E5588"/>
              </w:rPr>
              <w:t>7,500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3E5588"/>
              </w:rPr>
              <w:t>Compensation Committee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5,000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5,000</w:t>
            </w:r>
          </w:p>
        </w:tc>
      </w:tr>
      <w:tr>
        <w:trPr>
          <w:trHeight w:val="222"/>
        </w:trPr>
        <w:tc>
          <w:tcPr>
            <w:tcW w:w="5880" w:type="dxa"/>
            <w:vAlign w:val="bottom"/>
          </w:tcPr>
          <w:p>
            <w:pPr>
              <w:spacing w:after="0"/>
              <w:rPr>
                <w:sz w:val="20"/>
                <w:szCs w:val="20"/>
                <w:color w:val="auto"/>
              </w:rPr>
            </w:pPr>
            <w:r>
              <w:rPr>
                <w:rFonts w:ascii="Arial" w:cs="Arial" w:eastAsia="Arial" w:hAnsi="Arial"/>
                <w:sz w:val="18"/>
                <w:szCs w:val="18"/>
                <w:color w:val="3E5588"/>
              </w:rPr>
              <w:t>Nominating and Corporate Governance Committee</w:t>
            </w:r>
          </w:p>
        </w:tc>
        <w:tc>
          <w:tcPr>
            <w:tcW w:w="12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3E5588"/>
              </w:rPr>
              <w:t>4,000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3E5588"/>
              </w:rPr>
              <w:t>4,000</w:t>
            </w:r>
          </w:p>
        </w:tc>
      </w:tr>
    </w:tbl>
    <w:p>
      <w:pPr>
        <w:spacing w:after="0" w:line="201" w:lineRule="exact"/>
        <w:rPr>
          <w:sz w:val="20"/>
          <w:szCs w:val="20"/>
          <w:color w:val="auto"/>
        </w:rPr>
      </w:pPr>
    </w:p>
    <w:p>
      <w:pPr>
        <w:jc w:val="both"/>
        <w:ind w:firstLine="408"/>
        <w:spacing w:after="0" w:line="268" w:lineRule="auto"/>
        <w:rPr>
          <w:sz w:val="20"/>
          <w:szCs w:val="20"/>
          <w:color w:val="auto"/>
        </w:rPr>
      </w:pPr>
      <w:r>
        <w:rPr>
          <w:rFonts w:ascii="Arial" w:cs="Arial" w:eastAsia="Arial" w:hAnsi="Arial"/>
          <w:sz w:val="18"/>
          <w:szCs w:val="18"/>
          <w:color w:val="3E5588"/>
        </w:rPr>
        <w:t>We also will continue to reimburse our non-employee directors for reasonable travel and other expenses incurred in connection with attending meetings of our board of directors and any committee of our board of directors on which he or she serves.</w:t>
      </w:r>
    </w:p>
    <w:p>
      <w:pPr>
        <w:spacing w:after="0" w:line="186" w:lineRule="exact"/>
        <w:rPr>
          <w:sz w:val="20"/>
          <w:szCs w:val="20"/>
          <w:color w:val="auto"/>
        </w:rPr>
      </w:pPr>
    </w:p>
    <w:p>
      <w:pPr>
        <w:jc w:val="both"/>
        <w:ind w:firstLine="391"/>
        <w:spacing w:after="0" w:line="309" w:lineRule="auto"/>
        <w:rPr>
          <w:sz w:val="20"/>
          <w:szCs w:val="20"/>
          <w:color w:val="auto"/>
        </w:rPr>
      </w:pPr>
      <w:r>
        <w:rPr>
          <w:rFonts w:ascii="Arial" w:cs="Arial" w:eastAsia="Arial" w:hAnsi="Arial"/>
          <w:sz w:val="15"/>
          <w:szCs w:val="15"/>
          <w:color w:val="3E5588"/>
        </w:rPr>
        <w:t>In addition, under our director compensation program, each non-employee director will receive, upon his or her initial election or appointment to our board of directors, an option to purchase 18,571 shares of our common stock under the 2019 Plan. Each of these options will vest as to 2.7778% of the shares of our common stock underlying such option at the end of each successive one month period following the grant date until the third anniversary of the grant date, subject to the non-employee director's continued service as a director. Further, on the date of the first board meeting held after each annual meeting of stockholders, each non-employee director that has served on our board of directors for at least six months will receive, under the 2019 Plan, an option to purchase 9,285 shares of our common stock under the 2019 Plan. Each of these options will vest with respect to all of the shares underlying such option on the first anniversary of the grant date or, if earlier, immediately prior to the first annual meeting of stockholders occurring after the grant date, subject to the non-employee director's continued service as a director. All options issued to our non-employee directors under our director compensation program will be issued at exercise prices equal to the fair market value of our common stock on the date of grant and will become exercisable in full upon specified change in control events.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TRANSACTIONS WITH RELATED PERSONS</w:t>
      </w:r>
    </w:p>
    <w:p>
      <w:pPr>
        <w:spacing w:after="0" w:line="231"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3E5588"/>
        </w:rPr>
        <w:t>Since January 1, 2016, we have engaged in the following transactions in which the amounts involved exceeded $120,000 and any of our directors, executive officers or holders of more than 5% of our voting securities, or any member of the immediate family of, or person sharing the household with, the foregoing persons, had or will have a direct or indirect material interest. We believe that all of these transactions were on terms as favorable as could have been obtained from unrelated third parties.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Convertible Promissory Note</w:t>
      </w:r>
    </w:p>
    <w:p>
      <w:pPr>
        <w:spacing w:after="0" w:line="231" w:lineRule="exact"/>
        <w:rPr>
          <w:sz w:val="20"/>
          <w:szCs w:val="20"/>
          <w:color w:val="auto"/>
        </w:rPr>
      </w:pPr>
    </w:p>
    <w:p>
      <w:pPr>
        <w:jc w:val="both"/>
        <w:ind w:firstLine="390"/>
        <w:spacing w:after="0" w:line="259" w:lineRule="auto"/>
        <w:rPr>
          <w:sz w:val="20"/>
          <w:szCs w:val="20"/>
          <w:color w:val="auto"/>
        </w:rPr>
      </w:pPr>
      <w:r>
        <w:rPr>
          <w:rFonts w:ascii="Arial" w:cs="Arial" w:eastAsia="Arial" w:hAnsi="Arial"/>
          <w:sz w:val="18"/>
          <w:szCs w:val="18"/>
          <w:color w:val="3E5588"/>
        </w:rPr>
        <w:t>On April 14, 2016, we issued and sold a convertible promissory note to Third Rock Ventures III, L.P. in the aggregate principal amount of $3,500,000. The note accrued interest at a rate of 6% per annum. All principal and interest under the note was converted into shares of Series A preferred stock in connection with our initial closing of our Series A preferred stock financing in July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Series A Preferred Stock Financing</w:t>
      </w:r>
    </w:p>
    <w:p>
      <w:pPr>
        <w:spacing w:after="0" w:line="231" w:lineRule="exact"/>
        <w:rPr>
          <w:sz w:val="20"/>
          <w:szCs w:val="20"/>
          <w:color w:val="auto"/>
        </w:rPr>
      </w:pPr>
    </w:p>
    <w:p>
      <w:pPr>
        <w:jc w:val="both"/>
        <w:ind w:firstLine="462"/>
        <w:spacing w:after="0" w:line="294" w:lineRule="auto"/>
        <w:rPr>
          <w:sz w:val="20"/>
          <w:szCs w:val="20"/>
          <w:color w:val="auto"/>
        </w:rPr>
      </w:pPr>
      <w:r>
        <w:rPr>
          <w:rFonts w:ascii="Arial" w:cs="Arial" w:eastAsia="Arial" w:hAnsi="Arial"/>
          <w:sz w:val="16"/>
          <w:szCs w:val="16"/>
          <w:color w:val="3E5588"/>
        </w:rPr>
        <w:t>From July 18, 2016 to June 6, 2018, we issued and sold an aggregate of 60,000,000 shares of our Series A preferred stock, consisting of (i) 53,313,014 shares sold at a price per share of $1.00 in cash, for an aggregate purchase price of $53,313,014 and (ii) 6,686,986 shares issued upon conversion of $6,868,986 in outstanding principal and accrued and unpaid interest under the notes issued on October 15, 2015 and April 14, 2016, at a price per share of $1.00 in cash. The following table sets forth the aggregate numbers of shares of our Series A preferred stock that we issued and sold to our 5% stockholders and their affiliates in this transaction and the aggregate amount of consideration for such shares: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3E5588"/>
                <w:w w:val="81"/>
              </w:rPr>
              <w:t>Shares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5"/>
              </w:rPr>
              <w:t>Series 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8"/>
              </w:rPr>
              <w:t>Preferred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84"/>
              </w:rPr>
              <w:t>Purchase Price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4"/>
              </w:rPr>
              <w:t>Shares of Series 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180"/>
              <w:spacing w:after="0" w:line="149" w:lineRule="exact"/>
              <w:rPr>
                <w:sz w:val="20"/>
                <w:szCs w:val="20"/>
                <w:color w:val="auto"/>
              </w:rPr>
            </w:pPr>
            <w:r>
              <w:rPr>
                <w:rFonts w:ascii="Arial" w:cs="Arial" w:eastAsia="Arial" w:hAnsi="Arial"/>
                <w:sz w:val="14"/>
                <w:szCs w:val="14"/>
                <w:b w:val="1"/>
                <w:bCs w:val="1"/>
                <w:color w:val="3E5588"/>
              </w:rPr>
              <w:t>Cash</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4"/>
              </w:rPr>
              <w:t>Received upon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87"/>
              </w:rPr>
              <w:t>Funded by</w:t>
            </w:r>
          </w:p>
        </w:tc>
        <w:tc>
          <w:tcPr>
            <w:tcW w:w="0" w:type="dxa"/>
            <w:vAlign w:val="bottom"/>
          </w:tcPr>
          <w:p>
            <w:pPr>
              <w:spacing w:after="0"/>
              <w:rPr>
                <w:sz w:val="1"/>
                <w:szCs w:val="1"/>
                <w:color w:val="auto"/>
              </w:rPr>
            </w:pPr>
          </w:p>
        </w:tc>
      </w:tr>
      <w:tr>
        <w:trPr>
          <w:trHeight w:val="149"/>
        </w:trPr>
        <w:tc>
          <w:tcPr>
            <w:tcW w:w="3140" w:type="dxa"/>
            <w:vAlign w:val="bottom"/>
            <w:gridSpan w:val="4"/>
            <w:vMerge w:val="restart"/>
          </w:tcPr>
          <w:p>
            <w:pPr>
              <w:spacing w:after="0"/>
              <w:rPr>
                <w:sz w:val="20"/>
                <w:szCs w:val="20"/>
                <w:color w:val="auto"/>
              </w:rPr>
            </w:pPr>
            <w:r>
              <w:rPr>
                <w:rFonts w:ascii="Arial" w:cs="Arial" w:eastAsia="Arial" w:hAnsi="Arial"/>
                <w:sz w:val="14"/>
                <w:szCs w:val="14"/>
                <w:b w:val="1"/>
                <w:bCs w:val="1"/>
                <w:color w:val="3E5588"/>
              </w:rPr>
              <w:t>Purchaser</w:t>
            </w:r>
            <w:r>
              <w:rPr>
                <w:rFonts w:ascii="Arial" w:cs="Arial" w:eastAsia="Arial" w:hAnsi="Arial"/>
                <w:sz w:val="22"/>
                <w:szCs w:val="22"/>
                <w:b w:val="1"/>
                <w:bCs w:val="1"/>
                <w:color w:val="3E5588"/>
                <w:vertAlign w:val="superscript"/>
              </w:rPr>
              <w:t>(1)(2)</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8"/>
              </w:rPr>
              <w:t>Preferred Stock</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3E5588"/>
              </w:rPr>
              <w:t>Purchase</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4"/>
              </w:rPr>
              <w:t>Conversion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3E5588"/>
                <w:w w:val="87"/>
              </w:rPr>
              <w:t>Conversion of</w:t>
            </w:r>
          </w:p>
        </w:tc>
        <w:tc>
          <w:tcPr>
            <w:tcW w:w="0" w:type="dxa"/>
            <w:vAlign w:val="bottom"/>
          </w:tcPr>
          <w:p>
            <w:pPr>
              <w:spacing w:after="0"/>
              <w:rPr>
                <w:sz w:val="1"/>
                <w:szCs w:val="1"/>
                <w:color w:val="auto"/>
              </w:rPr>
            </w:pPr>
          </w:p>
        </w:tc>
      </w:tr>
      <w:tr>
        <w:trPr>
          <w:trHeight w:val="161"/>
        </w:trPr>
        <w:tc>
          <w:tcPr>
            <w:tcW w:w="3140" w:type="dxa"/>
            <w:vAlign w:val="bottom"/>
            <w:gridSpan w:val="4"/>
            <w:vMerge w:val="continue"/>
          </w:tcPr>
          <w:p>
            <w:pPr>
              <w:spacing w:after="0"/>
              <w:rPr>
                <w:sz w:val="14"/>
                <w:szCs w:val="14"/>
                <w:color w:val="auto"/>
              </w:rPr>
            </w:pPr>
          </w:p>
        </w:tc>
        <w:tc>
          <w:tcPr>
            <w:tcW w:w="840" w:type="dxa"/>
            <w:vAlign w:val="bottom"/>
          </w:tcPr>
          <w:p>
            <w:pPr>
              <w:ind w:left="280"/>
              <w:spacing w:after="0"/>
              <w:rPr>
                <w:sz w:val="20"/>
                <w:szCs w:val="20"/>
                <w:color w:val="auto"/>
              </w:rPr>
            </w:pPr>
            <w:r>
              <w:rPr>
                <w:rFonts w:ascii="Arial" w:cs="Arial" w:eastAsia="Arial" w:hAnsi="Arial"/>
                <w:sz w:val="14"/>
                <w:szCs w:val="14"/>
                <w:b w:val="1"/>
                <w:bCs w:val="1"/>
                <w:color w:val="3E5588"/>
              </w:rPr>
              <w:t>Date</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3E5588"/>
                <w:w w:val="87"/>
              </w:rPr>
              <w:t>Sold for Cash</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3E5588"/>
              </w:rPr>
              <w:t>Price</w:t>
            </w:r>
          </w:p>
        </w:tc>
        <w:tc>
          <w:tcPr>
            <w:tcW w:w="1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3E5588"/>
                <w:w w:val="85"/>
              </w:rPr>
              <w:t>Promissory Note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E5588"/>
                <w:w w:val="85"/>
              </w:rPr>
              <w:t>Promissory Note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200" w:type="dxa"/>
            <w:vAlign w:val="bottom"/>
            <w:shd w:val="clear" w:color="auto" w:fill="3E5588"/>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8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10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7/18/2016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5,156,507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7"/>
              </w:rPr>
              <w:t>5,156,507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6,686,986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6,686,986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3E5588"/>
                <w:w w:val="88"/>
              </w:rPr>
              <w:t>11/15/2016</w:t>
            </w:r>
          </w:p>
        </w:tc>
        <w:tc>
          <w:tcPr>
            <w:tcW w:w="1420" w:type="dxa"/>
            <w:vAlign w:val="bottom"/>
            <w:gridSpan w:val="2"/>
          </w:tcPr>
          <w:p>
            <w:pPr>
              <w:jc w:val="right"/>
              <w:spacing w:after="0"/>
              <w:rPr>
                <w:sz w:val="20"/>
                <w:szCs w:val="20"/>
                <w:color w:val="auto"/>
              </w:rPr>
            </w:pPr>
            <w:r>
              <w:rPr>
                <w:rFonts w:ascii="Arial" w:cs="Arial" w:eastAsia="Arial" w:hAnsi="Arial"/>
                <w:sz w:val="18"/>
                <w:szCs w:val="18"/>
                <w:color w:val="3E5588"/>
              </w:rPr>
              <w:t>5,156,507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tcPr>
          <w:p>
            <w:pPr>
              <w:ind w:left="80"/>
              <w:spacing w:after="0"/>
              <w:rPr>
                <w:sz w:val="20"/>
                <w:szCs w:val="20"/>
                <w:color w:val="auto"/>
              </w:rPr>
            </w:pPr>
            <w:r>
              <w:rPr>
                <w:rFonts w:ascii="Arial" w:cs="Arial" w:eastAsia="Arial" w:hAnsi="Arial"/>
                <w:sz w:val="18"/>
                <w:szCs w:val="18"/>
                <w:color w:val="3E5588"/>
                <w:w w:val="87"/>
              </w:rPr>
              <w:t>5,156,507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2/17/2017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6,333,333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7"/>
              </w:rPr>
              <w:t>6,333,333</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3E5588"/>
                <w:w w:val="88"/>
              </w:rPr>
              <w:t>5/3/2017</w:t>
            </w:r>
          </w:p>
        </w:tc>
        <w:tc>
          <w:tcPr>
            <w:tcW w:w="1420" w:type="dxa"/>
            <w:vAlign w:val="bottom"/>
            <w:gridSpan w:val="2"/>
          </w:tcPr>
          <w:p>
            <w:pPr>
              <w:jc w:val="right"/>
              <w:spacing w:after="0"/>
              <w:rPr>
                <w:sz w:val="20"/>
                <w:szCs w:val="20"/>
                <w:color w:val="auto"/>
              </w:rPr>
            </w:pPr>
            <w:r>
              <w:rPr>
                <w:rFonts w:ascii="Arial" w:cs="Arial" w:eastAsia="Arial" w:hAnsi="Arial"/>
                <w:sz w:val="18"/>
                <w:szCs w:val="18"/>
                <w:color w:val="3E5588"/>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tcPr>
          <w:p>
            <w:pPr>
              <w:ind w:left="80"/>
              <w:spacing w:after="0"/>
              <w:rPr>
                <w:sz w:val="20"/>
                <w:szCs w:val="20"/>
                <w:color w:val="auto"/>
              </w:rPr>
            </w:pPr>
            <w:r>
              <w:rPr>
                <w:rFonts w:ascii="Arial" w:cs="Arial" w:eastAsia="Arial" w:hAnsi="Arial"/>
                <w:sz w:val="18"/>
                <w:szCs w:val="18"/>
                <w:color w:val="3E5588"/>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8"/>
              </w:rPr>
              <w:t>5/3/2017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3E5588"/>
                <w:w w:val="88"/>
              </w:rPr>
              <w:t>1/4/2018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3E5588"/>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tcPr>
          <w:p>
            <w:pPr>
              <w:ind w:left="80"/>
              <w:spacing w:after="0"/>
              <w:rPr>
                <w:sz w:val="20"/>
                <w:szCs w:val="20"/>
                <w:color w:val="auto"/>
              </w:rPr>
            </w:pPr>
            <w:r>
              <w:rPr>
                <w:rFonts w:ascii="Arial" w:cs="Arial" w:eastAsia="Arial" w:hAnsi="Arial"/>
                <w:sz w:val="18"/>
                <w:szCs w:val="18"/>
                <w:color w:val="3E5588"/>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8"/>
              </w:rPr>
              <w:t>1/4/2018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3E5588"/>
                <w:w w:val="89"/>
              </w:rPr>
              <w:t>3/13/2018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3E5588"/>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tcPr>
          <w:p>
            <w:pPr>
              <w:ind w:left="80"/>
              <w:spacing w:after="0"/>
              <w:rPr>
                <w:sz w:val="20"/>
                <w:szCs w:val="20"/>
                <w:color w:val="auto"/>
              </w:rPr>
            </w:pPr>
            <w:r>
              <w:rPr>
                <w:rFonts w:ascii="Arial" w:cs="Arial" w:eastAsia="Arial" w:hAnsi="Arial"/>
                <w:sz w:val="18"/>
                <w:szCs w:val="18"/>
                <w:color w:val="3E5588"/>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3/13/2018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3,166,666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7"/>
              </w:rPr>
              <w:t>3,166,666</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3E5588"/>
                <w:w w:val="88"/>
              </w:rPr>
              <w:t>5/9/2018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3E5588"/>
              </w:rPr>
              <w:t>3,166,666</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tcPr>
          <w:p>
            <w:pPr>
              <w:ind w:left="80"/>
              <w:spacing w:after="0"/>
              <w:rPr>
                <w:sz w:val="20"/>
                <w:szCs w:val="20"/>
                <w:color w:val="auto"/>
              </w:rPr>
            </w:pPr>
            <w:r>
              <w:rPr>
                <w:rFonts w:ascii="Arial" w:cs="Arial" w:eastAsia="Arial" w:hAnsi="Arial"/>
                <w:sz w:val="18"/>
                <w:szCs w:val="18"/>
                <w:color w:val="3E5588"/>
                <w:w w:val="87"/>
              </w:rPr>
              <w:t>3,166,666</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8"/>
              </w:rPr>
              <w:t>5/9/2018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3E5588"/>
              </w:rPr>
              <w:t>Third Rock Ventures III, L.P.</w:t>
            </w:r>
          </w:p>
        </w:tc>
        <w:tc>
          <w:tcPr>
            <w:tcW w:w="840" w:type="dxa"/>
            <w:vAlign w:val="bottom"/>
          </w:tcPr>
          <w:p>
            <w:pPr>
              <w:jc w:val="center"/>
              <w:spacing w:after="0"/>
              <w:rPr>
                <w:sz w:val="20"/>
                <w:szCs w:val="20"/>
                <w:color w:val="auto"/>
              </w:rPr>
            </w:pPr>
            <w:r>
              <w:rPr>
                <w:rFonts w:ascii="Arial" w:cs="Arial" w:eastAsia="Arial" w:hAnsi="Arial"/>
                <w:sz w:val="18"/>
                <w:szCs w:val="18"/>
                <w:color w:val="3E5588"/>
                <w:w w:val="88"/>
              </w:rPr>
              <w:t>6/6/2018</w:t>
            </w:r>
          </w:p>
        </w:tc>
        <w:tc>
          <w:tcPr>
            <w:tcW w:w="1420" w:type="dxa"/>
            <w:vAlign w:val="bottom"/>
            <w:gridSpan w:val="2"/>
          </w:tcPr>
          <w:p>
            <w:pPr>
              <w:jc w:val="right"/>
              <w:spacing w:after="0"/>
              <w:rPr>
                <w:sz w:val="20"/>
                <w:szCs w:val="20"/>
                <w:color w:val="auto"/>
              </w:rPr>
            </w:pPr>
            <w:r>
              <w:rPr>
                <w:rFonts w:ascii="Arial" w:cs="Arial" w:eastAsia="Arial" w:hAnsi="Arial"/>
                <w:sz w:val="18"/>
                <w:szCs w:val="18"/>
                <w:color w:val="3E5588"/>
              </w:rPr>
              <w:t>3,166,667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tcPr>
          <w:p>
            <w:pPr>
              <w:ind w:left="80"/>
              <w:spacing w:after="0"/>
              <w:rPr>
                <w:sz w:val="20"/>
                <w:szCs w:val="20"/>
                <w:color w:val="auto"/>
              </w:rPr>
            </w:pPr>
            <w:r>
              <w:rPr>
                <w:rFonts w:ascii="Arial" w:cs="Arial" w:eastAsia="Arial" w:hAnsi="Arial"/>
                <w:sz w:val="18"/>
                <w:szCs w:val="18"/>
                <w:color w:val="3E5588"/>
                <w:w w:val="87"/>
              </w:rPr>
              <w:t>3,166,667</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3E5588"/>
              </w:rPr>
              <w:t>Third Rock Ventures IV, L.P.</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8"/>
              </w:rPr>
              <w:t>6/6/2018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3,166,667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7"/>
              </w:rPr>
              <w:t>3,166,667</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0" w:type="dxa"/>
            <w:vAlign w:val="bottom"/>
            <w:tcBorders>
              <w:bottom w:val="single" w:sz="8" w:color="3E5588"/>
            </w:tcBorders>
          </w:tcPr>
          <w:p>
            <w:pPr>
              <w:spacing w:after="0"/>
              <w:rPr>
                <w:sz w:val="9"/>
                <w:szCs w:val="9"/>
                <w:color w:val="auto"/>
              </w:rPr>
            </w:pPr>
          </w:p>
        </w:tc>
        <w:tc>
          <w:tcPr>
            <w:tcW w:w="20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6"/>
        </w:numPr>
        <w:rPr>
          <w:rFonts w:ascii="Arial" w:cs="Arial" w:eastAsia="Arial" w:hAnsi="Arial"/>
          <w:sz w:val="18"/>
          <w:szCs w:val="18"/>
          <w:color w:val="3E5588"/>
        </w:rPr>
      </w:pPr>
      <w:r>
        <w:rPr>
          <w:rFonts w:ascii="Arial" w:cs="Arial" w:eastAsia="Arial" w:hAnsi="Arial"/>
          <w:sz w:val="18"/>
          <w:szCs w:val="18"/>
          <w:color w:val="3E5588"/>
        </w:rPr>
        <w:t>See "Principal Stockholders" for additional information about shares held by these entities.</w:t>
      </w:r>
    </w:p>
    <w:p>
      <w:pPr>
        <w:spacing w:after="0" w:line="252" w:lineRule="exact"/>
        <w:rPr>
          <w:rFonts w:ascii="Arial" w:cs="Arial" w:eastAsia="Arial" w:hAnsi="Arial"/>
          <w:sz w:val="18"/>
          <w:szCs w:val="18"/>
          <w:color w:val="3E5588"/>
        </w:rPr>
      </w:pPr>
    </w:p>
    <w:p>
      <w:pPr>
        <w:ind w:left="1680" w:hanging="531"/>
        <w:spacing w:after="0"/>
        <w:tabs>
          <w:tab w:leader="none" w:pos="1680" w:val="left"/>
        </w:tabs>
        <w:numPr>
          <w:ilvl w:val="0"/>
          <w:numId w:val="96"/>
        </w:numPr>
        <w:rPr>
          <w:rFonts w:ascii="Arial" w:cs="Arial" w:eastAsia="Arial" w:hAnsi="Arial"/>
          <w:sz w:val="18"/>
          <w:szCs w:val="18"/>
          <w:color w:val="3E5588"/>
        </w:rPr>
      </w:pPr>
      <w:r>
        <w:rPr>
          <w:rFonts w:ascii="Arial" w:cs="Arial" w:eastAsia="Arial" w:hAnsi="Arial"/>
          <w:sz w:val="18"/>
          <w:szCs w:val="18"/>
          <w:color w:val="3E5588"/>
        </w:rPr>
        <w:t>Mr. Levin, a member of our board of directors, is a partner of Third Rock Ventures.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Series B Preferred Stock Financing</w:t>
      </w:r>
    </w:p>
    <w:p>
      <w:pPr>
        <w:spacing w:after="0" w:line="231" w:lineRule="exact"/>
        <w:rPr>
          <w:sz w:val="20"/>
          <w:szCs w:val="20"/>
          <w:color w:val="auto"/>
        </w:rPr>
      </w:pPr>
    </w:p>
    <w:p>
      <w:pPr>
        <w:ind w:firstLine="383"/>
        <w:spacing w:after="0" w:line="332" w:lineRule="auto"/>
        <w:rPr>
          <w:sz w:val="20"/>
          <w:szCs w:val="20"/>
          <w:color w:val="auto"/>
        </w:rPr>
      </w:pPr>
      <w:r>
        <w:rPr>
          <w:rFonts w:ascii="Arial" w:cs="Arial" w:eastAsia="Arial" w:hAnsi="Arial"/>
          <w:sz w:val="16"/>
          <w:szCs w:val="16"/>
          <w:color w:val="3E5588"/>
        </w:rPr>
        <w:t>In August 2018, we issued and sold an aggregate of 40,000,000 shares of our Series B preferred stock at a price per share of $2.00 in cash, for an aggregate purchase price of $80,000,000. The following table sets forth the aggregate numbers of shares of our Series B preferred stock that we sold to our 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stockholders and their affiliates in this transaction and the aggregate amount of consideration for such shares: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3E5588"/>
                <w:w w:val="81"/>
              </w:rPr>
              <w:t>Shares of</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3E5588"/>
                <w:w w:val="87"/>
              </w:rPr>
              <w:t>Cash</w:t>
            </w:r>
          </w:p>
        </w:tc>
        <w:tc>
          <w:tcPr>
            <w:tcW w:w="0" w:type="dxa"/>
            <w:vAlign w:val="bottom"/>
          </w:tcPr>
          <w:p>
            <w:pPr>
              <w:spacing w:after="0"/>
              <w:rPr>
                <w:sz w:val="1"/>
                <w:szCs w:val="1"/>
                <w:color w:val="auto"/>
              </w:rPr>
            </w:pPr>
          </w:p>
        </w:tc>
      </w:tr>
      <w:tr>
        <w:trPr>
          <w:trHeight w:val="149"/>
        </w:trPr>
        <w:tc>
          <w:tcPr>
            <w:tcW w:w="6640" w:type="dxa"/>
            <w:vAlign w:val="bottom"/>
            <w:gridSpan w:val="4"/>
            <w:vMerge w:val="restart"/>
          </w:tcPr>
          <w:p>
            <w:pPr>
              <w:spacing w:after="0"/>
              <w:rPr>
                <w:sz w:val="20"/>
                <w:szCs w:val="20"/>
                <w:color w:val="auto"/>
              </w:rPr>
            </w:pPr>
            <w:r>
              <w:rPr>
                <w:rFonts w:ascii="Arial" w:cs="Arial" w:eastAsia="Arial" w:hAnsi="Arial"/>
                <w:sz w:val="14"/>
                <w:szCs w:val="14"/>
                <w:b w:val="1"/>
                <w:bCs w:val="1"/>
                <w:color w:val="3E5588"/>
              </w:rPr>
              <w:t>Purchaser</w:t>
            </w:r>
            <w:r>
              <w:rPr>
                <w:rFonts w:ascii="Arial" w:cs="Arial" w:eastAsia="Arial" w:hAnsi="Arial"/>
                <w:sz w:val="22"/>
                <w:szCs w:val="22"/>
                <w:b w:val="1"/>
                <w:bCs w:val="1"/>
                <w:color w:val="3E5588"/>
                <w:vertAlign w:val="superscript"/>
              </w:rPr>
              <w:t>(1)</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5"/>
              </w:rPr>
              <w:t>Series B</w:t>
            </w: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3E5588"/>
                <w:w w:val="85"/>
              </w:rPr>
              <w:t>Purchase</w:t>
            </w:r>
          </w:p>
        </w:tc>
        <w:tc>
          <w:tcPr>
            <w:tcW w:w="0" w:type="dxa"/>
            <w:vAlign w:val="bottom"/>
          </w:tcPr>
          <w:p>
            <w:pPr>
              <w:spacing w:after="0"/>
              <w:rPr>
                <w:sz w:val="1"/>
                <w:szCs w:val="1"/>
                <w:color w:val="auto"/>
              </w:rPr>
            </w:pPr>
          </w:p>
        </w:tc>
      </w:tr>
      <w:tr>
        <w:trPr>
          <w:trHeight w:val="161"/>
        </w:trPr>
        <w:tc>
          <w:tcPr>
            <w:tcW w:w="6640" w:type="dxa"/>
            <w:vAlign w:val="bottom"/>
            <w:gridSpan w:val="4"/>
            <w:vMerge w:val="continue"/>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3E5588"/>
                <w:w w:val="88"/>
              </w:rPr>
              <w:t>Preferred Stock</w:t>
            </w:r>
          </w:p>
        </w:tc>
        <w:tc>
          <w:tcPr>
            <w:tcW w:w="18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3E5588"/>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3E558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60" w:type="dxa"/>
            <w:vAlign w:val="bottom"/>
            <w:shd w:val="clear" w:color="auto" w:fill="3E558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6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3E5588"/>
              </w:rPr>
              <w:t>Foresite Capital Fund IV, L.P.</w:t>
            </w:r>
            <w:r>
              <w:rPr>
                <w:rFonts w:ascii="Arial" w:cs="Arial" w:eastAsia="Arial" w:hAnsi="Arial"/>
                <w:sz w:val="28"/>
                <w:szCs w:val="28"/>
                <w:color w:val="3E5588"/>
                <w:vertAlign w:val="superscript"/>
              </w:rPr>
              <w:t>(2)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10,500,000</w:t>
            </w:r>
          </w:p>
        </w:tc>
        <w:tc>
          <w:tcPr>
            <w:tcW w:w="1180" w:type="dxa"/>
            <w:vAlign w:val="bottom"/>
            <w:gridSpan w:val="2"/>
            <w:shd w:val="clear" w:color="auto" w:fill="CCEEFF"/>
          </w:tcPr>
          <w:p>
            <w:pPr>
              <w:jc w:val="center"/>
              <w:ind w:left="72"/>
              <w:spacing w:after="0"/>
              <w:rPr>
                <w:sz w:val="20"/>
                <w:szCs w:val="20"/>
                <w:color w:val="auto"/>
              </w:rPr>
            </w:pPr>
            <w:r>
              <w:rPr>
                <w:rFonts w:ascii="Arial" w:cs="Arial" w:eastAsia="Arial" w:hAnsi="Arial"/>
                <w:sz w:val="18"/>
                <w:szCs w:val="18"/>
                <w:color w:val="3E5588"/>
                <w:w w:val="92"/>
              </w:rPr>
              <w:t>$  21,000,000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Borders>
              <w:bottom w:val="single" w:sz="8" w:color="3E5588"/>
            </w:tcBorders>
          </w:tcPr>
          <w:p>
            <w:pPr>
              <w:spacing w:after="0"/>
              <w:rPr>
                <w:sz w:val="9"/>
                <w:szCs w:val="9"/>
                <w:color w:val="auto"/>
              </w:rPr>
            </w:pPr>
          </w:p>
        </w:tc>
        <w:tc>
          <w:tcPr>
            <w:tcW w:w="200" w:type="dxa"/>
            <w:vAlign w:val="bottom"/>
            <w:tcBorders>
              <w:bottom w:val="single" w:sz="8" w:color="3E5588"/>
            </w:tcBorders>
          </w:tcPr>
          <w:p>
            <w:pPr>
              <w:spacing w:after="0"/>
              <w:rPr>
                <w:sz w:val="9"/>
                <w:szCs w:val="9"/>
                <w:color w:val="auto"/>
              </w:rPr>
            </w:pPr>
          </w:p>
        </w:tc>
        <w:tc>
          <w:tcPr>
            <w:tcW w:w="57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97"/>
        </w:numPr>
        <w:rPr>
          <w:rFonts w:ascii="Arial" w:cs="Arial" w:eastAsia="Arial" w:hAnsi="Arial"/>
          <w:sz w:val="18"/>
          <w:szCs w:val="18"/>
          <w:color w:val="3E5588"/>
        </w:rPr>
      </w:pPr>
      <w:r>
        <w:rPr>
          <w:rFonts w:ascii="Arial" w:cs="Arial" w:eastAsia="Arial" w:hAnsi="Arial"/>
          <w:sz w:val="18"/>
          <w:szCs w:val="18"/>
          <w:color w:val="3E5588"/>
        </w:rPr>
        <w:t>See "Principal Stockholders" for additional information about shares held by these entities.</w:t>
      </w:r>
    </w:p>
    <w:p>
      <w:pPr>
        <w:spacing w:after="0" w:line="252" w:lineRule="exact"/>
        <w:rPr>
          <w:rFonts w:ascii="Arial" w:cs="Arial" w:eastAsia="Arial" w:hAnsi="Arial"/>
          <w:sz w:val="18"/>
          <w:szCs w:val="18"/>
          <w:color w:val="3E5588"/>
        </w:rPr>
      </w:pPr>
    </w:p>
    <w:p>
      <w:pPr>
        <w:ind w:left="1680" w:hanging="531"/>
        <w:spacing w:after="0" w:line="268" w:lineRule="auto"/>
        <w:tabs>
          <w:tab w:leader="none" w:pos="1680" w:val="left"/>
        </w:tabs>
        <w:numPr>
          <w:ilvl w:val="0"/>
          <w:numId w:val="97"/>
        </w:numPr>
        <w:rPr>
          <w:rFonts w:ascii="Arial" w:cs="Arial" w:eastAsia="Arial" w:hAnsi="Arial"/>
          <w:sz w:val="18"/>
          <w:szCs w:val="18"/>
          <w:color w:val="3E5588"/>
        </w:rPr>
      </w:pPr>
      <w:r>
        <w:rPr>
          <w:rFonts w:ascii="Arial" w:cs="Arial" w:eastAsia="Arial" w:hAnsi="Arial"/>
          <w:sz w:val="18"/>
          <w:szCs w:val="18"/>
          <w:color w:val="3E5588"/>
        </w:rPr>
        <w:t>Mr. Tananbaum, a former member of our board of directors who served during this transaction, is founder and chief executive officer of Foresite Capital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Agreement with GSK</w:t>
      </w:r>
    </w:p>
    <w:p>
      <w:pPr>
        <w:spacing w:after="0" w:line="231" w:lineRule="exact"/>
        <w:rPr>
          <w:sz w:val="20"/>
          <w:szCs w:val="20"/>
          <w:color w:val="auto"/>
        </w:rPr>
      </w:pPr>
    </w:p>
    <w:p>
      <w:pPr>
        <w:jc w:val="both"/>
        <w:ind w:firstLine="432"/>
        <w:spacing w:after="0" w:line="294" w:lineRule="auto"/>
        <w:rPr>
          <w:sz w:val="20"/>
          <w:szCs w:val="20"/>
          <w:color w:val="auto"/>
        </w:rPr>
      </w:pPr>
      <w:r>
        <w:rPr>
          <w:rFonts w:ascii="Arial" w:cs="Arial" w:eastAsia="Arial" w:hAnsi="Arial"/>
          <w:sz w:val="16"/>
          <w:szCs w:val="16"/>
          <w:color w:val="3E5588"/>
        </w:rPr>
        <w:t>On February 8, 2019, we entered into a right of reference and license agreement with affiliates of GlaxoSmithKline plc, or GSK, pursuant to which GSK granted us a right of reference to certain INDs filed with the FDA and controlled by GSK or its affiliates relating to losmapimod and an exclusive worldwide license under certain patent rights related to losmapimod. The agreement also provides us with an exclusive worldwide license to certain of GSK's preclinical and clinical data with respect to losmapimod. As partial consideration for the right of reference and licenses granted under the agreement, we issued 12,500,000 shares of our Series B preferred stock to GSK at the time we entered into the right of reference and license agreement.</w:t>
      </w:r>
    </w:p>
    <w:p>
      <w:pPr>
        <w:spacing w:after="0" w:line="170" w:lineRule="exact"/>
        <w:rPr>
          <w:sz w:val="20"/>
          <w:szCs w:val="20"/>
          <w:color w:val="auto"/>
        </w:rPr>
      </w:pPr>
    </w:p>
    <w:p>
      <w:pPr>
        <w:jc w:val="both"/>
        <w:ind w:firstLine="492"/>
        <w:spacing w:after="0" w:line="256" w:lineRule="auto"/>
        <w:rPr>
          <w:sz w:val="20"/>
          <w:szCs w:val="20"/>
          <w:color w:val="auto"/>
        </w:rPr>
      </w:pPr>
      <w:r>
        <w:rPr>
          <w:rFonts w:ascii="Arial" w:cs="Arial" w:eastAsia="Arial" w:hAnsi="Arial"/>
          <w:sz w:val="18"/>
          <w:szCs w:val="18"/>
          <w:color w:val="3E5588"/>
        </w:rPr>
        <w:t>We also agreed to provide GSK the opportunity to purchase shares of common stock in this offering or in a concurrent private placement equal to the proportion that the shares of common stock held by GSK (assuming conversion of all preferred stock into common stock upon consummation of this offering) bear to the total number of shares of common stock immediately prior to the closing of this offering (assuming conversion of all preferred stock into common stock upon consummation of this offering and all outstanding options).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See "Business—Right of Reference and License Agreement with GlaxoSmithKline" for additional information regarding this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Consulting Services Provided by Third Rock Ventures, LLC</w:t>
      </w:r>
    </w:p>
    <w:p>
      <w:pPr>
        <w:spacing w:after="0" w:line="231" w:lineRule="exact"/>
        <w:rPr>
          <w:sz w:val="20"/>
          <w:szCs w:val="20"/>
          <w:color w:val="auto"/>
        </w:rPr>
      </w:pPr>
    </w:p>
    <w:p>
      <w:pPr>
        <w:jc w:val="both"/>
        <w:ind w:firstLine="355"/>
        <w:spacing w:after="0" w:line="310" w:lineRule="auto"/>
        <w:rPr>
          <w:sz w:val="20"/>
          <w:szCs w:val="20"/>
          <w:color w:val="auto"/>
        </w:rPr>
      </w:pPr>
      <w:r>
        <w:rPr>
          <w:rFonts w:ascii="Arial" w:cs="Arial" w:eastAsia="Arial" w:hAnsi="Arial"/>
          <w:sz w:val="15"/>
          <w:szCs w:val="15"/>
          <w:color w:val="3E5588"/>
        </w:rPr>
        <w:t>Since inception, we have received consulting and management services from Third Rock Ventures LLC, or Third Rock Ventures, which through its affiliates, has a significant interest in us. We have paid Third Rock Ventures $1.9 million for these services since January 1, 2016, including the reimbursement of expenses. We do not have a written agreement in place with Third Rock Ventures with respect to the provision of consulting and management services. The consulting and management services fees are payable to Third Rock Ventures pursuant to invoices submitted to us by Third Rock Ventures quarterly. The consulting and management services fees paid to Third Rock Ventures did not exceed 5% of the consolidated gross revenue of Third Rock Ventures during any of the past three fiscal years. From time to time and at our request, partners and associates of Third Rock Ventures provide us with certain strategic and ordinary course business operations consulting services. We have issued an aggregate of 142,284 shares of our common stock to these consultants in exchange for their continuing consulting services. We may continue to occasionally engage Third Rock Ventures or their partners or associates for consulting services following this offering.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Registration Rights</w:t>
      </w:r>
    </w:p>
    <w:p>
      <w:pPr>
        <w:spacing w:after="0" w:line="23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3E5588"/>
        </w:rPr>
        <w:t>We are a party to an investor rights agreement with the holders of our preferred stock, including our 5% stockholders and their affiliates and entities affiliated with some of our directors. This investor rights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E5588"/>
        </w:rPr>
        <w:t>agreement provides these holders the right, subject to certain conditions, beginning six months following the completion of this offering, to demand that we file a registration statement or to request that their shares be covered by a registration statement that we are otherwise filing.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See "Description of Capital Stock—Registration Rights" for additional information regarding these registration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Indemnification Agreements</w:t>
      </w:r>
    </w:p>
    <w:p>
      <w:pPr>
        <w:spacing w:after="0" w:line="231"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3E5588"/>
        </w:rPr>
        <w:t>Our certificate of incorporation, which will become effective upon the closing of this offering, provides that we will indemnify our directors and officers to the fullest extent permitted by Delaware law. In addition, we intend to enter into indemnification agreements with all of our directors and executive officers prior to the completion of this offering. These indemnification agreements may require us, among other things, to indemnify each such director or executive officer for some expenses, including attorneys' fees, judgments, fines and settlement amounts incurred by him or her in any action or proceeding arising out of his or her service as one of our directors or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Policies and Procedures for Related Person Transactions</w:t>
      </w:r>
    </w:p>
    <w:p>
      <w:pPr>
        <w:spacing w:after="0" w:line="231"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6"/>
          <w:szCs w:val="16"/>
          <w:color w:val="3E5588"/>
        </w:rPr>
        <w:t>Our board of directors has adopted written policies and procedures, which became effective at the time of this offering, for the review of any transaction, arrangement or relationship in which our company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61" w:lineRule="exact"/>
        <w:rPr>
          <w:sz w:val="20"/>
          <w:szCs w:val="20"/>
          <w:color w:val="auto"/>
        </w:rPr>
      </w:pPr>
    </w:p>
    <w:p>
      <w:pPr>
        <w:jc w:val="both"/>
        <w:ind w:firstLine="463"/>
        <w:spacing w:after="0" w:line="290" w:lineRule="auto"/>
        <w:rPr>
          <w:sz w:val="20"/>
          <w:szCs w:val="20"/>
          <w:color w:val="auto"/>
        </w:rPr>
      </w:pPr>
      <w:r>
        <w:rPr>
          <w:rFonts w:ascii="Arial" w:cs="Arial" w:eastAsia="Arial" w:hAnsi="Arial"/>
          <w:sz w:val="16"/>
          <w:szCs w:val="16"/>
          <w:color w:val="3E5588"/>
        </w:rPr>
        <w:t>If a related person proposes to enter into such a transaction, arrangement or relationship, which we refer to as a "related person transaction," the related person must report the proposed related person transaction to our general counsel, and if none, our chief operating officer or chief financial officer. The policy calls for the proposed related person transaction to be reviewed and, if deemed appropriate, approved by our audit committee. Whenever practicable, the reporting, review and approval will occur prior to entry into the transaction. If advance review and approval is not practicable, the audit committee will review, and, in its discretion, may ratify the related person transaction. The policy also permits the chairman of the audit committee to review and, if deemed appropriate, approve proposed related person transactions that arise between committee meetings, subject to ratification by the committee at its next meeting. Any related person transactions that are ongoing in nature will be reviewed annually.</w:t>
      </w:r>
    </w:p>
    <w:p>
      <w:pPr>
        <w:spacing w:after="0" w:line="172" w:lineRule="exact"/>
        <w:rPr>
          <w:sz w:val="20"/>
          <w:szCs w:val="20"/>
          <w:color w:val="auto"/>
        </w:rPr>
      </w:pPr>
    </w:p>
    <w:p>
      <w:pPr>
        <w:jc w:val="both"/>
        <w:ind w:right="20" w:firstLine="379"/>
        <w:spacing w:after="0" w:line="332" w:lineRule="auto"/>
        <w:rPr>
          <w:sz w:val="20"/>
          <w:szCs w:val="20"/>
          <w:color w:val="auto"/>
        </w:rPr>
      </w:pPr>
      <w:r>
        <w:rPr>
          <w:rFonts w:ascii="Arial" w:cs="Arial" w:eastAsia="Arial" w:hAnsi="Arial"/>
          <w:sz w:val="16"/>
          <w:szCs w:val="16"/>
          <w:color w:val="3E5588"/>
        </w:rPr>
        <w:t>A related person transaction reviewed under the policy will be considered approved or ratified if it is authorized by the audit committee after full disclosure of the related person's interest in the transaction. As appropriate for the circumstances, the audit committee will review and consider:</w:t>
      </w:r>
    </w:p>
    <w:p>
      <w:pPr>
        <w:spacing w:after="0" w:line="153" w:lineRule="exact"/>
        <w:rPr>
          <w:sz w:val="20"/>
          <w:szCs w:val="20"/>
          <w:color w:val="auto"/>
        </w:rPr>
      </w:pPr>
    </w:p>
    <w:p>
      <w:pPr>
        <w:ind w:left="1080" w:hanging="532"/>
        <w:spacing w:after="0"/>
        <w:tabs>
          <w:tab w:leader="none" w:pos="1080" w:val="left"/>
        </w:tabs>
        <w:numPr>
          <w:ilvl w:val="0"/>
          <w:numId w:val="98"/>
        </w:numPr>
        <w:rPr>
          <w:rFonts w:ascii="Arial" w:cs="Arial" w:eastAsia="Arial" w:hAnsi="Arial"/>
          <w:sz w:val="18"/>
          <w:szCs w:val="18"/>
          <w:color w:val="3E5588"/>
        </w:rPr>
      </w:pPr>
      <w:r>
        <w:rPr>
          <w:rFonts w:ascii="Arial" w:cs="Arial" w:eastAsia="Arial" w:hAnsi="Arial"/>
          <w:sz w:val="18"/>
          <w:szCs w:val="18"/>
          <w:color w:val="3E5588"/>
        </w:rPr>
        <w:t>the related person's interest in the related person transaction;</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98"/>
        </w:numPr>
        <w:rPr>
          <w:rFonts w:ascii="Arial" w:cs="Arial" w:eastAsia="Arial" w:hAnsi="Arial"/>
          <w:sz w:val="18"/>
          <w:szCs w:val="18"/>
          <w:color w:val="3E5588"/>
        </w:rPr>
      </w:pPr>
      <w:r>
        <w:rPr>
          <w:rFonts w:ascii="Arial" w:cs="Arial" w:eastAsia="Arial" w:hAnsi="Arial"/>
          <w:sz w:val="18"/>
          <w:szCs w:val="18"/>
          <w:color w:val="3E5588"/>
        </w:rPr>
        <w:t>the approximate dollar value of the amount involved in the related person transaction;</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98"/>
        </w:numPr>
        <w:rPr>
          <w:rFonts w:ascii="Arial" w:cs="Arial" w:eastAsia="Arial" w:hAnsi="Arial"/>
          <w:sz w:val="16"/>
          <w:szCs w:val="16"/>
          <w:color w:val="3E5588"/>
        </w:rPr>
      </w:pPr>
      <w:r>
        <w:rPr>
          <w:rFonts w:ascii="Arial" w:cs="Arial" w:eastAsia="Arial" w:hAnsi="Arial"/>
          <w:sz w:val="16"/>
          <w:szCs w:val="16"/>
          <w:color w:val="3E5588"/>
        </w:rPr>
        <w:t>the approximate dollar value of the amount of the related person's interest in the transaction without regard to the amount of any profit or loss;</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98"/>
        </w:numPr>
        <w:rPr>
          <w:rFonts w:ascii="Arial" w:cs="Arial" w:eastAsia="Arial" w:hAnsi="Arial"/>
          <w:sz w:val="18"/>
          <w:szCs w:val="18"/>
          <w:color w:val="3E5588"/>
        </w:rPr>
      </w:pPr>
      <w:r>
        <w:rPr>
          <w:rFonts w:ascii="Arial" w:cs="Arial" w:eastAsia="Arial" w:hAnsi="Arial"/>
          <w:sz w:val="18"/>
          <w:szCs w:val="18"/>
          <w:color w:val="3E5588"/>
        </w:rPr>
        <w:t>whether the transaction was undertaken in the ordinary course of our business;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98"/>
        </w:numPr>
        <w:rPr>
          <w:rFonts w:ascii="Arial" w:cs="Arial" w:eastAsia="Arial" w:hAnsi="Arial"/>
          <w:sz w:val="16"/>
          <w:szCs w:val="16"/>
          <w:color w:val="3E5588"/>
        </w:rPr>
      </w:pPr>
      <w:r>
        <w:rPr>
          <w:rFonts w:ascii="Arial" w:cs="Arial" w:eastAsia="Arial" w:hAnsi="Arial"/>
          <w:sz w:val="16"/>
          <w:szCs w:val="16"/>
          <w:color w:val="3E5588"/>
        </w:rPr>
        <w:t>whether the terms of the transaction are no less favorable to us than terms that could have been reached with an unrelated third party;</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98"/>
        </w:numPr>
        <w:rPr>
          <w:rFonts w:ascii="Arial" w:cs="Arial" w:eastAsia="Arial" w:hAnsi="Arial"/>
          <w:sz w:val="18"/>
          <w:szCs w:val="18"/>
          <w:color w:val="3E5588"/>
        </w:rPr>
      </w:pPr>
      <w:r>
        <w:rPr>
          <w:rFonts w:ascii="Arial" w:cs="Arial" w:eastAsia="Arial" w:hAnsi="Arial"/>
          <w:sz w:val="18"/>
          <w:szCs w:val="18"/>
          <w:color w:val="3E5588"/>
        </w:rPr>
        <w:t>the purpose of, and the potential benefits to us of, the transaction; and</w:t>
      </w:r>
    </w:p>
    <w:p>
      <w:pPr>
        <w:spacing w:after="0" w:line="238"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98"/>
        </w:numPr>
        <w:rPr>
          <w:rFonts w:ascii="Arial" w:cs="Arial" w:eastAsia="Arial" w:hAnsi="Arial"/>
          <w:sz w:val="18"/>
          <w:szCs w:val="18"/>
          <w:color w:val="3E5588"/>
        </w:rPr>
      </w:pPr>
      <w:r>
        <w:rPr>
          <w:rFonts w:ascii="Arial" w:cs="Arial" w:eastAsia="Arial" w:hAnsi="Arial"/>
          <w:sz w:val="18"/>
          <w:szCs w:val="18"/>
          <w:color w:val="3E5588"/>
        </w:rPr>
        <w:t>any other information regarding the related person transaction or the related person in the context of the proposed transaction that would be material to investors in light of the circumstances of the particular transaction.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64"/>
        <w:spacing w:after="0" w:line="332" w:lineRule="auto"/>
        <w:rPr>
          <w:sz w:val="20"/>
          <w:szCs w:val="20"/>
          <w:color w:val="auto"/>
        </w:rPr>
      </w:pPr>
      <w:r>
        <w:rPr>
          <w:rFonts w:ascii="Arial" w:cs="Arial" w:eastAsia="Arial" w:hAnsi="Arial"/>
          <w:sz w:val="16"/>
          <w:szCs w:val="16"/>
          <w:color w:val="3E5588"/>
        </w:rPr>
        <w:t>Our audit committee may approve or ratify the transaction only if it determines that, under all of the circumstances, the transaction is in, or is not inconsistent with, our best interests. Our audit committee may impose any conditions on the related person transaction that it deems appropriate.</w:t>
      </w:r>
    </w:p>
    <w:p>
      <w:pPr>
        <w:spacing w:after="0" w:line="139" w:lineRule="exact"/>
        <w:rPr>
          <w:sz w:val="20"/>
          <w:szCs w:val="20"/>
          <w:color w:val="auto"/>
        </w:rPr>
      </w:pPr>
    </w:p>
    <w:p>
      <w:pPr>
        <w:jc w:val="both"/>
        <w:ind w:firstLine="522"/>
        <w:spacing w:after="0" w:line="259" w:lineRule="auto"/>
        <w:rPr>
          <w:sz w:val="20"/>
          <w:szCs w:val="20"/>
          <w:color w:val="auto"/>
        </w:rPr>
      </w:pPr>
      <w:r>
        <w:rPr>
          <w:rFonts w:ascii="Arial" w:cs="Arial" w:eastAsia="Arial" w:hAnsi="Arial"/>
          <w:sz w:val="18"/>
          <w:szCs w:val="18"/>
          <w:color w:val="3E5588"/>
        </w:rPr>
        <w:t>In addition to the transactions that are excluded by the instructions to the SEC's related person transaction disclosure rule, our board of directors has determined that the following transactions do not create a material direct or indirect interest on behalf of related persons and, therefore, are not related person transactions for purposes of this policy:</w:t>
      </w:r>
    </w:p>
    <w:p>
      <w:pPr>
        <w:spacing w:after="0" w:line="208" w:lineRule="exact"/>
        <w:rPr>
          <w:sz w:val="20"/>
          <w:szCs w:val="20"/>
          <w:color w:val="auto"/>
        </w:rPr>
      </w:pPr>
    </w:p>
    <w:p>
      <w:pPr>
        <w:jc w:val="both"/>
        <w:ind w:left="1080" w:hanging="532"/>
        <w:spacing w:after="0" w:line="294" w:lineRule="auto"/>
        <w:tabs>
          <w:tab w:leader="none" w:pos="1080" w:val="left"/>
        </w:tabs>
        <w:numPr>
          <w:ilvl w:val="0"/>
          <w:numId w:val="99"/>
        </w:numPr>
        <w:rPr>
          <w:rFonts w:ascii="Arial" w:cs="Arial" w:eastAsia="Arial" w:hAnsi="Arial"/>
          <w:sz w:val="16"/>
          <w:szCs w:val="16"/>
          <w:color w:val="3E5588"/>
        </w:rPr>
      </w:pPr>
      <w:r>
        <w:rPr>
          <w:rFonts w:ascii="Arial" w:cs="Arial" w:eastAsia="Arial" w:hAnsi="Arial"/>
          <w:sz w:val="16"/>
          <w:szCs w:val="16"/>
          <w:color w:val="3E5588"/>
        </w:rPr>
        <w:t>interests arising solely from the related person's position as an executive officer of another entity, whether or not the person is also a director of the entity, that is a participant in the transaction where the related person and all other related persons own in the aggregate less than a 10% equity interest in such entity, the related person and his or her immediate family members are not involved in the negotiation of the terms of the transaction and do not receive any special benefits as a result of the transaction and the amount involved in the transaction is less than the greater of $200,000 or 5% of the annual gross revenues of the company receiving payment under the transaction; and</w:t>
      </w:r>
    </w:p>
    <w:p>
      <w:pPr>
        <w:spacing w:after="0" w:line="196" w:lineRule="exact"/>
        <w:rPr>
          <w:rFonts w:ascii="Arial" w:cs="Arial" w:eastAsia="Arial" w:hAnsi="Arial"/>
          <w:sz w:val="16"/>
          <w:szCs w:val="16"/>
          <w:color w:val="3E5588"/>
        </w:rPr>
      </w:pPr>
    </w:p>
    <w:p>
      <w:pPr>
        <w:ind w:left="1080" w:hanging="532"/>
        <w:spacing w:after="0"/>
        <w:tabs>
          <w:tab w:leader="none" w:pos="1080" w:val="left"/>
        </w:tabs>
        <w:numPr>
          <w:ilvl w:val="0"/>
          <w:numId w:val="99"/>
        </w:numPr>
        <w:rPr>
          <w:rFonts w:ascii="Arial" w:cs="Arial" w:eastAsia="Arial" w:hAnsi="Arial"/>
          <w:sz w:val="18"/>
          <w:szCs w:val="18"/>
          <w:color w:val="3E5588"/>
        </w:rPr>
      </w:pPr>
      <w:r>
        <w:rPr>
          <w:rFonts w:ascii="Arial" w:cs="Arial" w:eastAsia="Arial" w:hAnsi="Arial"/>
          <w:sz w:val="18"/>
          <w:szCs w:val="18"/>
          <w:color w:val="3E5588"/>
        </w:rPr>
        <w:t>a transaction that is specifically contemplated by provisions of our certificate of incorporation or bylaws.</w:t>
      </w:r>
    </w:p>
    <w:p>
      <w:pPr>
        <w:spacing w:after="0" w:line="225"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3E5588"/>
        </w:rPr>
        <w:t>The policy provides that transactions involving compensation of executive officers shall be reviewed and approved by our compensation committee in the manner specified in the compensation committee's charter.</w:t>
      </w:r>
    </w:p>
    <w:p>
      <w:pPr>
        <w:spacing w:after="0" w:line="186"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3E5588"/>
        </w:rPr>
        <w:t>We did not have a written policy regarding the review and approval of related person transactions prior to this offering. Nevertheless, with respect to such transactions, it has been the practice of our board of directors to consider the nature of and business reasons for such transactions, how the terms of such transactions compared to those which might be obtained from unaffiliated third parties and whether such transactions were otherwise fair to and in the best interests of, or not contrary to, our best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PRINCIPAL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sets forth information with respect to the beneficial ownership of our common stock as of June 30, 2019 by:</w:t>
      </w:r>
    </w:p>
    <w:p>
      <w:pPr>
        <w:spacing w:after="0" w:line="239"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3E5588"/>
        </w:rPr>
      </w:pPr>
      <w:r>
        <w:rPr>
          <w:rFonts w:ascii="Arial" w:cs="Arial" w:eastAsia="Arial" w:hAnsi="Arial"/>
          <w:sz w:val="18"/>
          <w:szCs w:val="18"/>
          <w:color w:val="3E5588"/>
        </w:rPr>
        <w:t>each of our directors;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00"/>
        </w:numPr>
        <w:rPr>
          <w:rFonts w:ascii="Arial" w:cs="Arial" w:eastAsia="Arial" w:hAnsi="Arial"/>
          <w:sz w:val="18"/>
          <w:szCs w:val="18"/>
          <w:color w:val="3E5588"/>
        </w:rPr>
      </w:pPr>
      <w:r>
        <w:rPr>
          <w:rFonts w:ascii="Arial" w:cs="Arial" w:eastAsia="Arial" w:hAnsi="Arial"/>
          <w:sz w:val="18"/>
          <w:szCs w:val="18"/>
          <w:color w:val="3E5588"/>
        </w:rPr>
        <w:t>each of our named executive officers;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00"/>
        </w:numPr>
        <w:rPr>
          <w:rFonts w:ascii="Arial" w:cs="Arial" w:eastAsia="Arial" w:hAnsi="Arial"/>
          <w:sz w:val="18"/>
          <w:szCs w:val="18"/>
          <w:color w:val="3E5588"/>
        </w:rPr>
      </w:pPr>
      <w:r>
        <w:rPr>
          <w:rFonts w:ascii="Arial" w:cs="Arial" w:eastAsia="Arial" w:hAnsi="Arial"/>
          <w:sz w:val="18"/>
          <w:szCs w:val="18"/>
          <w:color w:val="3E5588"/>
        </w:rPr>
        <w:t>all of our directors and executive officers as a group; and</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00"/>
        </w:numPr>
        <w:rPr>
          <w:rFonts w:ascii="Arial" w:cs="Arial" w:eastAsia="Arial" w:hAnsi="Arial"/>
          <w:sz w:val="18"/>
          <w:szCs w:val="18"/>
          <w:color w:val="3E5588"/>
        </w:rPr>
      </w:pPr>
      <w:r>
        <w:rPr>
          <w:rFonts w:ascii="Arial" w:cs="Arial" w:eastAsia="Arial" w:hAnsi="Arial"/>
          <w:sz w:val="18"/>
          <w:szCs w:val="18"/>
          <w:color w:val="3E5588"/>
        </w:rPr>
        <w:t>each person, or group of affiliated persons, who is known by us to beneficially own more than 5% of our common stock.</w:t>
      </w:r>
    </w:p>
    <w:p>
      <w:pPr>
        <w:spacing w:after="0" w:line="225"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8"/>
          <w:szCs w:val="18"/>
          <w:color w:val="3E5588"/>
        </w:rPr>
        <w:t>The column entitled "Percentage of Shares Beneficially Owned—Before Offering" is based on a total of 18,840,014 shares of our common stock outstanding as of June 30, 2019, assuming the automatic conversion of all outstanding shares of our preferred stock into an aggregate of 16,071,418 shares of our common stock upon the closing of this offering. The column entitled "Percentage of Shares Beneficially Owned—After Offering" is based on 23,340,014 shares of our common stock to be outstanding after this offering, including the 4,500,000 shares of our common stock that we are selling in this offering, but not including any additional shares issuable upon exercise of outstanding options.</w:t>
      </w:r>
    </w:p>
    <w:p>
      <w:pPr>
        <w:spacing w:after="0" w:line="197"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3E5588"/>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June 30, 2019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common stock beneficially owned by them, subject to community property laws, where applicable. Except as otherwise set forth below, the address of each beneficial owner is c/o Fulcrum Therapeutics, Inc., 26 Landsdowne Street, Cambridge, MA 02139.</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3E5588"/>
                <w:w w:val="84"/>
              </w:rPr>
              <w:t>Percentage of</w:t>
            </w: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60" w:type="dxa"/>
            <w:vAlign w:val="bottom"/>
            <w:gridSpan w:val="5"/>
          </w:tcPr>
          <w:p>
            <w:pPr>
              <w:jc w:val="center"/>
              <w:ind w:right="1320"/>
              <w:spacing w:after="0" w:line="149" w:lineRule="exact"/>
              <w:rPr>
                <w:sz w:val="20"/>
                <w:szCs w:val="20"/>
                <w:color w:val="auto"/>
              </w:rPr>
            </w:pPr>
            <w:r>
              <w:rPr>
                <w:rFonts w:ascii="Arial" w:cs="Arial" w:eastAsia="Arial" w:hAnsi="Arial"/>
                <w:sz w:val="14"/>
                <w:szCs w:val="14"/>
                <w:b w:val="1"/>
                <w:bCs w:val="1"/>
                <w:color w:val="3E5588"/>
                <w:w w:val="84"/>
              </w:rPr>
              <w:t>Shares Beneficially</w:t>
            </w:r>
          </w:p>
        </w:tc>
      </w:tr>
      <w:tr>
        <w:trPr>
          <w:trHeight w:val="161"/>
        </w:trPr>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3E5588"/>
                <w:w w:val="88"/>
              </w:rPr>
              <w:t>Number of</w:t>
            </w:r>
          </w:p>
        </w:tc>
        <w:tc>
          <w:tcPr>
            <w:tcW w:w="276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3E5588"/>
                <w:w w:val="85"/>
              </w:rPr>
              <w:t>Owned</w:t>
            </w:r>
          </w:p>
        </w:tc>
      </w:tr>
      <w:tr>
        <w:trPr>
          <w:trHeight w:val="129"/>
        </w:trPr>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10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3E5588"/>
                <w:w w:val="85"/>
              </w:rPr>
              <w:t>Shares</w:t>
            </w:r>
          </w:p>
        </w:tc>
        <w:tc>
          <w:tcPr>
            <w:tcW w:w="640" w:type="dxa"/>
            <w:vAlign w:val="bottom"/>
            <w:tcBorders>
              <w:top w:val="single" w:sz="8" w:color="3E5588"/>
            </w:tcBorders>
          </w:tcPr>
          <w:p>
            <w:pPr>
              <w:jc w:val="center"/>
              <w:spacing w:after="0" w:line="129" w:lineRule="exact"/>
              <w:rPr>
                <w:sz w:val="20"/>
                <w:szCs w:val="20"/>
                <w:color w:val="auto"/>
              </w:rPr>
            </w:pPr>
            <w:r>
              <w:rPr>
                <w:rFonts w:ascii="Arial" w:cs="Arial" w:eastAsia="Arial" w:hAnsi="Arial"/>
                <w:sz w:val="14"/>
                <w:szCs w:val="14"/>
                <w:b w:val="1"/>
                <w:bCs w:val="1"/>
                <w:color w:val="3E5588"/>
                <w:w w:val="85"/>
              </w:rPr>
              <w:t>Before</w:t>
            </w:r>
          </w:p>
        </w:tc>
        <w:tc>
          <w:tcPr>
            <w:tcW w:w="160" w:type="dxa"/>
            <w:vAlign w:val="bottom"/>
            <w:tcBorders>
              <w:top w:val="single" w:sz="8" w:color="3E5588"/>
            </w:tcBorders>
          </w:tcPr>
          <w:p>
            <w:pPr>
              <w:spacing w:after="0"/>
              <w:rPr>
                <w:sz w:val="11"/>
                <w:szCs w:val="11"/>
                <w:color w:val="auto"/>
              </w:rPr>
            </w:pPr>
          </w:p>
        </w:tc>
        <w:tc>
          <w:tcPr>
            <w:tcW w:w="660" w:type="dxa"/>
            <w:vAlign w:val="bottom"/>
            <w:tcBorders>
              <w:top w:val="single" w:sz="8" w:color="3E5588"/>
            </w:tcBorders>
          </w:tcPr>
          <w:p>
            <w:pPr>
              <w:jc w:val="center"/>
              <w:spacing w:after="0" w:line="129" w:lineRule="exact"/>
              <w:rPr>
                <w:sz w:val="20"/>
                <w:szCs w:val="20"/>
                <w:color w:val="auto"/>
              </w:rPr>
            </w:pPr>
            <w:r>
              <w:rPr>
                <w:rFonts w:ascii="Arial" w:cs="Arial" w:eastAsia="Arial" w:hAnsi="Arial"/>
                <w:sz w:val="14"/>
                <w:szCs w:val="14"/>
                <w:b w:val="1"/>
                <w:bCs w:val="1"/>
                <w:color w:val="3E5588"/>
                <w:w w:val="91"/>
              </w:rPr>
              <w:t>After</w:t>
            </w:r>
          </w:p>
        </w:tc>
        <w:tc>
          <w:tcPr>
            <w:tcW w:w="1300" w:type="dxa"/>
            <w:vAlign w:val="bottom"/>
            <w:gridSpan w:val="2"/>
          </w:tcPr>
          <w:p>
            <w:pPr>
              <w:spacing w:after="0"/>
              <w:rPr>
                <w:sz w:val="11"/>
                <w:szCs w:val="11"/>
                <w:color w:val="auto"/>
              </w:rPr>
            </w:pPr>
          </w:p>
        </w:tc>
      </w:tr>
      <w:tr>
        <w:trPr>
          <w:trHeight w:val="149"/>
        </w:trPr>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3E5588"/>
                <w:w w:val="87"/>
              </w:rPr>
              <w:t>Beneficially</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91"/>
              </w:rPr>
              <w:t>Offering</w:t>
            </w:r>
          </w:p>
        </w:tc>
        <w:tc>
          <w:tcPr>
            <w:tcW w:w="160" w:type="dxa"/>
            <w:vAlign w:val="bottom"/>
          </w:tcPr>
          <w:p>
            <w:pPr>
              <w:spacing w:after="0"/>
              <w:rPr>
                <w:sz w:val="12"/>
                <w:szCs w:val="12"/>
                <w:color w:val="auto"/>
              </w:rPr>
            </w:pPr>
          </w:p>
        </w:tc>
        <w:tc>
          <w:tcPr>
            <w:tcW w:w="196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3E5588"/>
                <w:w w:val="91"/>
              </w:rPr>
              <w:t>Offering</w:t>
            </w:r>
          </w:p>
        </w:tc>
      </w:tr>
      <w:tr>
        <w:trPr>
          <w:trHeight w:val="168"/>
        </w:trPr>
        <w:tc>
          <w:tcPr>
            <w:tcW w:w="1140" w:type="dxa"/>
            <w:vAlign w:val="bottom"/>
          </w:tcPr>
          <w:p>
            <w:pPr>
              <w:spacing w:after="0"/>
              <w:rPr>
                <w:sz w:val="14"/>
                <w:szCs w:val="14"/>
                <w:color w:val="auto"/>
              </w:rPr>
            </w:pPr>
          </w:p>
        </w:tc>
        <w:tc>
          <w:tcPr>
            <w:tcW w:w="6440" w:type="dxa"/>
            <w:vAlign w:val="bottom"/>
            <w:gridSpan w:val="5"/>
          </w:tcPr>
          <w:p>
            <w:pPr>
              <w:spacing w:after="0"/>
              <w:rPr>
                <w:sz w:val="20"/>
                <w:szCs w:val="20"/>
                <w:color w:val="auto"/>
              </w:rPr>
            </w:pPr>
            <w:r>
              <w:rPr>
                <w:rFonts w:ascii="Arial" w:cs="Arial" w:eastAsia="Arial" w:hAnsi="Arial"/>
                <w:sz w:val="14"/>
                <w:szCs w:val="14"/>
                <w:b w:val="1"/>
                <w:bCs w:val="1"/>
                <w:color w:val="3E5588"/>
              </w:rPr>
              <w:t>Name and Address of Beneficial Owner</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E5588"/>
                <w:w w:val="85"/>
              </w:rPr>
              <w:t>Owned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3E5588"/>
              </w:rPr>
              <w:t>(%)</w:t>
            </w:r>
          </w:p>
        </w:tc>
        <w:tc>
          <w:tcPr>
            <w:tcW w:w="820" w:type="dxa"/>
            <w:vAlign w:val="bottom"/>
            <w:gridSpan w:val="2"/>
          </w:tcPr>
          <w:p>
            <w:pPr>
              <w:jc w:val="center"/>
              <w:ind w:left="74"/>
              <w:spacing w:after="0"/>
              <w:rPr>
                <w:sz w:val="20"/>
                <w:szCs w:val="20"/>
                <w:color w:val="auto"/>
              </w:rPr>
            </w:pPr>
            <w:r>
              <w:rPr>
                <w:rFonts w:ascii="Arial" w:cs="Arial" w:eastAsia="Arial" w:hAnsi="Arial"/>
                <w:sz w:val="14"/>
                <w:szCs w:val="14"/>
                <w:b w:val="1"/>
                <w:bCs w:val="1"/>
                <w:color w:val="3E5588"/>
              </w:rPr>
              <w:t>(%)</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3"/>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3E5588"/>
            </w:tcBorders>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3E5588"/>
              </w:rPr>
              <w:t>5% Stockholders</w:t>
            </w:r>
          </w:p>
        </w:tc>
        <w:tc>
          <w:tcPr>
            <w:tcW w:w="4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3E5588"/>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3E5588"/>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3E5588"/>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3E5588"/>
              </w:rPr>
              <w:t>Entities affiliated with Third Rock Ventures</w:t>
            </w:r>
            <w:r>
              <w:rPr>
                <w:rFonts w:ascii="Arial" w:cs="Arial" w:eastAsia="Arial" w:hAnsi="Arial"/>
                <w:sz w:val="29"/>
                <w:szCs w:val="29"/>
                <w:color w:val="3E5588"/>
                <w:vertAlign w:val="superscript"/>
              </w:rPr>
              <w:t>(1)</w:t>
            </w:r>
          </w:p>
        </w:tc>
        <w:tc>
          <w:tcPr>
            <w:tcW w:w="900" w:type="dxa"/>
            <w:vAlign w:val="bottom"/>
          </w:tcPr>
          <w:p>
            <w:pPr>
              <w:jc w:val="right"/>
              <w:spacing w:after="0"/>
              <w:rPr>
                <w:sz w:val="20"/>
                <w:szCs w:val="20"/>
                <w:color w:val="auto"/>
              </w:rPr>
            </w:pPr>
            <w:r>
              <w:rPr>
                <w:rFonts w:ascii="Arial" w:cs="Arial" w:eastAsia="Arial" w:hAnsi="Arial"/>
                <w:sz w:val="18"/>
                <w:szCs w:val="18"/>
                <w:color w:val="3E5588"/>
              </w:rPr>
              <w:t>8,142,856</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43.2</w:t>
            </w:r>
          </w:p>
        </w:tc>
        <w:tc>
          <w:tcPr>
            <w:tcW w:w="820" w:type="dxa"/>
            <w:vAlign w:val="bottom"/>
            <w:gridSpan w:val="2"/>
          </w:tcPr>
          <w:p>
            <w:pPr>
              <w:jc w:val="right"/>
              <w:spacing w:after="0"/>
              <w:rPr>
                <w:sz w:val="20"/>
                <w:szCs w:val="20"/>
                <w:color w:val="auto"/>
              </w:rPr>
            </w:pPr>
            <w:r>
              <w:rPr>
                <w:rFonts w:ascii="Arial" w:cs="Arial" w:eastAsia="Arial" w:hAnsi="Arial"/>
                <w:sz w:val="18"/>
                <w:szCs w:val="18"/>
                <w:color w:val="3E5588"/>
              </w:rPr>
              <w:t>34.9</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3E5588"/>
              </w:rPr>
              <w:t>Glaxo Group Limited</w:t>
            </w:r>
            <w:r>
              <w:rPr>
                <w:rFonts w:ascii="Arial" w:cs="Arial" w:eastAsia="Arial" w:hAnsi="Arial"/>
                <w:sz w:val="29"/>
                <w:szCs w:val="29"/>
                <w:color w:val="3E5588"/>
                <w:vertAlign w:val="superscript"/>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1,785,714</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7.7</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3E5588"/>
              </w:rPr>
              <w:t>Foresite Capital Fund IV, L.P.</w:t>
            </w:r>
            <w:r>
              <w:rPr>
                <w:rFonts w:ascii="Arial" w:cs="Arial" w:eastAsia="Arial" w:hAnsi="Arial"/>
                <w:sz w:val="29"/>
                <w:szCs w:val="29"/>
                <w:color w:val="3E5588"/>
                <w:vertAlign w:val="superscript"/>
              </w:rPr>
              <w:t>(3)</w:t>
            </w:r>
          </w:p>
        </w:tc>
        <w:tc>
          <w:tcPr>
            <w:tcW w:w="900" w:type="dxa"/>
            <w:vAlign w:val="bottom"/>
          </w:tcPr>
          <w:p>
            <w:pPr>
              <w:jc w:val="right"/>
              <w:spacing w:after="0"/>
              <w:rPr>
                <w:sz w:val="20"/>
                <w:szCs w:val="20"/>
                <w:color w:val="auto"/>
              </w:rPr>
            </w:pPr>
            <w:r>
              <w:rPr>
                <w:rFonts w:ascii="Arial" w:cs="Arial" w:eastAsia="Arial" w:hAnsi="Arial"/>
                <w:sz w:val="18"/>
                <w:szCs w:val="18"/>
                <w:color w:val="3E5588"/>
              </w:rPr>
              <w:t>1,500,000</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8.0</w:t>
            </w:r>
          </w:p>
        </w:tc>
        <w:tc>
          <w:tcPr>
            <w:tcW w:w="820" w:type="dxa"/>
            <w:vAlign w:val="bottom"/>
            <w:gridSpan w:val="2"/>
          </w:tcPr>
          <w:p>
            <w:pPr>
              <w:jc w:val="right"/>
              <w:spacing w:after="0"/>
              <w:rPr>
                <w:sz w:val="20"/>
                <w:szCs w:val="20"/>
                <w:color w:val="auto"/>
              </w:rPr>
            </w:pPr>
            <w:r>
              <w:rPr>
                <w:rFonts w:ascii="Arial" w:cs="Arial" w:eastAsia="Arial" w:hAnsi="Arial"/>
                <w:sz w:val="18"/>
                <w:szCs w:val="18"/>
                <w:color w:val="3E5588"/>
              </w:rPr>
              <w:t>6.4</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3E5588"/>
              </w:rPr>
              <w:t>Directors and Named Executive Officers</w:t>
            </w: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3E5588"/>
              </w:rPr>
              <w:t>Robert J. Gould</w:t>
            </w:r>
            <w:r>
              <w:rPr>
                <w:rFonts w:ascii="Arial" w:cs="Arial" w:eastAsia="Arial" w:hAnsi="Arial"/>
                <w:sz w:val="29"/>
                <w:szCs w:val="29"/>
                <w:color w:val="3E5588"/>
                <w:vertAlign w:val="superscript"/>
              </w:rPr>
              <w:t>(4)</w:t>
            </w:r>
          </w:p>
        </w:tc>
        <w:tc>
          <w:tcPr>
            <w:tcW w:w="900" w:type="dxa"/>
            <w:vAlign w:val="bottom"/>
          </w:tcPr>
          <w:p>
            <w:pPr>
              <w:jc w:val="right"/>
              <w:spacing w:after="0"/>
              <w:rPr>
                <w:sz w:val="20"/>
                <w:szCs w:val="20"/>
                <w:color w:val="auto"/>
              </w:rPr>
            </w:pPr>
            <w:r>
              <w:rPr>
                <w:rFonts w:ascii="Arial" w:cs="Arial" w:eastAsia="Arial" w:hAnsi="Arial"/>
                <w:sz w:val="18"/>
                <w:szCs w:val="18"/>
                <w:color w:val="3E5588"/>
              </w:rPr>
              <w:t>600,607</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3.2</w:t>
            </w:r>
          </w:p>
        </w:tc>
        <w:tc>
          <w:tcPr>
            <w:tcW w:w="820" w:type="dxa"/>
            <w:vAlign w:val="bottom"/>
            <w:gridSpan w:val="2"/>
          </w:tcPr>
          <w:p>
            <w:pPr>
              <w:jc w:val="right"/>
              <w:spacing w:after="0"/>
              <w:rPr>
                <w:sz w:val="20"/>
                <w:szCs w:val="20"/>
                <w:color w:val="auto"/>
              </w:rPr>
            </w:pPr>
            <w:r>
              <w:rPr>
                <w:rFonts w:ascii="Arial" w:cs="Arial" w:eastAsia="Arial" w:hAnsi="Arial"/>
                <w:sz w:val="18"/>
                <w:szCs w:val="18"/>
                <w:color w:val="3E5588"/>
              </w:rPr>
              <w:t>2.6</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20" w:type="dxa"/>
            <w:vAlign w:val="bottom"/>
            <w:gridSpan w:val="4"/>
            <w:shd w:val="clear" w:color="auto" w:fill="CCEEFF"/>
          </w:tcPr>
          <w:p>
            <w:pPr>
              <w:spacing w:after="0"/>
              <w:rPr>
                <w:sz w:val="20"/>
                <w:szCs w:val="20"/>
                <w:color w:val="auto"/>
              </w:rPr>
            </w:pPr>
            <w:r>
              <w:rPr>
                <w:rFonts w:ascii="Arial" w:cs="Arial" w:eastAsia="Arial" w:hAnsi="Arial"/>
                <w:sz w:val="18"/>
                <w:szCs w:val="18"/>
                <w:color w:val="3E5588"/>
              </w:rPr>
              <w:t>Bryan Stuart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3E5588"/>
              </w:rPr>
              <w:t>Diego Cadavid</w:t>
            </w:r>
            <w:r>
              <w:rPr>
                <w:rFonts w:ascii="Arial" w:cs="Arial" w:eastAsia="Arial" w:hAnsi="Arial"/>
                <w:sz w:val="29"/>
                <w:szCs w:val="29"/>
                <w:color w:val="3E5588"/>
                <w:vertAlign w:val="superscript"/>
              </w:rPr>
              <w:t>(5)</w:t>
            </w:r>
          </w:p>
        </w:tc>
        <w:tc>
          <w:tcPr>
            <w:tcW w:w="900" w:type="dxa"/>
            <w:vAlign w:val="bottom"/>
          </w:tcPr>
          <w:p>
            <w:pPr>
              <w:jc w:val="right"/>
              <w:spacing w:after="0"/>
              <w:rPr>
                <w:sz w:val="20"/>
                <w:szCs w:val="20"/>
                <w:color w:val="auto"/>
              </w:rPr>
            </w:pPr>
            <w:r>
              <w:rPr>
                <w:rFonts w:ascii="Arial" w:cs="Arial" w:eastAsia="Arial" w:hAnsi="Arial"/>
                <w:sz w:val="18"/>
                <w:szCs w:val="18"/>
                <w:color w:val="3E5588"/>
              </w:rPr>
              <w:t>90,709</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3E5588"/>
              </w:rPr>
              <w:t>Mark Levin</w:t>
            </w:r>
            <w:r>
              <w:rPr>
                <w:rFonts w:ascii="Arial" w:cs="Arial" w:eastAsia="Arial" w:hAnsi="Arial"/>
                <w:sz w:val="29"/>
                <w:szCs w:val="29"/>
                <w:color w:val="3E5588"/>
                <w:vertAlign w:val="superscript"/>
              </w:rPr>
              <w:t>(6)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5,880,952</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25.2</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3E5588"/>
              </w:rPr>
              <w:t>James J. Collins</w:t>
            </w:r>
            <w:r>
              <w:rPr>
                <w:rFonts w:ascii="Arial" w:cs="Arial" w:eastAsia="Arial" w:hAnsi="Arial"/>
                <w:sz w:val="29"/>
                <w:szCs w:val="29"/>
                <w:color w:val="3E5588"/>
                <w:vertAlign w:val="superscript"/>
              </w:rPr>
              <w:t>(7)</w:t>
            </w:r>
          </w:p>
        </w:tc>
        <w:tc>
          <w:tcPr>
            <w:tcW w:w="900" w:type="dxa"/>
            <w:vAlign w:val="bottom"/>
          </w:tcPr>
          <w:p>
            <w:pPr>
              <w:jc w:val="right"/>
              <w:spacing w:after="0"/>
              <w:rPr>
                <w:sz w:val="20"/>
                <w:szCs w:val="20"/>
                <w:color w:val="auto"/>
              </w:rPr>
            </w:pPr>
            <w:r>
              <w:rPr>
                <w:rFonts w:ascii="Arial" w:cs="Arial" w:eastAsia="Arial" w:hAnsi="Arial"/>
                <w:sz w:val="18"/>
                <w:szCs w:val="18"/>
                <w:color w:val="3E5588"/>
              </w:rPr>
              <w:t>28,927</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3E5588"/>
              </w:rPr>
              <w:t>Alan Ezekowitz</w:t>
            </w:r>
            <w:r>
              <w:rPr>
                <w:rFonts w:ascii="Arial" w:cs="Arial" w:eastAsia="Arial" w:hAnsi="Arial"/>
                <w:sz w:val="29"/>
                <w:szCs w:val="29"/>
                <w:color w:val="3E5588"/>
                <w:vertAlign w:val="superscript"/>
              </w:rPr>
              <w:t>(8)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29,820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tcPr>
          <w:p>
            <w:pPr>
              <w:spacing w:after="0" w:line="256" w:lineRule="exact"/>
              <w:rPr>
                <w:sz w:val="20"/>
                <w:szCs w:val="20"/>
                <w:color w:val="auto"/>
              </w:rPr>
            </w:pPr>
            <w:r>
              <w:rPr>
                <w:rFonts w:ascii="Arial" w:cs="Arial" w:eastAsia="Arial" w:hAnsi="Arial"/>
                <w:sz w:val="18"/>
                <w:szCs w:val="18"/>
                <w:color w:val="3E5588"/>
              </w:rPr>
              <w:t>James Geraghty</w:t>
            </w:r>
            <w:r>
              <w:rPr>
                <w:rFonts w:ascii="Arial" w:cs="Arial" w:eastAsia="Arial" w:hAnsi="Arial"/>
                <w:sz w:val="29"/>
                <w:szCs w:val="29"/>
                <w:color w:val="3E5588"/>
                <w:vertAlign w:val="superscript"/>
              </w:rPr>
              <w:t>(9)</w:t>
            </w:r>
          </w:p>
        </w:tc>
        <w:tc>
          <w:tcPr>
            <w:tcW w:w="900" w:type="dxa"/>
            <w:vAlign w:val="bottom"/>
          </w:tcPr>
          <w:p>
            <w:pPr>
              <w:jc w:val="right"/>
              <w:spacing w:after="0"/>
              <w:rPr>
                <w:sz w:val="20"/>
                <w:szCs w:val="20"/>
                <w:color w:val="auto"/>
              </w:rPr>
            </w:pPr>
            <w:r>
              <w:rPr>
                <w:rFonts w:ascii="Arial" w:cs="Arial" w:eastAsia="Arial" w:hAnsi="Arial"/>
                <w:sz w:val="18"/>
                <w:szCs w:val="18"/>
                <w:color w:val="3E5588"/>
              </w:rPr>
              <w:t>87,856</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20" w:type="dxa"/>
            <w:vAlign w:val="bottom"/>
            <w:gridSpan w:val="4"/>
            <w:shd w:val="clear" w:color="auto" w:fill="CCEEFF"/>
          </w:tcPr>
          <w:p>
            <w:pPr>
              <w:spacing w:after="0" w:line="256" w:lineRule="exact"/>
              <w:rPr>
                <w:sz w:val="20"/>
                <w:szCs w:val="20"/>
                <w:color w:val="auto"/>
              </w:rPr>
            </w:pPr>
            <w:r>
              <w:rPr>
                <w:rFonts w:ascii="Arial" w:cs="Arial" w:eastAsia="Arial" w:hAnsi="Arial"/>
                <w:sz w:val="18"/>
                <w:szCs w:val="18"/>
                <w:color w:val="3E5588"/>
              </w:rPr>
              <w:t>Kate Haviland</w:t>
            </w:r>
            <w:r>
              <w:rPr>
                <w:rFonts w:ascii="Arial" w:cs="Arial" w:eastAsia="Arial" w:hAnsi="Arial"/>
                <w:sz w:val="29"/>
                <w:szCs w:val="29"/>
                <w:color w:val="3E5588"/>
                <w:vertAlign w:val="superscript"/>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7,365</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365"/>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4"/>
          </w:tcPr>
          <w:p>
            <w:pPr>
              <w:spacing w:after="0"/>
              <w:rPr>
                <w:sz w:val="20"/>
                <w:szCs w:val="20"/>
                <w:color w:val="auto"/>
              </w:rPr>
            </w:pPr>
            <w:r>
              <w:rPr>
                <w:rFonts w:ascii="Arial" w:cs="Arial" w:eastAsia="Arial" w:hAnsi="Arial"/>
                <w:sz w:val="18"/>
                <w:szCs w:val="18"/>
                <w:color w:val="3E5588"/>
              </w:rPr>
              <w:t>All current executive officers and directors as a group (9 persons)</w:t>
            </w:r>
            <w:r>
              <w:rPr>
                <w:rFonts w:ascii="Arial" w:cs="Arial" w:eastAsia="Arial" w:hAnsi="Arial"/>
                <w:sz w:val="29"/>
                <w:szCs w:val="29"/>
                <w:color w:val="3E5588"/>
                <w:vertAlign w:val="superscript"/>
              </w:rPr>
              <w:t>(11)</w:t>
            </w:r>
          </w:p>
        </w:tc>
        <w:tc>
          <w:tcPr>
            <w:tcW w:w="900" w:type="dxa"/>
            <w:vAlign w:val="bottom"/>
          </w:tcPr>
          <w:p>
            <w:pPr>
              <w:jc w:val="right"/>
              <w:spacing w:after="0"/>
              <w:rPr>
                <w:sz w:val="20"/>
                <w:szCs w:val="20"/>
                <w:color w:val="auto"/>
              </w:rPr>
            </w:pPr>
            <w:r>
              <w:rPr>
                <w:rFonts w:ascii="Arial" w:cs="Arial" w:eastAsia="Arial" w:hAnsi="Arial"/>
                <w:sz w:val="18"/>
                <w:szCs w:val="18"/>
                <w:color w:val="3E5588"/>
              </w:rPr>
              <w:t>6,865,886</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36.4</w:t>
            </w:r>
          </w:p>
        </w:tc>
        <w:tc>
          <w:tcPr>
            <w:tcW w:w="820" w:type="dxa"/>
            <w:vAlign w:val="bottom"/>
            <w:gridSpan w:val="2"/>
          </w:tcPr>
          <w:p>
            <w:pPr>
              <w:jc w:val="right"/>
              <w:spacing w:after="0"/>
              <w:rPr>
                <w:sz w:val="20"/>
                <w:szCs w:val="20"/>
                <w:color w:val="auto"/>
              </w:rPr>
            </w:pPr>
            <w:r>
              <w:rPr>
                <w:rFonts w:ascii="Arial" w:cs="Arial" w:eastAsia="Arial" w:hAnsi="Arial"/>
                <w:sz w:val="18"/>
                <w:szCs w:val="18"/>
                <w:color w:val="3E5588"/>
              </w:rPr>
              <w:t>29.4</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gridSpan w:val="2"/>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51"/>
        </w:trPr>
        <w:tc>
          <w:tcPr>
            <w:tcW w:w="11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Arial" w:cs="Arial" w:eastAsia="Arial" w:hAnsi="Arial"/>
                <w:sz w:val="18"/>
                <w:szCs w:val="18"/>
                <w:color w:val="3E5588"/>
              </w:rPr>
              <w:t>*</w:t>
            </w:r>
          </w:p>
        </w:tc>
        <w:tc>
          <w:tcPr>
            <w:tcW w:w="6120" w:type="dxa"/>
            <w:vAlign w:val="bottom"/>
            <w:gridSpan w:val="3"/>
          </w:tcPr>
          <w:p>
            <w:pPr>
              <w:jc w:val="right"/>
              <w:ind w:right="4360"/>
              <w:spacing w:after="0"/>
              <w:rPr>
                <w:sz w:val="20"/>
                <w:szCs w:val="20"/>
                <w:color w:val="auto"/>
              </w:rPr>
            </w:pPr>
            <w:r>
              <w:rPr>
                <w:rFonts w:ascii="Arial" w:cs="Arial" w:eastAsia="Arial" w:hAnsi="Arial"/>
                <w:sz w:val="18"/>
                <w:szCs w:val="18"/>
                <w:color w:val="3E5588"/>
                <w:w w:val="97"/>
              </w:rPr>
              <w:t>Less than one percent</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20" w:type="dxa"/>
            <w:vAlign w:val="bottom"/>
            <w:gridSpan w:val="3"/>
          </w:tcPr>
          <w:p>
            <w:pPr>
              <w:jc w:val="right"/>
              <w:ind w:right="1740"/>
              <w:spacing w:after="0"/>
              <w:rPr>
                <w:sz w:val="20"/>
                <w:szCs w:val="20"/>
                <w:color w:val="auto"/>
              </w:rPr>
            </w:pPr>
            <w:r>
              <w:rPr>
                <w:rFonts w:ascii="Arial" w:cs="Arial" w:eastAsia="Arial" w:hAnsi="Arial"/>
                <w:sz w:val="18"/>
                <w:szCs w:val="18"/>
                <w:color w:val="3E5588"/>
              </w:rPr>
              <w:t>182</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40" w:type="dxa"/>
            <w:vAlign w:val="bottom"/>
            <w:tcBorders>
              <w:bottom w:val="single" w:sz="8" w:color="3E5588"/>
            </w:tcBorders>
          </w:tcPr>
          <w:p>
            <w:pPr>
              <w:spacing w:after="0"/>
              <w:rPr>
                <w:sz w:val="19"/>
                <w:szCs w:val="19"/>
                <w:color w:val="auto"/>
              </w:rPr>
            </w:pPr>
          </w:p>
        </w:tc>
        <w:tc>
          <w:tcPr>
            <w:tcW w:w="20" w:type="dxa"/>
            <w:vAlign w:val="bottom"/>
            <w:tcBorders>
              <w:bottom w:val="single" w:sz="8" w:color="3E5588"/>
            </w:tcBorders>
          </w:tcPr>
          <w:p>
            <w:pPr>
              <w:spacing w:after="0"/>
              <w:rPr>
                <w:sz w:val="19"/>
                <w:szCs w:val="19"/>
                <w:color w:val="auto"/>
              </w:rPr>
            </w:pPr>
          </w:p>
        </w:tc>
        <w:tc>
          <w:tcPr>
            <w:tcW w:w="300" w:type="dxa"/>
            <w:vAlign w:val="bottom"/>
            <w:tcBorders>
              <w:bottom w:val="single" w:sz="8" w:color="3E5588"/>
            </w:tcBorders>
          </w:tcPr>
          <w:p>
            <w:pPr>
              <w:spacing w:after="0"/>
              <w:rPr>
                <w:sz w:val="19"/>
                <w:szCs w:val="19"/>
                <w:color w:val="auto"/>
              </w:rPr>
            </w:pPr>
          </w:p>
        </w:tc>
        <w:tc>
          <w:tcPr>
            <w:tcW w:w="620" w:type="dxa"/>
            <w:vAlign w:val="bottom"/>
            <w:tcBorders>
              <w:bottom w:val="single" w:sz="8" w:color="3E5588"/>
            </w:tcBorders>
          </w:tcPr>
          <w:p>
            <w:pPr>
              <w:spacing w:after="0"/>
              <w:rPr>
                <w:sz w:val="19"/>
                <w:szCs w:val="19"/>
                <w:color w:val="auto"/>
              </w:rPr>
            </w:pPr>
          </w:p>
        </w:tc>
        <w:tc>
          <w:tcPr>
            <w:tcW w:w="1340" w:type="dxa"/>
            <w:vAlign w:val="bottom"/>
            <w:tcBorders>
              <w:bottom w:val="single" w:sz="8" w:color="3E5588"/>
            </w:tcBorders>
          </w:tcPr>
          <w:p>
            <w:pPr>
              <w:spacing w:after="0"/>
              <w:rPr>
                <w:sz w:val="19"/>
                <w:szCs w:val="19"/>
                <w:color w:val="auto"/>
              </w:rPr>
            </w:pPr>
          </w:p>
        </w:tc>
        <w:tc>
          <w:tcPr>
            <w:tcW w:w="4160" w:type="dxa"/>
            <w:vAlign w:val="bottom"/>
            <w:tcBorders>
              <w:bottom w:val="single" w:sz="8" w:color="3E5588"/>
            </w:tcBorders>
          </w:tcPr>
          <w:p>
            <w:pPr>
              <w:spacing w:after="0"/>
              <w:rPr>
                <w:sz w:val="19"/>
                <w:szCs w:val="19"/>
                <w:color w:val="auto"/>
              </w:rPr>
            </w:pPr>
          </w:p>
        </w:tc>
        <w:tc>
          <w:tcPr>
            <w:tcW w:w="900" w:type="dxa"/>
            <w:vAlign w:val="bottom"/>
            <w:tcBorders>
              <w:bottom w:val="single" w:sz="8" w:color="3E5588"/>
            </w:tcBorders>
          </w:tcPr>
          <w:p>
            <w:pPr>
              <w:spacing w:after="0"/>
              <w:rPr>
                <w:sz w:val="19"/>
                <w:szCs w:val="19"/>
                <w:color w:val="auto"/>
              </w:rPr>
            </w:pPr>
          </w:p>
        </w:tc>
        <w:tc>
          <w:tcPr>
            <w:tcW w:w="180" w:type="dxa"/>
            <w:vAlign w:val="bottom"/>
            <w:tcBorders>
              <w:bottom w:val="single" w:sz="8" w:color="3E5588"/>
            </w:tcBorders>
          </w:tcPr>
          <w:p>
            <w:pPr>
              <w:spacing w:after="0"/>
              <w:rPr>
                <w:sz w:val="19"/>
                <w:szCs w:val="19"/>
                <w:color w:val="auto"/>
              </w:rPr>
            </w:pPr>
          </w:p>
        </w:tc>
        <w:tc>
          <w:tcPr>
            <w:tcW w:w="64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66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1140" w:type="dxa"/>
            <w:vAlign w:val="bottom"/>
            <w:tcBorders>
              <w:bottom w:val="single" w:sz="8" w:color="3E5588"/>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680" w:hanging="531"/>
        <w:spacing w:after="0" w:line="286" w:lineRule="auto"/>
        <w:tabs>
          <w:tab w:leader="none" w:pos="1680" w:val="left"/>
        </w:tabs>
        <w:numPr>
          <w:ilvl w:val="0"/>
          <w:numId w:val="101"/>
        </w:numPr>
        <w:rPr>
          <w:rFonts w:ascii="Arial" w:cs="Arial" w:eastAsia="Arial" w:hAnsi="Arial"/>
          <w:sz w:val="16"/>
          <w:szCs w:val="16"/>
          <w:color w:val="3E5588"/>
        </w:rPr>
      </w:pPr>
      <w:r>
        <w:rPr>
          <w:rFonts w:ascii="Arial" w:cs="Arial" w:eastAsia="Arial" w:hAnsi="Arial"/>
          <w:sz w:val="16"/>
          <w:szCs w:val="16"/>
          <w:color w:val="3E5588"/>
        </w:rPr>
        <w:t>Consists of (i) (a) 285,714 shares of common stock and (b) 5,595,238 shares of common stock issuable upon the conversion of preferred stock held by Third Rock Ventures III, L.P., or TRV III LP, and (ii) 2,261,904 shares of common stock issuable upon the conversion of preferred stock held by Third Rock Ventures IV, L.P., or TRV IV LP. Third Rock Ventures GP III, L.P., or TRV GP III, is the sole general partner of TRV III LP. TRV GP III, LLC, or TRV III LLC, is the sole general partner of TRV GP III. Each of TRV GP III, TRV III LLC, and Mark Levin, Kevin Starr and Robert Tepper, the managers of TRV III LLC, may be deemed to share voting and dispositive power over the shares of record held by TRV III LP. Each of TRV GP III, TRV III LLC, and Mark Levin, Kevin Starr and Robert Tepper disclaims beneficial ownership of all shares held by TRV III LP except to the extent of their pecuniary interest therein. Third Rock Ventures GP IV, L.P., or TRV GP IV, is the sole general partner of TRV IV LP. TRV GP IV, LLC, or TRV IV LLC, is the sole general partner of TRV GP IV. Abbie Celniker, Ph.D., Robert Tepper, M.D., Craig Muir and Cary Pfeffer, M.D. are the managing members of TRV IV LLC who collectively make voting and investment decisions with respect to shares held by TRV IV LP. The address of TRV III LP and TRV IV LP is 29 Newbury Street, Boston, MA 02116.</w:t>
      </w:r>
    </w:p>
    <w:p>
      <w:pPr>
        <w:spacing w:after="0" w:line="208" w:lineRule="exact"/>
        <w:rPr>
          <w:rFonts w:ascii="Arial" w:cs="Arial" w:eastAsia="Arial" w:hAnsi="Arial"/>
          <w:sz w:val="16"/>
          <w:szCs w:val="16"/>
          <w:color w:val="3E5588"/>
        </w:rPr>
      </w:pPr>
    </w:p>
    <w:p>
      <w:pPr>
        <w:jc w:val="both"/>
        <w:ind w:left="1680" w:hanging="531"/>
        <w:spacing w:after="0" w:line="259"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1,785,714 shares of common stock issuable upon the conversion of preferred stock held by Glaxo Group Limited, an indirect wholly-owned subsidiary of GlaxoSmithKline plc, which beneficially owns the shares held by Glaxo Group Limited. The address of Glaxo Group Limited is 980 Great West Road, Brentford, Middlesex TW8 9GS England.</w:t>
      </w:r>
    </w:p>
    <w:p>
      <w:pPr>
        <w:spacing w:after="0" w:line="207" w:lineRule="exact"/>
        <w:rPr>
          <w:rFonts w:ascii="Arial" w:cs="Arial" w:eastAsia="Arial" w:hAnsi="Arial"/>
          <w:sz w:val="18"/>
          <w:szCs w:val="18"/>
          <w:color w:val="3E5588"/>
        </w:rPr>
      </w:pPr>
    </w:p>
    <w:p>
      <w:pPr>
        <w:jc w:val="both"/>
        <w:ind w:left="1680" w:hanging="531"/>
        <w:spacing w:after="0" w:line="254"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1,500,000 shares of common stock issuable upon the conversion of preferred stock held by Foresite Capital Fund, IV, L.P., or FCF IV. Foresite Capital Management IV, LLC, or FCM IV, the general partner of FCF IV, may be deemed to have sole voting and dispositive power over these shares. James B. Tananbaum, in his capacity as managing member of FCM IV, may be deemed to have sole voting and dispositive power over these shares. Each of FCM IV and its members and Mr. Tananbaum disclaims beneficial ownership of any of these shares except to the extent of any pecuniary interest therein. The address of FCF IV is 600 Montgomery Street, Suite 4500, San Francisco, CA 94111.</w:t>
      </w:r>
    </w:p>
    <w:p>
      <w:pPr>
        <w:spacing w:after="0" w:line="211" w:lineRule="exact"/>
        <w:rPr>
          <w:rFonts w:ascii="Arial" w:cs="Arial" w:eastAsia="Arial" w:hAnsi="Arial"/>
          <w:sz w:val="18"/>
          <w:szCs w:val="18"/>
          <w:color w:val="3E5588"/>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557,345 shares of common stock held by Dr. Gould and 43,262 shares of common stock underlying options held by Dr. Gould that are exercisable as of June 30, 2019 or will become exercisable within 60 days after such date.</w:t>
      </w:r>
    </w:p>
    <w:p>
      <w:pPr>
        <w:spacing w:after="0" w:line="212" w:lineRule="exact"/>
        <w:rPr>
          <w:rFonts w:ascii="Arial" w:cs="Arial" w:eastAsia="Arial" w:hAnsi="Arial"/>
          <w:sz w:val="18"/>
          <w:szCs w:val="18"/>
          <w:color w:val="3E5588"/>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71,071 shares of common stock held by Dr. Cadavid and 19,638 shares of common stock underlying options held by Dr. Cadavid that are exercisable as of June 30, 2019 or will become exercisable within 60 days after such date.</w:t>
      </w:r>
    </w:p>
    <w:p>
      <w:pPr>
        <w:spacing w:after="0" w:line="199" w:lineRule="exact"/>
        <w:rPr>
          <w:rFonts w:ascii="Arial" w:cs="Arial" w:eastAsia="Arial" w:hAnsi="Arial"/>
          <w:sz w:val="18"/>
          <w:szCs w:val="18"/>
          <w:color w:val="3E5588"/>
        </w:rPr>
      </w:pPr>
    </w:p>
    <w:p>
      <w:pPr>
        <w:jc w:val="both"/>
        <w:ind w:left="1680" w:hanging="531"/>
        <w:spacing w:after="0" w:line="256"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the shares described in Note 1 above held by TRV III LP. Mr. Levin, a member of our board of directors, is a manager of TRV III LLC, which is the sole general partner of TRV GP III, which is the sole general partner of TRV III LP and may be deemed to be the indirect beneficial owner of such shares. Mr. Levin disclaims beneficial ownership over such shares, except to the extent of his proportionate pecuniary interest therein.</w:t>
      </w:r>
    </w:p>
    <w:p>
      <w:pPr>
        <w:spacing w:after="0" w:line="210" w:lineRule="exact"/>
        <w:rPr>
          <w:rFonts w:ascii="Arial" w:cs="Arial" w:eastAsia="Arial" w:hAnsi="Arial"/>
          <w:sz w:val="18"/>
          <w:szCs w:val="18"/>
          <w:color w:val="3E5588"/>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23,571 shares of common stock held by Dr. Collins and 5,356 shares of common stock underlying options held by Dr. Collins that are exercisable as of June 30, 2019 or will become exercisable within 60 days after such date.</w:t>
      </w:r>
    </w:p>
    <w:p>
      <w:pPr>
        <w:spacing w:after="0" w:line="212" w:lineRule="exact"/>
        <w:rPr>
          <w:rFonts w:ascii="Arial" w:cs="Arial" w:eastAsia="Arial" w:hAnsi="Arial"/>
          <w:sz w:val="18"/>
          <w:szCs w:val="18"/>
          <w:color w:val="3E5588"/>
        </w:rPr>
      </w:pPr>
    </w:p>
    <w:p>
      <w:pPr>
        <w:ind w:left="1680" w:right="20" w:hanging="531"/>
        <w:spacing w:after="0" w:line="268"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23,571 shares of common stock held by Dr. Ezekowitz and 6,249 shares of common stock underlying options held by Dr. Ezekowitz that are exercisable as of June 30, 2019 or will become exercisable within 60 days after such date.</w:t>
      </w:r>
    </w:p>
    <w:p>
      <w:pPr>
        <w:spacing w:after="0" w:line="199" w:lineRule="exact"/>
        <w:rPr>
          <w:rFonts w:ascii="Arial" w:cs="Arial" w:eastAsia="Arial" w:hAnsi="Arial"/>
          <w:sz w:val="18"/>
          <w:szCs w:val="18"/>
          <w:color w:val="3E5588"/>
        </w:rPr>
      </w:pPr>
    </w:p>
    <w:p>
      <w:pPr>
        <w:ind w:left="1680" w:hanging="531"/>
        <w:spacing w:after="0" w:line="268"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80,714 shares of common stock held by Mr. Geraghty and 7,142 shares of common stock underlying options held by Mr. Geraghty that are exercisable as of June 30, 2019 or will become exercisable within 60 days after such date.</w:t>
      </w:r>
    </w:p>
    <w:p>
      <w:pPr>
        <w:spacing w:after="0" w:line="199" w:lineRule="exact"/>
        <w:rPr>
          <w:rFonts w:ascii="Arial" w:cs="Arial" w:eastAsia="Arial" w:hAnsi="Arial"/>
          <w:sz w:val="18"/>
          <w:szCs w:val="18"/>
          <w:color w:val="3E5588"/>
        </w:rPr>
      </w:pPr>
    </w:p>
    <w:p>
      <w:pPr>
        <w:ind w:left="1680" w:hanging="531"/>
        <w:spacing w:after="0" w:line="268"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Consists of 7,365 shares of common stock underlying options held by Ms. Haviland that are exercisable as of June 30, 2019 or will become exercisable within 60 days after such date.</w:t>
      </w:r>
    </w:p>
    <w:p>
      <w:pPr>
        <w:spacing w:after="0" w:line="212" w:lineRule="exact"/>
        <w:rPr>
          <w:rFonts w:ascii="Arial" w:cs="Arial" w:eastAsia="Arial" w:hAnsi="Arial"/>
          <w:sz w:val="18"/>
          <w:szCs w:val="18"/>
          <w:color w:val="3E5588"/>
        </w:rPr>
      </w:pPr>
    </w:p>
    <w:p>
      <w:pPr>
        <w:ind w:left="1680" w:hanging="531"/>
        <w:spacing w:after="0" w:line="268" w:lineRule="auto"/>
        <w:tabs>
          <w:tab w:leader="none" w:pos="1680" w:val="left"/>
        </w:tabs>
        <w:numPr>
          <w:ilvl w:val="0"/>
          <w:numId w:val="101"/>
        </w:numPr>
        <w:rPr>
          <w:rFonts w:ascii="Arial" w:cs="Arial" w:eastAsia="Arial" w:hAnsi="Arial"/>
          <w:sz w:val="18"/>
          <w:szCs w:val="18"/>
          <w:color w:val="3E5588"/>
        </w:rPr>
      </w:pPr>
      <w:r>
        <w:rPr>
          <w:rFonts w:ascii="Arial" w:cs="Arial" w:eastAsia="Arial" w:hAnsi="Arial"/>
          <w:sz w:val="18"/>
          <w:szCs w:val="18"/>
          <w:color w:val="3E5588"/>
        </w:rPr>
        <w:t>Includes 101,574 shares of common stock underlying options that are exercisable as of June 30, 2019 or will become exercisable within 60 days after such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DESCRIPTION OF CAPITAL STOCK</w:t>
      </w:r>
    </w:p>
    <w:p>
      <w:pPr>
        <w:spacing w:after="0" w:line="231"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3E5588"/>
        </w:rPr>
        <w:t>The following description of our capital stock and provisions of our certificate of incorporation and bylaws are summaries and are qualified by reference to the certificate of incorporation and the bylaws that will be in effect upon the closing of this offering. We will file copies of these documents with the SEC as exhibits to our registration statement of which this prospectus is a part. The description of the capital stock reflects changes to our capital structure that will occur upon the closing of this offering.</w:t>
      </w:r>
    </w:p>
    <w:p>
      <w:pPr>
        <w:spacing w:after="0" w:line="197" w:lineRule="exact"/>
        <w:rPr>
          <w:sz w:val="20"/>
          <w:szCs w:val="20"/>
          <w:color w:val="auto"/>
        </w:rPr>
      </w:pPr>
    </w:p>
    <w:p>
      <w:pPr>
        <w:jc w:val="both"/>
        <w:ind w:firstLine="466"/>
        <w:spacing w:after="0" w:line="268" w:lineRule="auto"/>
        <w:rPr>
          <w:sz w:val="20"/>
          <w:szCs w:val="20"/>
          <w:color w:val="auto"/>
        </w:rPr>
      </w:pPr>
      <w:r>
        <w:rPr>
          <w:rFonts w:ascii="Arial" w:cs="Arial" w:eastAsia="Arial" w:hAnsi="Arial"/>
          <w:sz w:val="18"/>
          <w:szCs w:val="18"/>
          <w:color w:val="3E5588"/>
        </w:rPr>
        <w:t>Upon the closing of this offering, our authorized capital stock will consist of 200,000,000 shares of our common stock, par value $0.001 per share, and 5,000,000 shares of our preferred stock, par value $0.001 per share, all of which preferred stock will be undesignated.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3E5588"/>
        </w:rPr>
        <w:t>As of June 30, 2019, we had issued and outstanding:</w:t>
      </w:r>
    </w:p>
    <w:p>
      <w:pPr>
        <w:spacing w:after="0" w:line="239" w:lineRule="exact"/>
        <w:rPr>
          <w:sz w:val="20"/>
          <w:szCs w:val="20"/>
          <w:color w:val="auto"/>
        </w:rPr>
      </w:pPr>
    </w:p>
    <w:p>
      <w:pPr>
        <w:ind w:left="1080" w:hanging="532"/>
        <w:spacing w:after="0"/>
        <w:tabs>
          <w:tab w:leader="none" w:pos="1080" w:val="left"/>
        </w:tabs>
        <w:numPr>
          <w:ilvl w:val="0"/>
          <w:numId w:val="102"/>
        </w:numPr>
        <w:rPr>
          <w:rFonts w:ascii="Arial" w:cs="Arial" w:eastAsia="Arial" w:hAnsi="Arial"/>
          <w:sz w:val="18"/>
          <w:szCs w:val="18"/>
          <w:color w:val="3E5588"/>
        </w:rPr>
      </w:pPr>
      <w:r>
        <w:rPr>
          <w:rFonts w:ascii="Arial" w:cs="Arial" w:eastAsia="Arial" w:hAnsi="Arial"/>
          <w:sz w:val="18"/>
          <w:szCs w:val="18"/>
          <w:color w:val="3E5588"/>
        </w:rPr>
        <w:t>2,768,596 shares of our common stock held by 78 stockholders of record;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02"/>
        </w:numPr>
        <w:rPr>
          <w:rFonts w:ascii="Arial" w:cs="Arial" w:eastAsia="Arial" w:hAnsi="Arial"/>
          <w:sz w:val="16"/>
          <w:szCs w:val="16"/>
          <w:color w:val="3E5588"/>
        </w:rPr>
      </w:pPr>
      <w:r>
        <w:rPr>
          <w:rFonts w:ascii="Arial" w:cs="Arial" w:eastAsia="Arial" w:hAnsi="Arial"/>
          <w:sz w:val="16"/>
          <w:szCs w:val="16"/>
          <w:color w:val="3E5588"/>
        </w:rPr>
        <w:t>60,000,000 shares of our Series A preferred stock held by 3 stockholders of record, convertible into 8,571,427 shares of our common stock; and</w:t>
      </w:r>
    </w:p>
    <w:p>
      <w:pPr>
        <w:spacing w:after="0" w:line="261" w:lineRule="exact"/>
        <w:rPr>
          <w:rFonts w:ascii="Arial" w:cs="Arial" w:eastAsia="Arial" w:hAnsi="Arial"/>
          <w:sz w:val="16"/>
          <w:szCs w:val="16"/>
          <w:color w:val="3E5588"/>
        </w:rPr>
      </w:pPr>
    </w:p>
    <w:p>
      <w:pPr>
        <w:ind w:left="1080" w:hanging="532"/>
        <w:spacing w:after="0"/>
        <w:tabs>
          <w:tab w:leader="none" w:pos="1080" w:val="left"/>
        </w:tabs>
        <w:numPr>
          <w:ilvl w:val="0"/>
          <w:numId w:val="102"/>
        </w:numPr>
        <w:rPr>
          <w:rFonts w:ascii="Arial" w:cs="Arial" w:eastAsia="Arial" w:hAnsi="Arial"/>
          <w:sz w:val="16"/>
          <w:szCs w:val="16"/>
          <w:color w:val="3E5588"/>
        </w:rPr>
      </w:pPr>
      <w:r>
        <w:rPr>
          <w:rFonts w:ascii="Arial" w:cs="Arial" w:eastAsia="Arial" w:hAnsi="Arial"/>
          <w:sz w:val="16"/>
          <w:szCs w:val="16"/>
          <w:color w:val="3E5588"/>
        </w:rPr>
        <w:t>52,500,000 shares of our Series B preferred stock held by 21 stockholders of record, convertible into 7,499,991 shares of our common stock.</w:t>
      </w:r>
    </w:p>
    <w:p>
      <w:pPr>
        <w:spacing w:after="0" w:line="248" w:lineRule="exact"/>
        <w:rPr>
          <w:sz w:val="20"/>
          <w:szCs w:val="20"/>
          <w:color w:val="auto"/>
        </w:rPr>
      </w:pPr>
    </w:p>
    <w:p>
      <w:pPr>
        <w:jc w:val="both"/>
        <w:ind w:right="20" w:firstLine="354"/>
        <w:spacing w:after="0" w:line="268" w:lineRule="auto"/>
        <w:rPr>
          <w:sz w:val="20"/>
          <w:szCs w:val="20"/>
          <w:color w:val="auto"/>
        </w:rPr>
      </w:pPr>
      <w:r>
        <w:rPr>
          <w:rFonts w:ascii="Arial" w:cs="Arial" w:eastAsia="Arial" w:hAnsi="Arial"/>
          <w:sz w:val="18"/>
          <w:szCs w:val="18"/>
          <w:color w:val="3E5588"/>
        </w:rPr>
        <w:t>Upon the closing of this offering, all of the outstanding shares of our preferred stock will automatically convert into an aggregate of 16,071,418 shares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Common Stock</w:t>
      </w:r>
    </w:p>
    <w:p>
      <w:pPr>
        <w:spacing w:after="0" w:line="231"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3E5588"/>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 Holders of common stock are entitled to receive proportionately any dividends as may be declared by our board of directors, subject to any preferential dividend rights of outstanding preferred stock.</w:t>
      </w:r>
    </w:p>
    <w:p>
      <w:pPr>
        <w:spacing w:after="0" w:line="197"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3E5588"/>
        </w:rPr>
        <w:t>In the event of our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The rights, preferences and privileges of holders of our common stock are subject to and may be adversely affected by the rights of the holders of shares of any series of our preferred stock that we may designate and issue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Preferred Stock</w:t>
      </w:r>
    </w:p>
    <w:p>
      <w:pPr>
        <w:spacing w:after="0" w:line="231"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3E5588"/>
        </w:rPr>
        <w:t>Under the terms of our certificate of incorporation that will become effective upon the closing of this offering,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97" w:lineRule="exact"/>
        <w:rPr>
          <w:sz w:val="20"/>
          <w:szCs w:val="20"/>
          <w:color w:val="auto"/>
        </w:rPr>
      </w:pPr>
    </w:p>
    <w:p>
      <w:pPr>
        <w:jc w:val="both"/>
        <w:ind w:firstLine="419"/>
        <w:spacing w:after="0" w:line="255" w:lineRule="auto"/>
        <w:rPr>
          <w:sz w:val="20"/>
          <w:szCs w:val="20"/>
          <w:color w:val="auto"/>
        </w:rPr>
      </w:pPr>
      <w:r>
        <w:rPr>
          <w:rFonts w:ascii="Arial" w:cs="Arial" w:eastAsia="Arial" w:hAnsi="Arial"/>
          <w:sz w:val="18"/>
          <w:szCs w:val="18"/>
          <w:color w:val="3E5588"/>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Upon the closing of this offering, there will be no shares of preferred stock outstanding, and we have no present plans to issue any shares of preferred stock.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Options and Unvested Restricted Stock</w:t>
      </w:r>
    </w:p>
    <w:p>
      <w:pPr>
        <w:spacing w:after="0" w:line="231" w:lineRule="exact"/>
        <w:rPr>
          <w:sz w:val="20"/>
          <w:szCs w:val="20"/>
          <w:color w:val="auto"/>
        </w:rPr>
      </w:pPr>
    </w:p>
    <w:p>
      <w:pPr>
        <w:jc w:val="both"/>
        <w:ind w:firstLine="418"/>
        <w:spacing w:after="0" w:line="268" w:lineRule="auto"/>
        <w:rPr>
          <w:sz w:val="20"/>
          <w:szCs w:val="20"/>
          <w:color w:val="auto"/>
        </w:rPr>
      </w:pPr>
      <w:r>
        <w:rPr>
          <w:rFonts w:ascii="Arial" w:cs="Arial" w:eastAsia="Arial" w:hAnsi="Arial"/>
          <w:sz w:val="18"/>
          <w:szCs w:val="18"/>
          <w:color w:val="3E5588"/>
        </w:rPr>
        <w:t>As of June 30, 2019, options to purchase an aggregate of 1,592,753 shares of our common stock, at a weighted average exercise price of $7.81 per share, were outstanding, and 898,310 shares of unvested restricted common stock were outstanding.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Delaware Anti-Takeover Law and Certain Charter and Bylaw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Delaware Law</w:t>
      </w:r>
    </w:p>
    <w:p>
      <w:pPr>
        <w:spacing w:after="0" w:line="225"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3E5588"/>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either the interested stockholder attained such status with the approval of our board of directors, the business combination is approved by our board of directors and stockholders in a prescribed manner or the interested stockholder acquired at least 85% of our outstanding voting stock in the transaction in which it became an interested stockholder.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The restrictions contained in Section 203 are not applicable to any of our existing stockholders that will own 15% or more of our outstanding voting stock upon the closing of this offering.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Staggered Board; Removal of Directors</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3E5588"/>
        </w:rPr>
        <w:t>Our certificate of incorporation and our bylaws to be effective upon the closing of this offering divide our board of directors into three classes with staggered three-year terms. In addition, our certificate of incorporation and our bylaws to be effective upon the closing of this offering provide that directors may be removed only for cause and only by the affirmative vote of the holders of 75% of our shares of capital stock present in person or by proxy and entitled to vote. Under our certificate of incorporation and our bylaws to be effective upon the closing of this offering, any vacancy on our board of directors, including a vacancy resulting from an enlargement of our board of directors, may be filled only by vote of a majority of our directors then in office. Furthermore, our certificate of incorporation to be effective upon the closing of this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3E5588"/>
        </w:rPr>
        <w:t>Stockholder Action; Special Meeting of Stockholders; Advance Notice Requirements for Stockholder Proposals and Director Nominations</w:t>
      </w:r>
    </w:p>
    <w:p>
      <w:pPr>
        <w:spacing w:after="0" w:line="248"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3E5588"/>
        </w:rPr>
        <w:t>Our certificate of incorporation and our bylaws to be effective upon the closing of this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this offering also provide that, except as otherwise required by law, special meetings of the stockholders can only be called by our board of directors. In addition, our bylaws to be effective upon the closing of this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Super-Majority Voting</w:t>
      </w:r>
    </w:p>
    <w:p>
      <w:pPr>
        <w:spacing w:after="0" w:line="225"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3E5588"/>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this offering may be amended or repealed by a majority vote of our board of directors or the affirmative vote of the holders of at least 75% of the votes that all our stockholders would be entitled to cast in any annual election of directors. In addition, the affirmative vote of the holders of at least 75%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Exclusive Forum Selection</w:t>
      </w:r>
    </w:p>
    <w:p>
      <w:pPr>
        <w:spacing w:after="0" w:line="225" w:lineRule="exact"/>
        <w:rPr>
          <w:sz w:val="20"/>
          <w:szCs w:val="20"/>
          <w:color w:val="auto"/>
        </w:rPr>
      </w:pPr>
    </w:p>
    <w:p>
      <w:pPr>
        <w:jc w:val="both"/>
        <w:ind w:firstLine="394"/>
        <w:spacing w:after="0" w:line="288" w:lineRule="auto"/>
        <w:rPr>
          <w:sz w:val="20"/>
          <w:szCs w:val="20"/>
          <w:color w:val="auto"/>
        </w:rPr>
      </w:pPr>
      <w:r>
        <w:rPr>
          <w:rFonts w:ascii="Arial" w:cs="Arial" w:eastAsia="Arial" w:hAnsi="Arial"/>
          <w:sz w:val="16"/>
          <w:szCs w:val="16"/>
          <w:color w:val="3E5588"/>
        </w:rPr>
        <w:t>Our certificate of incorporation to be effective upon the closing of this offering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(1) any derivative action or proceeding brought on our behalf, (2) any action asserting a claim of breach of a fiduciary duty owed by any of our directors, officers, other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Exchange Act.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Registration Rights</w:t>
      </w:r>
    </w:p>
    <w:p>
      <w:pPr>
        <w:spacing w:after="0" w:line="231"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3E5588"/>
        </w:rPr>
        <w:t>We have entered into an amended and restated investor rights agreement dated as of August 24, 2018, or the investor rights agreement, with holders of our preferred stock. Beginning six months following the closing of this offering, holders of a total of 16,357,132 shares of our common stock will have the right to require us to register these shares under the Securities Act under specified circumstances. We refer to the shares with these registration rights as registrable securities. After registration pursuant to these rights, the registrable securities will become freely tradable without restriction under the Securities 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Demand and Form S-3 Registration Rights</w:t>
      </w:r>
    </w:p>
    <w:p>
      <w:pPr>
        <w:spacing w:after="0" w:line="225" w:lineRule="exact"/>
        <w:rPr>
          <w:sz w:val="20"/>
          <w:szCs w:val="20"/>
          <w:color w:val="auto"/>
        </w:rPr>
      </w:pPr>
    </w:p>
    <w:p>
      <w:pPr>
        <w:jc w:val="both"/>
        <w:ind w:firstLine="408"/>
        <w:spacing w:after="0" w:line="259" w:lineRule="auto"/>
        <w:rPr>
          <w:sz w:val="20"/>
          <w:szCs w:val="20"/>
          <w:color w:val="auto"/>
        </w:rPr>
      </w:pPr>
      <w:r>
        <w:rPr>
          <w:rFonts w:ascii="Arial" w:cs="Arial" w:eastAsia="Arial" w:hAnsi="Arial"/>
          <w:sz w:val="18"/>
          <w:szCs w:val="18"/>
          <w:color w:val="3E5588"/>
        </w:rPr>
        <w:t>Beginning 180 days after this offering, subject to specified limitations set forth in the investor rights agreement, at any time, the holders of at least 40% of the then outstanding registrable securities may demand that we register at least 40% of the registrable securities then outstanding under the Securities Act for purposes of a public offering having an aggregate offering price to the public of not less than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$5.0 million. We are not obligated to file a registration statement pursuant to this provision on more than two occasions.</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3E5588"/>
        </w:rPr>
        <w:t>In addition, subject to specified limitations set forth in the investor rights agreement, at any time after we become eligible to file a registration statement on Form S-3, the holders of at least 25% of the then outstanding registrable securities may request that we register their registrable securities on Form S-3 for purposes of a public offering for which the reasonably anticipated aggregate offering price to the public would be at least $3.0 million. We are not obligated to file a registration statement pursuant to this provision on more than two occasions in any 12-month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Incidental Registration Rights</w:t>
      </w:r>
    </w:p>
    <w:p>
      <w:pPr>
        <w:spacing w:after="0" w:line="225" w:lineRule="exact"/>
        <w:rPr>
          <w:sz w:val="20"/>
          <w:szCs w:val="20"/>
          <w:color w:val="auto"/>
        </w:rPr>
      </w:pPr>
    </w:p>
    <w:p>
      <w:pPr>
        <w:jc w:val="both"/>
        <w:ind w:firstLine="447"/>
        <w:spacing w:after="0" w:line="259" w:lineRule="auto"/>
        <w:rPr>
          <w:sz w:val="20"/>
          <w:szCs w:val="20"/>
          <w:color w:val="auto"/>
        </w:rPr>
      </w:pPr>
      <w:r>
        <w:rPr>
          <w:rFonts w:ascii="Arial" w:cs="Arial" w:eastAsia="Arial" w:hAnsi="Arial"/>
          <w:sz w:val="18"/>
          <w:szCs w:val="18"/>
          <w:color w:val="3E5588"/>
        </w:rPr>
        <w:t>If, at any time after the closing of this offering, we propose to register for our own account any of our securities under the Securities Act, the holders of registrable securities will be entitled to notice of the registration and, subject to specified exceptions, have the right to require us to use our commercially reasonable efforts to register all or a portion of the registrable securities then held by them in that registration.</w:t>
      </w:r>
    </w:p>
    <w:p>
      <w:pPr>
        <w:spacing w:after="0" w:line="194" w:lineRule="exact"/>
        <w:rPr>
          <w:sz w:val="20"/>
          <w:szCs w:val="20"/>
          <w:color w:val="auto"/>
        </w:rPr>
      </w:pPr>
    </w:p>
    <w:p>
      <w:pPr>
        <w:jc w:val="both"/>
        <w:ind w:firstLine="379"/>
        <w:spacing w:after="0" w:line="332" w:lineRule="auto"/>
        <w:rPr>
          <w:sz w:val="20"/>
          <w:szCs w:val="20"/>
          <w:color w:val="auto"/>
        </w:rPr>
      </w:pPr>
      <w:r>
        <w:rPr>
          <w:rFonts w:ascii="Arial" w:cs="Arial" w:eastAsia="Arial" w:hAnsi="Arial"/>
          <w:sz w:val="16"/>
          <w:szCs w:val="16"/>
          <w:color w:val="3E5588"/>
        </w:rPr>
        <w:t>In the event that any registration in which the holders of registrable securities participate pursuant to our investor rights agreement is an underwritten public offering, we have agreed to enter into an underwriting agreement in usual and customary form and use our reasonable best efforts to facilitate such offering.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Expenses</w:t>
      </w:r>
    </w:p>
    <w:p>
      <w:pPr>
        <w:spacing w:after="0" w:line="225" w:lineRule="exact"/>
        <w:rPr>
          <w:sz w:val="20"/>
          <w:szCs w:val="20"/>
          <w:color w:val="auto"/>
        </w:rPr>
      </w:pPr>
    </w:p>
    <w:p>
      <w:pPr>
        <w:jc w:val="both"/>
        <w:ind w:firstLine="434"/>
        <w:spacing w:after="0" w:line="254" w:lineRule="auto"/>
        <w:rPr>
          <w:sz w:val="20"/>
          <w:szCs w:val="20"/>
          <w:color w:val="auto"/>
        </w:rPr>
      </w:pPr>
      <w:r>
        <w:rPr>
          <w:rFonts w:ascii="Arial" w:cs="Arial" w:eastAsia="Arial" w:hAnsi="Arial"/>
          <w:sz w:val="18"/>
          <w:szCs w:val="18"/>
          <w:color w:val="3E5588"/>
        </w:rPr>
        <w:t>Pursuant to the investor rights agreement, we are required to pay all registration expenses, including all registration and filing fees, exchange listing fees, printing expenses, fees and expenses of one counsel selected by the selling stockholders to represent the selling stockholders, state Blue Sky fees and expenses, and the expense of any special audits incident to or required by any such registration, but excluding underwriting discounts, selling commissions, stock transfer taxes applicable to the sale any registrable securities and the fees and expenses of the selling stockholders' own counsel (other than the counsel selected to represent all selling stockholders). If a registration is withdrawn at the request of the stockholders initiating the registration, then the stockholders will bear the expenses of the registration.</w:t>
      </w:r>
    </w:p>
    <w:p>
      <w:pPr>
        <w:spacing w:after="0" w:line="198"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3E5588"/>
        </w:rPr>
        <w:t>The investor rights agreement contains customary cross-indemnification provisions, pursuant to which we are obligated to indemnify the selling stockholders in the event of material misstatements or omissions in the registration statement attributable to us or any violation or alleged violation whether by action or inaction by us under the Securities Act, the Exchange Act, any state securities or Blue Sky law or any rule or regulation promulgated under the Securities Act, the Exchange Act or any state securities or Blue Sky law in connection with such registration statement or the qualification or compliance of the offering, and they are obligated to indemnify us for material misstatements or omissions in the registration statement attributable to them.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Transfer Agent and Registrar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transfer agent and registrar for our common stock is Computershare Trust Company N.A.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Nasdaq Global Market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Our common stock has been approved for listing on the Nasdaq Global Market under the symbol "FULC."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SHARES ELIGIBLE FOR FUTURE SALE</w:t>
      </w:r>
    </w:p>
    <w:p>
      <w:pPr>
        <w:spacing w:after="0" w:line="231"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3E5588"/>
        </w:rPr>
        <w:t>Prior to this offering, there has been no public market for our common stock, and a liquid trading market for our common stock may not develop or be sustained after this offering. Future sales of substantial amounts of our common stock in the public market, including shares issued upon exercise of outstanding options, or the anticipation of these sales, could adversely affect market prices prevailing from time to time and could impair our ability to raise capital through sales of equity securities.</w:t>
      </w:r>
    </w:p>
    <w:p>
      <w:pPr>
        <w:spacing w:after="0" w:line="197" w:lineRule="exact"/>
        <w:rPr>
          <w:sz w:val="20"/>
          <w:szCs w:val="20"/>
          <w:color w:val="auto"/>
        </w:rPr>
      </w:pPr>
    </w:p>
    <w:p>
      <w:pPr>
        <w:jc w:val="both"/>
        <w:ind w:firstLine="354"/>
        <w:spacing w:after="0" w:line="288" w:lineRule="auto"/>
        <w:rPr>
          <w:sz w:val="20"/>
          <w:szCs w:val="20"/>
          <w:color w:val="auto"/>
        </w:rPr>
      </w:pPr>
      <w:r>
        <w:rPr>
          <w:rFonts w:ascii="Arial" w:cs="Arial" w:eastAsia="Arial" w:hAnsi="Arial"/>
          <w:sz w:val="16"/>
          <w:szCs w:val="16"/>
          <w:color w:val="3E5588"/>
        </w:rPr>
        <w:t>Upon the closing of this offering, we will have outstanding 23,340,014 shares of our common stock, based on the 2,768,596 shares of our common stock that were outstanding on June 30, 2019, after giving effect to the issuance of 4,500,000 shares of our common stock in this offering, assuming no exercise by the underwriters of their option to purchase additional shares of our common stock, and the conversion of all outstanding shares of our preferred stock into an aggregate of 16,071,418 shares of our common stock upon the closing of this offering. Of these shares, all shares sold in this offering will be freely tradable without restriction under the Securities Act of 1933, as amended, or the Securities Act, unless purchased by our "affiliates," as that term is defined in Rule 144 under the Securities Act. The remaining 18,840,014 shares of our common stock will be "restricted securities" under Rule 144, and substantially all of these restricted securities will be subject to the 180-day lock-up period under the lock-up agreements as described below. These restricted securities may be sold in the public market upon release or waiver of any applicable lock-up agreements and only if registered or pursuant to an exemption from registration, such as Rule 144 or Rule 701 under the Securities Act.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Rule 144</w:t>
      </w:r>
    </w:p>
    <w:p>
      <w:pPr>
        <w:spacing w:after="0" w:line="231" w:lineRule="exact"/>
        <w:rPr>
          <w:sz w:val="20"/>
          <w:szCs w:val="20"/>
          <w:color w:val="auto"/>
        </w:rPr>
      </w:pPr>
    </w:p>
    <w:p>
      <w:pPr>
        <w:jc w:val="both"/>
        <w:ind w:firstLine="407"/>
        <w:spacing w:after="0" w:line="294" w:lineRule="auto"/>
        <w:rPr>
          <w:sz w:val="20"/>
          <w:szCs w:val="20"/>
          <w:color w:val="auto"/>
        </w:rPr>
      </w:pPr>
      <w:r>
        <w:rPr>
          <w:rFonts w:ascii="Arial" w:cs="Arial" w:eastAsia="Arial" w:hAnsi="Arial"/>
          <w:sz w:val="16"/>
          <w:szCs w:val="16"/>
          <w:color w:val="3E5588"/>
        </w:rPr>
        <w:t>In general, under Rule 144, beginning 90 days after the date of this prospectus, any person who is not our affiliate and has held their shares for at least six months, including the holding period of any prior owner other than one of our affiliates, may sell those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0" w:lineRule="exact"/>
        <w:rPr>
          <w:sz w:val="20"/>
          <w:szCs w:val="20"/>
          <w:color w:val="auto"/>
        </w:rPr>
      </w:pPr>
    </w:p>
    <w:p>
      <w:pPr>
        <w:jc w:val="both"/>
        <w:ind w:right="20" w:firstLine="384"/>
        <w:spacing w:after="0" w:line="259" w:lineRule="auto"/>
        <w:rPr>
          <w:sz w:val="20"/>
          <w:szCs w:val="20"/>
          <w:color w:val="auto"/>
        </w:rPr>
      </w:pPr>
      <w:r>
        <w:rPr>
          <w:rFonts w:ascii="Arial" w:cs="Arial" w:eastAsia="Arial" w:hAnsi="Arial"/>
          <w:sz w:val="18"/>
          <w:szCs w:val="18"/>
          <w:color w:val="3E5588"/>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208" w:lineRule="exact"/>
        <w:rPr>
          <w:sz w:val="20"/>
          <w:szCs w:val="20"/>
          <w:color w:val="auto"/>
        </w:rPr>
      </w:pPr>
    </w:p>
    <w:p>
      <w:pPr>
        <w:ind w:left="1080" w:hanging="532"/>
        <w:spacing w:after="0" w:line="268" w:lineRule="auto"/>
        <w:tabs>
          <w:tab w:leader="none" w:pos="1080" w:val="left"/>
        </w:tabs>
        <w:numPr>
          <w:ilvl w:val="0"/>
          <w:numId w:val="103"/>
        </w:numPr>
        <w:rPr>
          <w:rFonts w:ascii="Arial" w:cs="Arial" w:eastAsia="Arial" w:hAnsi="Arial"/>
          <w:sz w:val="18"/>
          <w:szCs w:val="18"/>
          <w:color w:val="3E5588"/>
        </w:rPr>
      </w:pPr>
      <w:r>
        <w:rPr>
          <w:rFonts w:ascii="Arial" w:cs="Arial" w:eastAsia="Arial" w:hAnsi="Arial"/>
          <w:sz w:val="18"/>
          <w:szCs w:val="18"/>
          <w:color w:val="3E5588"/>
        </w:rPr>
        <w:t>1% of the number of shares of our common stock then outstanding, which will equal approximately 233,400 shares immediately after this offering; and</w:t>
      </w:r>
    </w:p>
    <w:p>
      <w:pPr>
        <w:spacing w:after="0" w:line="21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03"/>
        </w:numPr>
        <w:rPr>
          <w:rFonts w:ascii="Arial" w:cs="Arial" w:eastAsia="Arial" w:hAnsi="Arial"/>
          <w:sz w:val="18"/>
          <w:szCs w:val="18"/>
          <w:color w:val="3E5588"/>
        </w:rPr>
      </w:pPr>
      <w:r>
        <w:rPr>
          <w:rFonts w:ascii="Arial" w:cs="Arial" w:eastAsia="Arial" w:hAnsi="Arial"/>
          <w:sz w:val="18"/>
          <w:szCs w:val="18"/>
          <w:color w:val="3E5588"/>
        </w:rPr>
        <w:t>the average weekly trading volume in our common stock on the Nasdaq Global Market during the four calendar weeks preceding the date of filing of a Notice of Proposed Sale of Securities Pursuant to Rule 144 with respect to the sale.</w:t>
      </w:r>
    </w:p>
    <w:p>
      <w:pPr>
        <w:spacing w:after="0" w:line="186" w:lineRule="exact"/>
        <w:rPr>
          <w:sz w:val="20"/>
          <w:szCs w:val="20"/>
          <w:color w:val="auto"/>
        </w:rPr>
      </w:pPr>
    </w:p>
    <w:p>
      <w:pPr>
        <w:ind w:firstLine="533"/>
        <w:spacing w:after="0" w:line="268" w:lineRule="auto"/>
        <w:rPr>
          <w:sz w:val="20"/>
          <w:szCs w:val="20"/>
          <w:color w:val="auto"/>
        </w:rPr>
      </w:pPr>
      <w:r>
        <w:rPr>
          <w:rFonts w:ascii="Arial" w:cs="Arial" w:eastAsia="Arial" w:hAnsi="Arial"/>
          <w:sz w:val="18"/>
          <w:szCs w:val="18"/>
          <w:color w:val="3E5588"/>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ind w:firstLine="420"/>
        <w:spacing w:after="0" w:line="332" w:lineRule="auto"/>
        <w:rPr>
          <w:sz w:val="20"/>
          <w:szCs w:val="20"/>
          <w:color w:val="auto"/>
        </w:rPr>
      </w:pPr>
      <w:r>
        <w:rPr>
          <w:rFonts w:ascii="Arial" w:cs="Arial" w:eastAsia="Arial" w:hAnsi="Arial"/>
          <w:sz w:val="16"/>
          <w:szCs w:val="16"/>
          <w:color w:val="3E5588"/>
        </w:rPr>
        <w:t>Upon waiver or expiration of the 180-day lock-up period described below, approximately 18,840,014 shares of our common stock will be eligible for sale under Rule 144. We cannot estimate the number of shares of our common stock that our existing stockholders will elect to sell under Rule 144.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Rule 701</w:t>
      </w:r>
    </w:p>
    <w:p>
      <w:pPr>
        <w:spacing w:after="0" w:line="231"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3E5588"/>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various restrictions, including the availability of public information about us, holding period and volume limitations, contained in Rule 144. Substantially all Rule 701 shares are subject to the 180-day lock-up period described below and will be eligible for sale in accordance with Rule 701 upon expiration of the restrictions set forth in those agreements.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Lock-up Agreements</w:t>
      </w:r>
    </w:p>
    <w:p>
      <w:pPr>
        <w:spacing w:after="0" w:line="2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3E5588"/>
        </w:rPr>
        <w:t>We, each of our executive officers and directors and the other holders of substantially all of our outstanding securities have agreed that, without the prior written consent of Morgan Stanley &amp; Co. LLC, BofA Securities, Inc. and SVB Leerink LLC, on behalf of the underwriters, we and they will not, subject to limited exceptions, during the period ending 180 days after the date of this prospectus:</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104"/>
        </w:numPr>
        <w:rPr>
          <w:rFonts w:ascii="Arial" w:cs="Arial" w:eastAsia="Arial" w:hAnsi="Arial"/>
          <w:sz w:val="16"/>
          <w:szCs w:val="16"/>
          <w:color w:val="3E5588"/>
        </w:rPr>
      </w:pPr>
      <w:r>
        <w:rPr>
          <w:rFonts w:ascii="Arial" w:cs="Arial" w:eastAsia="Arial" w:hAnsi="Arial"/>
          <w:sz w:val="16"/>
          <w:szCs w:val="16"/>
          <w:color w:val="3E5588"/>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3E5588"/>
        </w:rPr>
      </w:pPr>
    </w:p>
    <w:p>
      <w:pPr>
        <w:ind w:left="1080" w:right="20" w:hanging="532"/>
        <w:spacing w:after="0" w:line="268" w:lineRule="auto"/>
        <w:tabs>
          <w:tab w:leader="none" w:pos="1080" w:val="left"/>
        </w:tabs>
        <w:numPr>
          <w:ilvl w:val="0"/>
          <w:numId w:val="104"/>
        </w:numPr>
        <w:rPr>
          <w:rFonts w:ascii="Arial" w:cs="Arial" w:eastAsia="Arial" w:hAnsi="Arial"/>
          <w:sz w:val="18"/>
          <w:szCs w:val="18"/>
          <w:color w:val="3E5588"/>
        </w:rPr>
      </w:pPr>
      <w:r>
        <w:rPr>
          <w:rFonts w:ascii="Arial" w:cs="Arial" w:eastAsia="Arial" w:hAnsi="Arial"/>
          <w:sz w:val="18"/>
          <w:szCs w:val="18"/>
          <w:color w:val="3E5588"/>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3E5588"/>
        </w:rPr>
      </w:pPr>
    </w:p>
    <w:p>
      <w:pPr>
        <w:ind w:left="1080" w:hanging="532"/>
        <w:spacing w:after="0" w:line="332" w:lineRule="auto"/>
        <w:tabs>
          <w:tab w:leader="none" w:pos="1080" w:val="left"/>
        </w:tabs>
        <w:numPr>
          <w:ilvl w:val="0"/>
          <w:numId w:val="104"/>
        </w:numPr>
        <w:rPr>
          <w:rFonts w:ascii="Arial" w:cs="Arial" w:eastAsia="Arial" w:hAnsi="Arial"/>
          <w:sz w:val="16"/>
          <w:szCs w:val="16"/>
          <w:color w:val="3E5588"/>
        </w:rPr>
      </w:pPr>
      <w:r>
        <w:rPr>
          <w:rFonts w:ascii="Arial" w:cs="Arial" w:eastAsia="Arial" w:hAnsi="Arial"/>
          <w:sz w:val="16"/>
          <w:szCs w:val="16"/>
          <w:color w:val="3E5588"/>
        </w:rPr>
        <w:t>enter into any swap or other arrangement that transfers to another, in whole or in part, any of the economic consequences of ownership of the common stock, whether any such transaction is to be settled by delivery of common stock or such other securities, in cash or otherwise.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These agreements are subject to certain exceptions, as described in the section of this prospectus entitled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Registration Rights</w:t>
      </w:r>
    </w:p>
    <w:p>
      <w:pPr>
        <w:spacing w:after="0" w:line="231" w:lineRule="exact"/>
        <w:rPr>
          <w:sz w:val="20"/>
          <w:szCs w:val="20"/>
          <w:color w:val="auto"/>
        </w:rPr>
      </w:pPr>
    </w:p>
    <w:p>
      <w:pPr>
        <w:jc w:val="both"/>
        <w:ind w:firstLine="426"/>
        <w:spacing w:after="0" w:line="298" w:lineRule="auto"/>
        <w:rPr>
          <w:sz w:val="20"/>
          <w:szCs w:val="20"/>
          <w:color w:val="auto"/>
        </w:rPr>
      </w:pPr>
      <w:r>
        <w:rPr>
          <w:rFonts w:ascii="Arial" w:cs="Arial" w:eastAsia="Arial" w:hAnsi="Arial"/>
          <w:sz w:val="16"/>
          <w:szCs w:val="16"/>
          <w:color w:val="3E5588"/>
        </w:rPr>
        <w:t>Beginning six months after the closing of this offering, the holders of an aggregate of 16,357,132 shares of our common stock will have rights, subject to certain conditions, to require us to file registration statements covering their shares or to include their shares in registration statements that we may file for ourselves or other stockholders. After registration pursuant to these rights, these shares will become freely tradable without restriction under the Securities Act. See "Description of Capital Stock—Registration Rights" for additional information regarding these registration rights.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Stock Options and Form S-8 Registration Statement</w:t>
      </w:r>
    </w:p>
    <w:p>
      <w:pPr>
        <w:spacing w:after="0" w:line="231" w:lineRule="exact"/>
        <w:rPr>
          <w:sz w:val="20"/>
          <w:szCs w:val="20"/>
          <w:color w:val="auto"/>
        </w:rPr>
      </w:pPr>
    </w:p>
    <w:p>
      <w:pPr>
        <w:jc w:val="both"/>
        <w:ind w:firstLine="341"/>
        <w:spacing w:after="0" w:line="291" w:lineRule="auto"/>
        <w:rPr>
          <w:sz w:val="20"/>
          <w:szCs w:val="20"/>
          <w:color w:val="auto"/>
        </w:rPr>
      </w:pPr>
      <w:r>
        <w:rPr>
          <w:rFonts w:ascii="Arial" w:cs="Arial" w:eastAsia="Arial" w:hAnsi="Arial"/>
          <w:sz w:val="16"/>
          <w:szCs w:val="16"/>
          <w:color w:val="3E5588"/>
        </w:rPr>
        <w:t>As of June 30, 2019, we had outstanding options to purchase an aggregate of 1,592,753 shares of our common stock under the 2016 Plan, of which options to purchase 109,951 shares were vested. Following this offering, we intend to file a registration statement on Form S-8 under the Securities Act to register all of the shares of our common stock subject to outstanding options and reserved for future options and other awards under the 2016 Plan, the 2019 Plan and the 2019 ESPP. See "Executive Compensation—Stock Option and Other Compensation Plans" for additional information regarding these plans. Accordingly, shares of our common stock registered under the registration statements will be available for sale in the open market, subject to Rule 144 volume limitations applicable to affiliates, and subject to any vesting restrictions and lock-up agreements applicable to these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MATERIAL U.S. FEDERAL INCOME AND ESTATE TAX CONSIDERATIONS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FOR NON-U.S. HOLDERS OF COMMON STOCK</w:t>
      </w:r>
    </w:p>
    <w:p>
      <w:pPr>
        <w:spacing w:after="0" w:line="219" w:lineRule="exact"/>
        <w:rPr>
          <w:sz w:val="20"/>
          <w:szCs w:val="20"/>
          <w:color w:val="auto"/>
        </w:rPr>
      </w:pPr>
    </w:p>
    <w:p>
      <w:pPr>
        <w:jc w:val="both"/>
        <w:ind w:firstLine="512"/>
        <w:spacing w:after="0" w:line="259" w:lineRule="auto"/>
        <w:rPr>
          <w:sz w:val="20"/>
          <w:szCs w:val="20"/>
          <w:color w:val="auto"/>
        </w:rPr>
      </w:pPr>
      <w:r>
        <w:rPr>
          <w:rFonts w:ascii="Arial" w:cs="Arial" w:eastAsia="Arial" w:hAnsi="Arial"/>
          <w:sz w:val="18"/>
          <w:szCs w:val="18"/>
          <w:color w:val="3E5588"/>
        </w:rPr>
        <w:t>The following is a discussion of material U.S. federal income and estate tax considerations relating to the ownership and disposition of shares of our common stock acquired in this offering by a non-U.S. holder. For purposes of this discussion, the term "non-U.S. holder" means a beneficial owner (other than a partnership or other pass-through entity) of our common stock that is not, for U.S. federal income tax purposes:</w:t>
      </w:r>
    </w:p>
    <w:p>
      <w:pPr>
        <w:spacing w:after="0" w:line="208"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3E5588"/>
        </w:rPr>
      </w:pPr>
      <w:r>
        <w:rPr>
          <w:rFonts w:ascii="Arial" w:cs="Arial" w:eastAsia="Arial" w:hAnsi="Arial"/>
          <w:sz w:val="18"/>
          <w:szCs w:val="18"/>
          <w:color w:val="3E5588"/>
        </w:rPr>
        <w:t>an individual who is a citizen or resident of the United States;</w:t>
      </w:r>
    </w:p>
    <w:p>
      <w:pPr>
        <w:spacing w:after="0" w:line="252"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05"/>
        </w:numPr>
        <w:rPr>
          <w:rFonts w:ascii="Arial" w:cs="Arial" w:eastAsia="Arial" w:hAnsi="Arial"/>
          <w:sz w:val="18"/>
          <w:szCs w:val="18"/>
          <w:color w:val="3E5588"/>
        </w:rPr>
      </w:pPr>
      <w:r>
        <w:rPr>
          <w:rFonts w:ascii="Arial" w:cs="Arial" w:eastAsia="Arial" w:hAnsi="Arial"/>
          <w:sz w:val="18"/>
          <w:szCs w:val="18"/>
          <w:color w:val="3E5588"/>
        </w:rPr>
        <w:t>a corporation, or other entity treated as a corporation, created or organized in or under the laws of the United States, any state thereof or the District of Columbia;</w:t>
      </w:r>
    </w:p>
    <w:p>
      <w:pPr>
        <w:spacing w:after="0" w:line="199" w:lineRule="exact"/>
        <w:rPr>
          <w:rFonts w:ascii="Arial" w:cs="Arial" w:eastAsia="Arial" w:hAnsi="Arial"/>
          <w:sz w:val="18"/>
          <w:szCs w:val="18"/>
          <w:color w:val="3E5588"/>
        </w:rPr>
      </w:pPr>
    </w:p>
    <w:p>
      <w:pPr>
        <w:ind w:left="1080" w:hanging="532"/>
        <w:spacing w:after="0"/>
        <w:tabs>
          <w:tab w:leader="none" w:pos="1080" w:val="left"/>
        </w:tabs>
        <w:numPr>
          <w:ilvl w:val="0"/>
          <w:numId w:val="105"/>
        </w:numPr>
        <w:rPr>
          <w:rFonts w:ascii="Arial" w:cs="Arial" w:eastAsia="Arial" w:hAnsi="Arial"/>
          <w:sz w:val="18"/>
          <w:szCs w:val="18"/>
          <w:color w:val="3E5588"/>
        </w:rPr>
      </w:pPr>
      <w:r>
        <w:rPr>
          <w:rFonts w:ascii="Arial" w:cs="Arial" w:eastAsia="Arial" w:hAnsi="Arial"/>
          <w:sz w:val="18"/>
          <w:szCs w:val="18"/>
          <w:color w:val="3E5588"/>
        </w:rPr>
        <w:t>an estate the income of which is subject to U.S. federal income taxation regardless of its source; or</w:t>
      </w:r>
    </w:p>
    <w:p>
      <w:pPr>
        <w:spacing w:after="0" w:line="238"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105"/>
        </w:numPr>
        <w:rPr>
          <w:rFonts w:ascii="Arial" w:cs="Arial" w:eastAsia="Arial" w:hAnsi="Arial"/>
          <w:sz w:val="18"/>
          <w:szCs w:val="18"/>
          <w:color w:val="3E5588"/>
        </w:rPr>
      </w:pPr>
      <w:r>
        <w:rPr>
          <w:rFonts w:ascii="Arial" w:cs="Arial" w:eastAsia="Arial" w:hAnsi="Arial"/>
          <w:sz w:val="18"/>
          <w:szCs w:val="18"/>
          <w:color w:val="3E5588"/>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3E5588"/>
        </w:rPr>
        <w:t>This discussion does not address the tax treatment of partnerships or other entities that are pass-through entities for U.S. federal income tax purposes or persons who hold shares of our common stock through partnerships or such other pass-through entities. The tax treatment of a partner in a partnership or other entity that is treated as a pass-through entity for U.S. federal income tax purposes generally will depend upon the status of the partner and the activities of the partnership. A partner in a partnership or other pass-through entity that will hold our common stock should consult his, her or its own tax advisor regarding the tax consequences of the ownership and disposition of our common stock through a partnership or other pass-through entity, as applicable.</w:t>
      </w:r>
    </w:p>
    <w:p>
      <w:pPr>
        <w:spacing w:after="0" w:line="170"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3E5588"/>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change or differing interpretation could alter the tax consequences to non-U.S. holders described in this prospectus. There can be no assurance that the Internal Revenue Service, or the IRS, will not challenge one or more of the tax consequences described in this prospectus.</w:t>
      </w:r>
    </w:p>
    <w:p>
      <w:pPr>
        <w:spacing w:after="0" w:line="197" w:lineRule="exact"/>
        <w:rPr>
          <w:sz w:val="20"/>
          <w:szCs w:val="20"/>
          <w:color w:val="auto"/>
        </w:rPr>
      </w:pPr>
    </w:p>
    <w:p>
      <w:pPr>
        <w:jc w:val="both"/>
        <w:ind w:firstLine="418"/>
        <w:spacing w:after="0" w:line="294" w:lineRule="auto"/>
        <w:rPr>
          <w:sz w:val="20"/>
          <w:szCs w:val="20"/>
          <w:color w:val="auto"/>
        </w:rPr>
      </w:pPr>
      <w:r>
        <w:rPr>
          <w:rFonts w:ascii="Arial" w:cs="Arial" w:eastAsia="Arial" w:hAnsi="Arial"/>
          <w:sz w:val="16"/>
          <w:szCs w:val="16"/>
          <w:color w:val="3E5588"/>
        </w:rPr>
        <w:t>This discussion addresses only non-U.S. holders that hold shares of our common stock as a capital asset (generally, property held for investment) for U.S. federal income tax purposes.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06"/>
        </w:numPr>
        <w:rPr>
          <w:rFonts w:ascii="Arial" w:cs="Arial" w:eastAsia="Arial" w:hAnsi="Arial"/>
          <w:sz w:val="18"/>
          <w:szCs w:val="18"/>
          <w:color w:val="3E5588"/>
        </w:rPr>
      </w:pPr>
      <w:r>
        <w:rPr>
          <w:rFonts w:ascii="Arial" w:cs="Arial" w:eastAsia="Arial" w:hAnsi="Arial"/>
          <w:sz w:val="18"/>
          <w:szCs w:val="18"/>
          <w:color w:val="3E5588"/>
        </w:rPr>
        <w:t>financial institutions;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06"/>
        </w:numPr>
        <w:rPr>
          <w:rFonts w:ascii="Arial" w:cs="Arial" w:eastAsia="Arial" w:hAnsi="Arial"/>
          <w:sz w:val="18"/>
          <w:szCs w:val="18"/>
          <w:color w:val="3E5588"/>
        </w:rPr>
      </w:pPr>
      <w:r>
        <w:rPr>
          <w:rFonts w:ascii="Arial" w:cs="Arial" w:eastAsia="Arial" w:hAnsi="Arial"/>
          <w:sz w:val="18"/>
          <w:szCs w:val="18"/>
          <w:color w:val="3E5588"/>
        </w:rPr>
        <w:t>brokers or dealers in securities;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06"/>
        </w:numPr>
        <w:rPr>
          <w:rFonts w:ascii="Arial" w:cs="Arial" w:eastAsia="Arial" w:hAnsi="Arial"/>
          <w:sz w:val="18"/>
          <w:szCs w:val="18"/>
          <w:color w:val="3E5588"/>
        </w:rPr>
      </w:pPr>
      <w:r>
        <w:rPr>
          <w:rFonts w:ascii="Arial" w:cs="Arial" w:eastAsia="Arial" w:hAnsi="Arial"/>
          <w:sz w:val="18"/>
          <w:szCs w:val="18"/>
          <w:color w:val="3E5588"/>
        </w:rPr>
        <w:t>tax-exempt or governmental organizations;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06"/>
        </w:numPr>
        <w:rPr>
          <w:rFonts w:ascii="Arial" w:cs="Arial" w:eastAsia="Arial" w:hAnsi="Arial"/>
          <w:sz w:val="18"/>
          <w:szCs w:val="18"/>
          <w:color w:val="3E5588"/>
        </w:rPr>
      </w:pPr>
      <w:r>
        <w:rPr>
          <w:rFonts w:ascii="Arial" w:cs="Arial" w:eastAsia="Arial" w:hAnsi="Arial"/>
          <w:sz w:val="18"/>
          <w:szCs w:val="18"/>
          <w:color w:val="3E5588"/>
        </w:rPr>
        <w:t>pension plans;</w:t>
      </w:r>
    </w:p>
    <w:p>
      <w:pPr>
        <w:spacing w:after="0" w:line="238"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106"/>
        </w:numPr>
        <w:rPr>
          <w:rFonts w:ascii="Arial" w:cs="Arial" w:eastAsia="Arial" w:hAnsi="Arial"/>
          <w:sz w:val="18"/>
          <w:szCs w:val="18"/>
          <w:color w:val="3E5588"/>
        </w:rPr>
      </w:pPr>
      <w:r>
        <w:rPr>
          <w:rFonts w:ascii="Arial" w:cs="Arial" w:eastAsia="Arial" w:hAnsi="Arial"/>
          <w:sz w:val="18"/>
          <w:szCs w:val="18"/>
          <w:color w:val="3E5588"/>
        </w:rPr>
        <w:t>owners that hold our common stock as part of a straddle, hedge, conversion transaction, synthetic security or other integrated investment or who have elected to mark securities to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3E5588"/>
        </w:rPr>
      </w:pPr>
      <w:r>
        <w:rPr>
          <w:rFonts w:ascii="Arial" w:cs="Arial" w:eastAsia="Arial" w:hAnsi="Arial"/>
          <w:sz w:val="18"/>
          <w:szCs w:val="18"/>
          <w:color w:val="3E5588"/>
        </w:rPr>
        <w:t>insurance companies;</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07"/>
        </w:numPr>
        <w:rPr>
          <w:rFonts w:ascii="Arial" w:cs="Arial" w:eastAsia="Arial" w:hAnsi="Arial"/>
          <w:sz w:val="18"/>
          <w:szCs w:val="18"/>
          <w:color w:val="3E5588"/>
        </w:rPr>
      </w:pPr>
      <w:r>
        <w:rPr>
          <w:rFonts w:ascii="Arial" w:cs="Arial" w:eastAsia="Arial" w:hAnsi="Arial"/>
          <w:sz w:val="18"/>
          <w:szCs w:val="18"/>
          <w:color w:val="3E5588"/>
        </w:rPr>
        <w:t>controlled foreign corporations;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07"/>
        </w:numPr>
        <w:rPr>
          <w:rFonts w:ascii="Arial" w:cs="Arial" w:eastAsia="Arial" w:hAnsi="Arial"/>
          <w:sz w:val="18"/>
          <w:szCs w:val="18"/>
          <w:color w:val="3E5588"/>
        </w:rPr>
      </w:pPr>
      <w:r>
        <w:rPr>
          <w:rFonts w:ascii="Arial" w:cs="Arial" w:eastAsia="Arial" w:hAnsi="Arial"/>
          <w:sz w:val="18"/>
          <w:szCs w:val="18"/>
          <w:color w:val="3E5588"/>
        </w:rPr>
        <w:t>passive foreign investment companies;</w:t>
      </w:r>
    </w:p>
    <w:p>
      <w:pPr>
        <w:spacing w:after="0" w:line="238" w:lineRule="exact"/>
        <w:rPr>
          <w:rFonts w:ascii="Arial" w:cs="Arial" w:eastAsia="Arial" w:hAnsi="Arial"/>
          <w:sz w:val="18"/>
          <w:szCs w:val="18"/>
          <w:color w:val="3E5588"/>
        </w:rPr>
      </w:pPr>
    </w:p>
    <w:p>
      <w:pPr>
        <w:ind w:left="1080" w:hanging="532"/>
        <w:spacing w:after="0"/>
        <w:tabs>
          <w:tab w:leader="none" w:pos="1080" w:val="left"/>
        </w:tabs>
        <w:numPr>
          <w:ilvl w:val="0"/>
          <w:numId w:val="107"/>
        </w:numPr>
        <w:rPr>
          <w:rFonts w:ascii="Arial" w:cs="Arial" w:eastAsia="Arial" w:hAnsi="Arial"/>
          <w:sz w:val="18"/>
          <w:szCs w:val="18"/>
          <w:color w:val="3E5588"/>
        </w:rPr>
      </w:pPr>
      <w:r>
        <w:rPr>
          <w:rFonts w:ascii="Arial" w:cs="Arial" w:eastAsia="Arial" w:hAnsi="Arial"/>
          <w:sz w:val="18"/>
          <w:szCs w:val="18"/>
          <w:color w:val="3E5588"/>
        </w:rPr>
        <w:t>non-U.S. governments; and</w:t>
      </w:r>
    </w:p>
    <w:p>
      <w:pPr>
        <w:spacing w:after="0" w:line="252" w:lineRule="exact"/>
        <w:rPr>
          <w:rFonts w:ascii="Arial" w:cs="Arial" w:eastAsia="Arial" w:hAnsi="Arial"/>
          <w:sz w:val="18"/>
          <w:szCs w:val="18"/>
          <w:color w:val="3E5588"/>
        </w:rPr>
      </w:pPr>
    </w:p>
    <w:p>
      <w:pPr>
        <w:ind w:left="1080" w:hanging="532"/>
        <w:spacing w:after="0"/>
        <w:tabs>
          <w:tab w:leader="none" w:pos="1080" w:val="left"/>
        </w:tabs>
        <w:numPr>
          <w:ilvl w:val="0"/>
          <w:numId w:val="107"/>
        </w:numPr>
        <w:rPr>
          <w:rFonts w:ascii="Arial" w:cs="Arial" w:eastAsia="Arial" w:hAnsi="Arial"/>
          <w:sz w:val="18"/>
          <w:szCs w:val="18"/>
          <w:color w:val="3E5588"/>
        </w:rPr>
      </w:pPr>
      <w:r>
        <w:rPr>
          <w:rFonts w:ascii="Arial" w:cs="Arial" w:eastAsia="Arial" w:hAnsi="Arial"/>
          <w:sz w:val="18"/>
          <w:szCs w:val="18"/>
          <w:color w:val="3E5588"/>
        </w:rPr>
        <w:t>certain U.S. expatriates.</w:t>
      </w:r>
    </w:p>
    <w:p>
      <w:pPr>
        <w:spacing w:after="0" w:line="219" w:lineRule="exact"/>
        <w:rPr>
          <w:sz w:val="20"/>
          <w:szCs w:val="20"/>
          <w:color w:val="auto"/>
        </w:rPr>
      </w:pPr>
    </w:p>
    <w:p>
      <w:pPr>
        <w:jc w:val="both"/>
        <w:ind w:firstLine="702"/>
        <w:spacing w:after="0" w:line="258" w:lineRule="auto"/>
        <w:rPr>
          <w:sz w:val="20"/>
          <w:szCs w:val="20"/>
          <w:color w:val="auto"/>
        </w:rPr>
      </w:pPr>
      <w:r>
        <w:rPr>
          <w:rFonts w:ascii="Arial" w:cs="Arial" w:eastAsia="Arial" w:hAnsi="Arial"/>
          <w:sz w:val="18"/>
          <w:szCs w:val="18"/>
          <w:b w:val="1"/>
          <w:bCs w:val="1"/>
          <w:color w:val="3E5588"/>
        </w:rPr>
        <w:t>THIS DISCUSSION IS FOR INFORMATION ONLY AND IS NOT, AND IS NOT INTENDED TO BE, LEGAL OR TAX ADVICE. PROSPECTIVE INVESTORS SHOULD CONSULT THEIR OWN TAX ADVISORS REGARDING THE U.S. FEDERAL, STATE, LOCAL, ESTATE AND NON-U.S. INCOME AND OTHER TAX CONSIDERATIONS OF ACQUIRING, HOLDING AND DISPOSING OF OUR COMMON STOCK, INCLUDING THE CONSEQUENCES OF ANY PROPOSED CHANGES IN APPLICABLE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Distributions</w:t>
      </w:r>
    </w:p>
    <w:p>
      <w:pPr>
        <w:spacing w:after="0" w:line="231" w:lineRule="exact"/>
        <w:rPr>
          <w:sz w:val="20"/>
          <w:szCs w:val="20"/>
          <w:color w:val="auto"/>
        </w:rPr>
      </w:pPr>
    </w:p>
    <w:p>
      <w:pPr>
        <w:jc w:val="both"/>
        <w:ind w:firstLine="374"/>
        <w:spacing w:after="0" w:line="254" w:lineRule="auto"/>
        <w:rPr>
          <w:sz w:val="20"/>
          <w:szCs w:val="20"/>
          <w:color w:val="auto"/>
        </w:rPr>
      </w:pPr>
      <w:r>
        <w:rPr>
          <w:rFonts w:ascii="Arial" w:cs="Arial" w:eastAsia="Arial" w:hAnsi="Arial"/>
          <w:sz w:val="18"/>
          <w:szCs w:val="18"/>
          <w:color w:val="3E5588"/>
        </w:rPr>
        <w:t>As discussed under the heading "Dividend Policy" above, we do not expect to pay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the non-U.S. holder's tax basis in the common stock. Any remaining excess will be treated as capital gain, subject to the tax treatment described below under the heading "Gain on Sale, Exchange or Other Taxable Disposition of Our Common Stock."</w:t>
      </w:r>
    </w:p>
    <w:p>
      <w:pPr>
        <w:spacing w:after="0" w:line="198" w:lineRule="exact"/>
        <w:rPr>
          <w:sz w:val="20"/>
          <w:szCs w:val="20"/>
          <w:color w:val="auto"/>
        </w:rPr>
      </w:pPr>
    </w:p>
    <w:p>
      <w:pPr>
        <w:jc w:val="both"/>
        <w:ind w:firstLine="413"/>
        <w:spacing w:after="0" w:line="289" w:lineRule="auto"/>
        <w:rPr>
          <w:sz w:val="20"/>
          <w:szCs w:val="20"/>
          <w:color w:val="auto"/>
        </w:rPr>
      </w:pPr>
      <w:r>
        <w:rPr>
          <w:rFonts w:ascii="Arial" w:cs="Arial" w:eastAsia="Arial" w:hAnsi="Arial"/>
          <w:sz w:val="16"/>
          <w:szCs w:val="16"/>
          <w:color w:val="3E5588"/>
        </w:rPr>
        <w:t>Subject to the discussions below under the headings "Information Reporting and Backup Withholding" and "FATCA", dividends paid to a non-U.S. holder generally will be subject to withholding of U.S. federal income tax at a 30% rate or such lower rate as may be specified by an applicable income tax treaty between the United States and such holder's country of residence. 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A non-U.S. holder that is eligible for a reduced rate of U.S. withholding tax under an income tax treaty may obtain a refund or credit of any excess amounts withheld by timely filing an appropriate claim with the IRS. Non-U.S. holders are urged to consult their own tax advisors regarding their entitlement to benefits under a relevant income tax treaty and the specific methods available to them to satisfy these requirements.</w:t>
      </w:r>
    </w:p>
    <w:p>
      <w:pPr>
        <w:spacing w:after="0" w:line="172" w:lineRule="exact"/>
        <w:rPr>
          <w:sz w:val="20"/>
          <w:szCs w:val="20"/>
          <w:color w:val="auto"/>
        </w:rPr>
      </w:pPr>
    </w:p>
    <w:p>
      <w:pPr>
        <w:jc w:val="both"/>
        <w:ind w:firstLine="422"/>
        <w:spacing w:after="0" w:line="289" w:lineRule="auto"/>
        <w:rPr>
          <w:sz w:val="20"/>
          <w:szCs w:val="20"/>
          <w:color w:val="auto"/>
        </w:rPr>
      </w:pPr>
      <w:r>
        <w:rPr>
          <w:rFonts w:ascii="Arial" w:cs="Arial" w:eastAsia="Arial" w:hAnsi="Arial"/>
          <w:sz w:val="16"/>
          <w:szCs w:val="16"/>
          <w:color w:val="3E5588"/>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properly executed IRS Form W-8ECI (or applicable successor form) certifying that the dividends are effectively connected with the non-U.S. holder's conduct of a trade or business within the United States). However, such U.S. effectively connected income is taxed on a net income basis at the same U.S. federal income tax rates applicable to U.S. persons (as defined in the Code). Any U.S. effectively connected income received by a non-U.S. holder that is classified as a 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Gain on Sale, Exchange or Other Taxable Disposition of Our Common Stock</w:t>
      </w:r>
    </w:p>
    <w:p>
      <w:pPr>
        <w:spacing w:after="0" w:line="231"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3E5588"/>
        </w:rPr>
        <w:t>A non-U.S. holder generally will not be subject to U.S. federal income tax on gain recognized on the non-U.S. holder's sale, exchange or other disposition of our common stock unless:</w:t>
      </w:r>
    </w:p>
    <w:p>
      <w:pPr>
        <w:spacing w:after="0" w:line="199" w:lineRule="exact"/>
        <w:rPr>
          <w:sz w:val="20"/>
          <w:szCs w:val="20"/>
          <w:color w:val="auto"/>
        </w:rPr>
      </w:pPr>
    </w:p>
    <w:p>
      <w:pPr>
        <w:jc w:val="both"/>
        <w:ind w:left="1080" w:hanging="532"/>
        <w:spacing w:after="0" w:line="294" w:lineRule="auto"/>
        <w:tabs>
          <w:tab w:leader="none" w:pos="1080" w:val="left"/>
        </w:tabs>
        <w:numPr>
          <w:ilvl w:val="0"/>
          <w:numId w:val="108"/>
        </w:numPr>
        <w:rPr>
          <w:rFonts w:ascii="Arial" w:cs="Arial" w:eastAsia="Arial" w:hAnsi="Arial"/>
          <w:sz w:val="16"/>
          <w:szCs w:val="16"/>
          <w:color w:val="3E5588"/>
        </w:rPr>
      </w:pPr>
      <w:r>
        <w:rPr>
          <w:rFonts w:ascii="Arial" w:cs="Arial" w:eastAsia="Arial" w:hAnsi="Arial"/>
          <w:sz w:val="16"/>
          <w:szCs w:val="16"/>
          <w:color w:val="3E5588"/>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which case, the non-U.S. holder generally will be taxed on a net income basis at the U.S. federal income tax rates applicable to U.S. persons (as defined in the Code) and, if the non-U.S. holder is a foreign corporation, an additional branch profits tax at a rate of 30% (or a lower rate as may be specified by an applicable income tax treaty between the United States and such holder's country of residence) may also apply;</w:t>
      </w:r>
    </w:p>
    <w:p>
      <w:pPr>
        <w:spacing w:after="0" w:line="196" w:lineRule="exact"/>
        <w:rPr>
          <w:rFonts w:ascii="Arial" w:cs="Arial" w:eastAsia="Arial" w:hAnsi="Arial"/>
          <w:sz w:val="16"/>
          <w:szCs w:val="16"/>
          <w:color w:val="3E5588"/>
        </w:rPr>
      </w:pPr>
    </w:p>
    <w:p>
      <w:pPr>
        <w:jc w:val="both"/>
        <w:ind w:left="1080" w:hanging="532"/>
        <w:spacing w:after="0" w:line="256" w:lineRule="auto"/>
        <w:tabs>
          <w:tab w:leader="none" w:pos="1080" w:val="left"/>
        </w:tabs>
        <w:numPr>
          <w:ilvl w:val="0"/>
          <w:numId w:val="108"/>
        </w:numPr>
        <w:rPr>
          <w:rFonts w:ascii="Arial" w:cs="Arial" w:eastAsia="Arial" w:hAnsi="Arial"/>
          <w:sz w:val="18"/>
          <w:szCs w:val="18"/>
          <w:color w:val="3E5588"/>
        </w:rPr>
      </w:pPr>
      <w:r>
        <w:rPr>
          <w:rFonts w:ascii="Arial" w:cs="Arial" w:eastAsia="Arial" w:hAnsi="Arial"/>
          <w:sz w:val="18"/>
          <w:szCs w:val="18"/>
          <w:color w:val="3E5588"/>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3E5588"/>
        </w:rPr>
      </w:pPr>
    </w:p>
    <w:p>
      <w:pPr>
        <w:jc w:val="both"/>
        <w:ind w:left="1080" w:hanging="532"/>
        <w:spacing w:after="0" w:line="286" w:lineRule="auto"/>
        <w:tabs>
          <w:tab w:leader="none" w:pos="1080" w:val="left"/>
        </w:tabs>
        <w:numPr>
          <w:ilvl w:val="0"/>
          <w:numId w:val="108"/>
        </w:numPr>
        <w:rPr>
          <w:rFonts w:ascii="Arial" w:cs="Arial" w:eastAsia="Arial" w:hAnsi="Arial"/>
          <w:sz w:val="16"/>
          <w:szCs w:val="16"/>
          <w:color w:val="3E5588"/>
        </w:rPr>
      </w:pPr>
      <w:r>
        <w:rPr>
          <w:rFonts w:ascii="Arial" w:cs="Arial" w:eastAsia="Arial" w:hAnsi="Arial"/>
          <w:sz w:val="16"/>
          <w:szCs w:val="16"/>
          <w:color w:val="3E5588"/>
        </w:rPr>
        <w:t>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If we are determined to be a "U.S. real property holding corporation" and the foregoing exception does not apply, then the non-U.S. holder generally will be taxed on its net gain derived from the disposition at the U.S. federal income tax rates applicable to U.S. persons (as defined in the Code). Generally, a corporation is a "U.S. real property holding corporation" only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for U.S. federal income tax purposes, or that we are likely to become one in the future. No assurance can be provided that our common stock will be regularly traded on an established securities market for purposes of the rule described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U.S. Federal Estate Tax</w:t>
      </w:r>
    </w:p>
    <w:p>
      <w:pPr>
        <w:spacing w:after="0" w:line="231"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3E5588"/>
        </w:rPr>
        <w:t>Shares of our common stock that are owned or treated as owned by an individual who is not a citizen or resident of the United States (as specially defined for U.S. federal estate tax purposes) at the time of such individual's death are considered U.S.-situs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Information Reporting and Backup Withholding</w:t>
      </w:r>
    </w:p>
    <w:p>
      <w:pPr>
        <w:spacing w:after="0" w:line="231" w:lineRule="exact"/>
        <w:rPr>
          <w:sz w:val="20"/>
          <w:szCs w:val="20"/>
          <w:color w:val="auto"/>
        </w:rPr>
      </w:pPr>
    </w:p>
    <w:p>
      <w:pPr>
        <w:jc w:val="both"/>
        <w:ind w:firstLine="387"/>
        <w:spacing w:after="0" w:line="298" w:lineRule="auto"/>
        <w:rPr>
          <w:sz w:val="20"/>
          <w:szCs w:val="20"/>
          <w:color w:val="auto"/>
        </w:rPr>
      </w:pPr>
      <w:r>
        <w:rPr>
          <w:rFonts w:ascii="Arial" w:cs="Arial" w:eastAsia="Arial" w:hAnsi="Arial"/>
          <w:sz w:val="16"/>
          <w:szCs w:val="16"/>
          <w:color w:val="3E5588"/>
        </w:rPr>
        <w:t>We must report annually to the IRS and to each non-U.S. holder the gross amount of the distributions on our common stock paid to such holder and the tax withheld, if any, with respect to such distributions. Non-U.S. holders generally will have to comply with specific certification procedures to establish that the holder is not a U.S. person (as defined in the Code) in order to avoid backup withholding at the applicable rate with respect to dividends on our common stock. Generally, a non-U.S. holder will comply with such procedures if it provides a properly executed IRS Form W-8BEN or W-8BEN-E (or other applicable IRS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E5588"/>
        </w:rPr>
        <w:t>Form W-8), or otherwise meets documentary evidence requirements for establishing that it is a non-U.S. holder, or otherwise establishes an exemption. Dividends paid to non-U.S. holders subject to withholding of U.S. federal income tax, as described above under the heading "—Distributions," will generally be exempt from U.S. backup withholding.</w:t>
      </w:r>
    </w:p>
    <w:p>
      <w:pPr>
        <w:spacing w:after="0" w:line="194" w:lineRule="exact"/>
        <w:rPr>
          <w:sz w:val="20"/>
          <w:szCs w:val="20"/>
          <w:color w:val="auto"/>
        </w:rPr>
      </w:pPr>
    </w:p>
    <w:p>
      <w:pPr>
        <w:jc w:val="both"/>
        <w:ind w:firstLine="361"/>
        <w:spacing w:after="0" w:line="253" w:lineRule="auto"/>
        <w:rPr>
          <w:sz w:val="20"/>
          <w:szCs w:val="20"/>
          <w:color w:val="auto"/>
        </w:rPr>
      </w:pPr>
      <w:r>
        <w:rPr>
          <w:rFonts w:ascii="Arial" w:cs="Arial" w:eastAsia="Arial" w:hAnsi="Arial"/>
          <w:sz w:val="18"/>
          <w:szCs w:val="18"/>
          <w:color w:val="3E5588"/>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201"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3E5588"/>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jc w:val="both"/>
        <w:ind w:right="20" w:firstLine="385"/>
        <w:spacing w:after="0" w:line="332" w:lineRule="auto"/>
        <w:rPr>
          <w:sz w:val="20"/>
          <w:szCs w:val="20"/>
          <w:color w:val="auto"/>
        </w:rPr>
      </w:pPr>
      <w:r>
        <w:rPr>
          <w:rFonts w:ascii="Arial" w:cs="Arial" w:eastAsia="Arial" w:hAnsi="Arial"/>
          <w:sz w:val="16"/>
          <w:szCs w:val="16"/>
          <w:color w:val="3E5588"/>
        </w:rPr>
        <w:t>Backup withholding is not an additional tax. Rather,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FATCA</w:t>
      </w:r>
    </w:p>
    <w:p>
      <w:pPr>
        <w:spacing w:after="0" w:line="231"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3E5588"/>
        </w:rPr>
        <w:t>Provisions of the Code commonly referred to as the Foreign Account Tax Compliance Act, or FATCA, generally impose a 30% withholding tax on dividends on, and, subject to the discussion below with respect to proposed U.S. Treasury Regulations excluding gross proceeds from such required withholding, gross proceeds from the sale or other disposition of, our common stock if paid to a foreign entity unless (i) if the foreign entity is a "foreign financial institution," the foreign entity undertakes certain due diligence, reporting, withholding and certification obligations, (ii) if the foreign entity is not a "foreign financial institution," the foreign entity identifies certain of its U.S. investors, if any, or (iii) the foreign entity is otherwise excepted under FATCA.</w:t>
      </w:r>
    </w:p>
    <w:p>
      <w:pPr>
        <w:spacing w:after="0" w:line="170"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8"/>
          <w:szCs w:val="18"/>
          <w:color w:val="3E5588"/>
        </w:rPr>
        <w:t>Withholding under FATCA generally applies to payments of dividends on our common stock. While withholding under FATCA may apply to payments of gross proceeds from a sale or other disposition of our common stock, under recently proposed U.S. Treasury Regulations withholding on payments of gross proceeds is not required. Although such regulations are not final, applicable withholding agents may rely on the proposed regulations until final regulations are issued.</w:t>
      </w:r>
    </w:p>
    <w:p>
      <w:pPr>
        <w:spacing w:after="0" w:line="19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3E5588"/>
        </w:rPr>
        <w:t>If withholding under FATCA is required on any payment related to our common stock,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 requirements described in this section. Non-U.S. holders should consult their own tax advisors regarding the possible implications of FATCA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92" w:lineRule="exact"/>
        <w:rPr>
          <w:sz w:val="20"/>
          <w:szCs w:val="20"/>
          <w:color w:val="auto"/>
        </w:rPr>
      </w:pPr>
    </w:p>
    <w:p>
      <w:pPr>
        <w:jc w:val="both"/>
        <w:ind w:firstLine="392"/>
        <w:spacing w:after="0" w:line="339" w:lineRule="auto"/>
        <w:rPr>
          <w:sz w:val="20"/>
          <w:szCs w:val="20"/>
          <w:color w:val="auto"/>
        </w:rPr>
      </w:pPr>
      <w:r>
        <w:rPr>
          <w:rFonts w:ascii="Arial" w:cs="Arial" w:eastAsia="Arial" w:hAnsi="Arial"/>
          <w:sz w:val="15"/>
          <w:szCs w:val="15"/>
          <w:b w:val="1"/>
          <w:bCs w:val="1"/>
          <w:color w:val="3E5588"/>
        </w:rPr>
        <w:t>The preceding discussion of material U.S. federal tax considerations is for information only. It is not, and is not intended to be, legal or tax advice. Prospective investors should consult their own tax advisors regarding the particular U.S. federal, state, local, estate and non-U.S. income and other tax consequences of acquiring, holding and disposing of our common stock, including the consequences of any proposed changes in applicable laws.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UNDERWRITERS</w:t>
      </w:r>
    </w:p>
    <w:p>
      <w:pPr>
        <w:spacing w:after="0" w:line="231" w:lineRule="exact"/>
        <w:rPr>
          <w:sz w:val="20"/>
          <w:szCs w:val="20"/>
          <w:color w:val="auto"/>
        </w:rPr>
      </w:pPr>
    </w:p>
    <w:p>
      <w:pPr>
        <w:jc w:val="both"/>
        <w:ind w:right="20" w:firstLine="362"/>
        <w:spacing w:after="0" w:line="268" w:lineRule="auto"/>
        <w:rPr>
          <w:sz w:val="20"/>
          <w:szCs w:val="20"/>
          <w:color w:val="auto"/>
        </w:rPr>
      </w:pPr>
      <w:r>
        <w:rPr>
          <w:rFonts w:ascii="Arial" w:cs="Arial" w:eastAsia="Arial" w:hAnsi="Arial"/>
          <w:sz w:val="18"/>
          <w:szCs w:val="18"/>
          <w:color w:val="3E5588"/>
        </w:rPr>
        <w:t>Under the terms and subject to the conditions in an underwriting agreement dated the date of this prospectus, the underwriters named below severally agreed to purchase, and we agreed to sell to them, severally, the number of shares indicated below:</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gridSpan w:val="3"/>
          </w:tcPr>
          <w:p>
            <w:pPr>
              <w:spacing w:after="0"/>
              <w:rPr>
                <w:sz w:val="20"/>
                <w:szCs w:val="20"/>
                <w:color w:val="auto"/>
              </w:rPr>
            </w:pPr>
            <w:r>
              <w:rPr>
                <w:rFonts w:ascii="Arial" w:cs="Arial" w:eastAsia="Arial" w:hAnsi="Arial"/>
                <w:sz w:val="14"/>
                <w:szCs w:val="14"/>
                <w:b w:val="1"/>
                <w:bCs w:val="1"/>
                <w:color w:val="3E5588"/>
              </w:rPr>
              <w:t>Name</w:t>
            </w: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3E5588"/>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3E5588"/>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60" w:type="dxa"/>
            <w:vAlign w:val="bottom"/>
            <w:shd w:val="clear" w:color="auto" w:fill="3E55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Morgan Stanley &amp; Co. LLC</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1,800,000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3E5588"/>
              </w:rPr>
              <w:t>BofA Securities, Inc.</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3E5588"/>
              </w:rPr>
              <w:t>1,530,000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SVB Leerink LLC</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1,170,000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gridSpan w:val="2"/>
          </w:tcPr>
          <w:p>
            <w:pPr>
              <w:ind w:left="160"/>
              <w:spacing w:after="0"/>
              <w:rPr>
                <w:sz w:val="20"/>
                <w:szCs w:val="20"/>
                <w:color w:val="auto"/>
              </w:rPr>
            </w:pPr>
            <w:r>
              <w:rPr>
                <w:rFonts w:ascii="Arial" w:cs="Arial" w:eastAsia="Arial" w:hAnsi="Arial"/>
                <w:sz w:val="18"/>
                <w:szCs w:val="18"/>
                <w:color w:val="3E5588"/>
              </w:rPr>
              <w:t>Total:</w:t>
            </w:r>
          </w:p>
        </w:tc>
        <w:tc>
          <w:tcPr>
            <w:tcW w:w="12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4,500,000</w:t>
            </w:r>
          </w:p>
        </w:tc>
        <w:tc>
          <w:tcPr>
            <w:tcW w:w="20" w:type="dxa"/>
            <w:vAlign w:val="bottom"/>
            <w:tcBorders>
              <w:bottom w:val="single" w:sz="8" w:color="3E5588"/>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60" w:type="dxa"/>
            <w:vAlign w:val="bottom"/>
            <w:tcBorders>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3E5588"/>
        </w:rPr>
        <w:t>The underwriters are collectively referred to as the "underwriters".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be required to take or pay for the shares covered by the underwriters' over-allotment option described below.</w:t>
      </w:r>
    </w:p>
    <w:p>
      <w:pPr>
        <w:spacing w:after="0" w:line="170" w:lineRule="exact"/>
        <w:rPr>
          <w:sz w:val="20"/>
          <w:szCs w:val="20"/>
          <w:color w:val="auto"/>
        </w:rPr>
      </w:pPr>
    </w:p>
    <w:p>
      <w:pPr>
        <w:jc w:val="both"/>
        <w:ind w:firstLine="453"/>
        <w:spacing w:after="0" w:line="306" w:lineRule="auto"/>
        <w:rPr>
          <w:sz w:val="20"/>
          <w:szCs w:val="20"/>
          <w:color w:val="auto"/>
        </w:rPr>
      </w:pPr>
      <w:r>
        <w:rPr>
          <w:rFonts w:ascii="Arial" w:cs="Arial" w:eastAsia="Arial" w:hAnsi="Arial"/>
          <w:sz w:val="16"/>
          <w:szCs w:val="16"/>
          <w:color w:val="3E5588"/>
        </w:rPr>
        <w:t>The underwriters initially propose to offer part of the shares of common stock directly to the public at the offering price listed on the cover page of this prospectus and part to certain dealers at a price that represents a concession not in excess of $0.672 per share under the public offering price. After the initial offering of the shares of common stock, the offering price and other selling terms may from time to time be varied by the underwriters.</w:t>
      </w:r>
    </w:p>
    <w:p>
      <w:pPr>
        <w:spacing w:after="0" w:line="161" w:lineRule="exact"/>
        <w:rPr>
          <w:sz w:val="20"/>
          <w:szCs w:val="20"/>
          <w:color w:val="auto"/>
        </w:rPr>
      </w:pPr>
    </w:p>
    <w:p>
      <w:pPr>
        <w:jc w:val="both"/>
        <w:ind w:firstLine="472"/>
        <w:spacing w:after="0" w:line="291" w:lineRule="auto"/>
        <w:rPr>
          <w:sz w:val="20"/>
          <w:szCs w:val="20"/>
          <w:color w:val="auto"/>
        </w:rPr>
      </w:pPr>
      <w:r>
        <w:rPr>
          <w:rFonts w:ascii="Arial" w:cs="Arial" w:eastAsia="Arial" w:hAnsi="Arial"/>
          <w:sz w:val="16"/>
          <w:szCs w:val="16"/>
          <w:color w:val="3E5588"/>
        </w:rPr>
        <w:t>We have granted to the underwriters an option, exercisable for 30 days from the date of this prospectus, to purchase up to 675,000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4" w:lineRule="exact"/>
        <w:rPr>
          <w:sz w:val="20"/>
          <w:szCs w:val="20"/>
          <w:color w:val="auto"/>
        </w:rPr>
      </w:pPr>
    </w:p>
    <w:p>
      <w:pPr>
        <w:jc w:val="both"/>
        <w:ind w:right="20" w:firstLine="370"/>
        <w:spacing w:after="0" w:line="370" w:lineRule="auto"/>
        <w:rPr>
          <w:sz w:val="20"/>
          <w:szCs w:val="20"/>
          <w:color w:val="auto"/>
        </w:rPr>
      </w:pPr>
      <w:r>
        <w:rPr>
          <w:rFonts w:ascii="Arial" w:cs="Arial" w:eastAsia="Arial" w:hAnsi="Arial"/>
          <w:sz w:val="15"/>
          <w:szCs w:val="15"/>
          <w:color w:val="3E5588"/>
        </w:rPr>
        <w:t>The following table shows the per share and total public offering price, underwriting discounts and commissions, and proceeds before expenses to us. These amounts are shown assuming both no exercise and full exercise of the underwriters' option to purchase up to an additional 675,000 shares of common stock.</w:t>
      </w:r>
    </w:p>
    <w:p>
      <w:pPr>
        <w:spacing w:after="0" w:line="16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3E5588"/>
              </w:rPr>
              <w:t>Per</w:t>
            </w:r>
          </w:p>
        </w:tc>
        <w:tc>
          <w:tcPr>
            <w:tcW w:w="160" w:type="dxa"/>
            <w:vAlign w:val="bottom"/>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1160" w:type="dxa"/>
            <w:vAlign w:val="bottom"/>
            <w:tcBorders>
              <w:bottom w:val="single" w:sz="8" w:color="3E5588"/>
            </w:tcBorders>
            <w:gridSpan w:val="4"/>
          </w:tcPr>
          <w:p>
            <w:pPr>
              <w:jc w:val="right"/>
              <w:ind w:right="80"/>
              <w:spacing w:after="0"/>
              <w:rPr>
                <w:sz w:val="20"/>
                <w:szCs w:val="20"/>
                <w:color w:val="auto"/>
              </w:rPr>
            </w:pPr>
            <w:r>
              <w:rPr>
                <w:rFonts w:ascii="Arial" w:cs="Arial" w:eastAsia="Arial" w:hAnsi="Arial"/>
                <w:sz w:val="14"/>
                <w:szCs w:val="14"/>
                <w:b w:val="1"/>
                <w:bCs w:val="1"/>
                <w:color w:val="3E5588"/>
              </w:rPr>
              <w:t>Total</w:t>
            </w:r>
          </w:p>
        </w:tc>
        <w:tc>
          <w:tcPr>
            <w:tcW w:w="860" w:type="dxa"/>
            <w:vAlign w:val="bottom"/>
            <w:tcBorders>
              <w:bottom w:val="single" w:sz="8" w:color="3E5588"/>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3E5588"/>
                <w:w w:val="85"/>
              </w:rPr>
              <w:t>No</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3E5588"/>
                <w:w w:val="96"/>
              </w:rPr>
              <w:t>Full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520" w:type="dxa"/>
            <w:vAlign w:val="bottom"/>
            <w:tcBorders>
              <w:bottom w:val="single" w:sz="8" w:color="3E5588"/>
            </w:tcBorders>
          </w:tcPr>
          <w:p>
            <w:pPr>
              <w:jc w:val="right"/>
              <w:ind w:right="80"/>
              <w:spacing w:after="0"/>
              <w:rPr>
                <w:sz w:val="20"/>
                <w:szCs w:val="20"/>
                <w:color w:val="auto"/>
              </w:rPr>
            </w:pPr>
            <w:r>
              <w:rPr>
                <w:rFonts w:ascii="Arial" w:cs="Arial" w:eastAsia="Arial" w:hAnsi="Arial"/>
                <w:sz w:val="14"/>
                <w:szCs w:val="14"/>
                <w:b w:val="1"/>
                <w:bCs w:val="1"/>
                <w:color w:val="3E5588"/>
                <w:w w:val="87"/>
              </w:rPr>
              <w:t>Share</w:t>
            </w:r>
          </w:p>
        </w:tc>
        <w:tc>
          <w:tcPr>
            <w:tcW w:w="160" w:type="dxa"/>
            <w:vAlign w:val="bottom"/>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840" w:type="dxa"/>
            <w:vAlign w:val="bottom"/>
            <w:tcBorders>
              <w:bottom w:val="single" w:sz="8" w:color="3E5588"/>
            </w:tcBorders>
          </w:tcPr>
          <w:p>
            <w:pPr>
              <w:jc w:val="center"/>
              <w:ind w:right="82"/>
              <w:spacing w:after="0"/>
              <w:rPr>
                <w:sz w:val="20"/>
                <w:szCs w:val="20"/>
                <w:color w:val="auto"/>
              </w:rPr>
            </w:pPr>
            <w:r>
              <w:rPr>
                <w:rFonts w:ascii="Arial" w:cs="Arial" w:eastAsia="Arial" w:hAnsi="Arial"/>
                <w:sz w:val="14"/>
                <w:szCs w:val="14"/>
                <w:b w:val="1"/>
                <w:bCs w:val="1"/>
                <w:color w:val="3E5588"/>
                <w:w w:val="83"/>
              </w:rPr>
              <w:t>Exercise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center"/>
              <w:ind w:right="60"/>
              <w:spacing w:after="0"/>
              <w:rPr>
                <w:sz w:val="20"/>
                <w:szCs w:val="20"/>
                <w:color w:val="auto"/>
              </w:rPr>
            </w:pPr>
            <w:r>
              <w:rPr>
                <w:rFonts w:ascii="Arial" w:cs="Arial" w:eastAsia="Arial" w:hAnsi="Arial"/>
                <w:sz w:val="14"/>
                <w:szCs w:val="14"/>
                <w:b w:val="1"/>
                <w:bCs w:val="1"/>
                <w:color w:val="3E5588"/>
                <w:w w:val="83"/>
              </w:rPr>
              <w:t>Exercise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16.00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w w:val="90"/>
              </w:rPr>
              <w:t>72,000,000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w w:val="93"/>
              </w:rPr>
              <w:t>82,800,000</w:t>
            </w:r>
          </w:p>
        </w:tc>
        <w:tc>
          <w:tcPr>
            <w:tcW w:w="0" w:type="dxa"/>
            <w:vAlign w:val="bottom"/>
          </w:tcPr>
          <w:p>
            <w:pPr>
              <w:spacing w:after="0"/>
              <w:rPr>
                <w:sz w:val="1"/>
                <w:szCs w:val="1"/>
                <w:color w:val="auto"/>
              </w:rPr>
            </w:pPr>
          </w:p>
        </w:tc>
      </w:tr>
      <w:tr>
        <w:trPr>
          <w:trHeight w:val="257"/>
        </w:trPr>
        <w:tc>
          <w:tcPr>
            <w:tcW w:w="4860" w:type="dxa"/>
            <w:vAlign w:val="bottom"/>
            <w:gridSpan w:val="2"/>
          </w:tcPr>
          <w:p>
            <w:pPr>
              <w:spacing w:after="0" w:line="256" w:lineRule="exact"/>
              <w:rPr>
                <w:sz w:val="20"/>
                <w:szCs w:val="20"/>
                <w:color w:val="auto"/>
              </w:rPr>
            </w:pPr>
            <w:r>
              <w:rPr>
                <w:rFonts w:ascii="Arial" w:cs="Arial" w:eastAsia="Arial" w:hAnsi="Arial"/>
                <w:sz w:val="18"/>
                <w:szCs w:val="18"/>
                <w:color w:val="3E5588"/>
              </w:rPr>
              <w:t>Underwriting discounts and commissions to be paid by us</w:t>
            </w:r>
            <w:r>
              <w:rPr>
                <w:rFonts w:ascii="Arial" w:cs="Arial" w:eastAsia="Arial" w:hAnsi="Arial"/>
                <w:sz w:val="29"/>
                <w:szCs w:val="29"/>
                <w:color w:val="3E5588"/>
                <w:vertAlign w:val="superscript"/>
              </w:rPr>
              <w:t>(1)</w:t>
            </w: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3E5588"/>
              </w:rPr>
              <w:t>1.12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3E5588"/>
              </w:rPr>
              <w:t>5,040,000</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5,796,000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52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840" w:type="dxa"/>
            <w:vAlign w:val="bottom"/>
            <w:shd w:val="clear" w:color="auto" w:fill="3E55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14.88</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w w:val="90"/>
              </w:rPr>
              <w:t>66,960,000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w w:val="93"/>
              </w:rPr>
              <w:t>77,004,000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840" w:type="dxa"/>
            <w:vAlign w:val="bottom"/>
            <w:tcBorders>
              <w:top w:val="single" w:sz="8" w:color="3E5588"/>
              <w:bottom w:val="single" w:sz="8" w:color="3E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820" w:type="dxa"/>
            <w:vAlign w:val="bottom"/>
            <w:tcBorders>
              <w:bottom w:val="single" w:sz="8" w:color="3E5588"/>
            </w:tcBorders>
          </w:tcPr>
          <w:p>
            <w:pPr>
              <w:spacing w:after="0"/>
              <w:rPr>
                <w:sz w:val="7"/>
                <w:szCs w:val="7"/>
                <w:color w:val="auto"/>
              </w:rPr>
            </w:pPr>
          </w:p>
        </w:tc>
        <w:tc>
          <w:tcPr>
            <w:tcW w:w="4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09"/>
        </w:numPr>
        <w:rPr>
          <w:rFonts w:ascii="Arial" w:cs="Arial" w:eastAsia="Arial" w:hAnsi="Arial"/>
          <w:sz w:val="18"/>
          <w:szCs w:val="18"/>
          <w:color w:val="3E5588"/>
        </w:rPr>
      </w:pPr>
      <w:r>
        <w:rPr>
          <w:rFonts w:ascii="Arial" w:cs="Arial" w:eastAsia="Arial" w:hAnsi="Arial"/>
          <w:sz w:val="18"/>
          <w:szCs w:val="18"/>
          <w:color w:val="3E5588"/>
        </w:rPr>
        <w:t>Does not include an advisory fee of $200,000 payable by us upon consummation of the offering.</w:t>
      </w:r>
    </w:p>
    <w:p>
      <w:pPr>
        <w:spacing w:after="0" w:line="225" w:lineRule="exact"/>
        <w:rPr>
          <w:rFonts w:ascii="Arial" w:cs="Arial" w:eastAsia="Arial" w:hAnsi="Arial"/>
          <w:sz w:val="18"/>
          <w:szCs w:val="18"/>
          <w:color w:val="3E5588"/>
        </w:rPr>
      </w:pPr>
    </w:p>
    <w:p>
      <w:pPr>
        <w:ind w:left="5580"/>
        <w:spacing w:after="0"/>
        <w:rPr>
          <w:rFonts w:ascii="Arial" w:cs="Arial" w:eastAsia="Arial" w:hAnsi="Arial"/>
          <w:sz w:val="18"/>
          <w:szCs w:val="18"/>
          <w:color w:val="3E5588"/>
        </w:rPr>
      </w:pPr>
      <w:r>
        <w:rPr>
          <w:rFonts w:ascii="Arial" w:cs="Arial" w:eastAsia="Arial" w:hAnsi="Arial"/>
          <w:sz w:val="18"/>
          <w:szCs w:val="18"/>
          <w:color w:val="3E5588"/>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3E5588"/>
        </w:rPr>
        <w:t>The estimated offering expenses payable by us, exclusive of the underwriting discounts and commissions, are approximately $2.9 million. We have agreed to reimburse the underwriters for expenses relating to clearance of this offering with the Financial Industry Regulatory Authority up to $30,000.</w:t>
      </w:r>
    </w:p>
    <w:p>
      <w:pPr>
        <w:spacing w:after="0" w:line="139"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3E5588"/>
        </w:rPr>
        <w:t>The underwriters have informed us that they do not intend sales to discretionary accounts to exceed 5% of the total number of shares of common stock offered by them.</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Our common stock has been approved for listing on the Nasdaq Global Market under the symbol "FULC".</w:t>
      </w:r>
    </w:p>
    <w:p>
      <w:pPr>
        <w:spacing w:after="0" w:line="22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3E5588"/>
        </w:rPr>
        <w:t>We and all of our directors and officers and the other holders of substantially all of our outstanding securities have agreed that, without the prior written consent of the underwriters, we and they will not, subject to limited exceptions, during the period ending 180 days after the date of this prospectus (the "restricted period"):</w:t>
      </w:r>
    </w:p>
    <w:p>
      <w:pPr>
        <w:spacing w:after="0" w:line="208" w:lineRule="exact"/>
        <w:rPr>
          <w:sz w:val="20"/>
          <w:szCs w:val="20"/>
          <w:color w:val="auto"/>
        </w:rPr>
      </w:pPr>
    </w:p>
    <w:p>
      <w:pPr>
        <w:jc w:val="both"/>
        <w:ind w:left="1080" w:hanging="532"/>
        <w:spacing w:after="0" w:line="306" w:lineRule="auto"/>
        <w:tabs>
          <w:tab w:leader="none" w:pos="1080" w:val="left"/>
        </w:tabs>
        <w:numPr>
          <w:ilvl w:val="0"/>
          <w:numId w:val="110"/>
        </w:numPr>
        <w:rPr>
          <w:rFonts w:ascii="Arial" w:cs="Arial" w:eastAsia="Arial" w:hAnsi="Arial"/>
          <w:sz w:val="16"/>
          <w:szCs w:val="16"/>
          <w:color w:val="3E5588"/>
        </w:rPr>
      </w:pPr>
      <w:r>
        <w:rPr>
          <w:rFonts w:ascii="Arial" w:cs="Arial" w:eastAsia="Arial" w:hAnsi="Arial"/>
          <w:sz w:val="16"/>
          <w:szCs w:val="16"/>
          <w:color w:val="3E5588"/>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make any public announcement of an intention to do any of the foregoing;</w:t>
      </w:r>
    </w:p>
    <w:p>
      <w:pPr>
        <w:spacing w:after="0" w:line="187" w:lineRule="exact"/>
        <w:rPr>
          <w:rFonts w:ascii="Arial" w:cs="Arial" w:eastAsia="Arial" w:hAnsi="Arial"/>
          <w:sz w:val="16"/>
          <w:szCs w:val="16"/>
          <w:color w:val="3E5588"/>
        </w:rPr>
      </w:pPr>
    </w:p>
    <w:p>
      <w:pPr>
        <w:ind w:left="1080" w:right="20" w:hanging="532"/>
        <w:spacing w:after="0" w:line="268" w:lineRule="auto"/>
        <w:tabs>
          <w:tab w:leader="none" w:pos="1080" w:val="left"/>
        </w:tabs>
        <w:numPr>
          <w:ilvl w:val="0"/>
          <w:numId w:val="110"/>
        </w:numPr>
        <w:rPr>
          <w:rFonts w:ascii="Arial" w:cs="Arial" w:eastAsia="Arial" w:hAnsi="Arial"/>
          <w:sz w:val="18"/>
          <w:szCs w:val="18"/>
          <w:color w:val="3E5588"/>
        </w:rPr>
      </w:pPr>
      <w:r>
        <w:rPr>
          <w:rFonts w:ascii="Arial" w:cs="Arial" w:eastAsia="Arial" w:hAnsi="Arial"/>
          <w:sz w:val="18"/>
          <w:szCs w:val="18"/>
          <w:color w:val="3E5588"/>
        </w:rPr>
        <w:t>file, or demand filing of, any registration statement with the SEC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10"/>
        </w:numPr>
        <w:rPr>
          <w:rFonts w:ascii="Arial" w:cs="Arial" w:eastAsia="Arial" w:hAnsi="Arial"/>
          <w:sz w:val="18"/>
          <w:szCs w:val="18"/>
          <w:color w:val="3E5588"/>
        </w:rPr>
      </w:pPr>
      <w:r>
        <w:rPr>
          <w:rFonts w:ascii="Arial" w:cs="Arial" w:eastAsia="Arial" w:hAnsi="Arial"/>
          <w:sz w:val="18"/>
          <w:szCs w:val="18"/>
          <w:color w:val="3E5588"/>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3E5588"/>
        </w:rPr>
        <w:t>whether any such transaction described above is to be settled by delivery of common stock or such other securities, in cash or otherwise. In addition, we and each such person agrees that, without the prior written consent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The restrictions on transfers or other dispositions by holders of our outstanding securities described in the immediately preceding paragraph do not apply to:</w:t>
      </w:r>
    </w:p>
    <w:p>
      <w:pPr>
        <w:spacing w:after="0" w:line="262" w:lineRule="exact"/>
        <w:rPr>
          <w:sz w:val="20"/>
          <w:szCs w:val="20"/>
          <w:color w:val="auto"/>
        </w:rPr>
      </w:pPr>
    </w:p>
    <w:p>
      <w:pPr>
        <w:jc w:val="both"/>
        <w:ind w:left="1080" w:hanging="532"/>
        <w:spacing w:after="0" w:line="306" w:lineRule="auto"/>
        <w:tabs>
          <w:tab w:leader="none" w:pos="1080" w:val="left"/>
        </w:tabs>
        <w:numPr>
          <w:ilvl w:val="0"/>
          <w:numId w:val="111"/>
        </w:numPr>
        <w:rPr>
          <w:rFonts w:ascii="Arial" w:cs="Arial" w:eastAsia="Arial" w:hAnsi="Arial"/>
          <w:sz w:val="16"/>
          <w:szCs w:val="16"/>
          <w:color w:val="3E5588"/>
        </w:rPr>
      </w:pPr>
      <w:r>
        <w:rPr>
          <w:rFonts w:ascii="Arial" w:cs="Arial" w:eastAsia="Arial" w:hAnsi="Arial"/>
          <w:sz w:val="16"/>
          <w:szCs w:val="16"/>
          <w:color w:val="3E5588"/>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such open market transactions;</w:t>
      </w:r>
    </w:p>
    <w:p>
      <w:pPr>
        <w:spacing w:after="0" w:line="187" w:lineRule="exact"/>
        <w:rPr>
          <w:rFonts w:ascii="Arial" w:cs="Arial" w:eastAsia="Arial" w:hAnsi="Arial"/>
          <w:sz w:val="16"/>
          <w:szCs w:val="16"/>
          <w:color w:val="3E5588"/>
        </w:rPr>
      </w:pPr>
    </w:p>
    <w:p>
      <w:pPr>
        <w:ind w:left="1080" w:hanging="532"/>
        <w:spacing w:after="0" w:line="268" w:lineRule="auto"/>
        <w:tabs>
          <w:tab w:leader="none" w:pos="1080" w:val="left"/>
        </w:tabs>
        <w:numPr>
          <w:ilvl w:val="0"/>
          <w:numId w:val="111"/>
        </w:numPr>
        <w:rPr>
          <w:rFonts w:ascii="Arial" w:cs="Arial" w:eastAsia="Arial" w:hAnsi="Arial"/>
          <w:sz w:val="18"/>
          <w:szCs w:val="18"/>
          <w:color w:val="3E5588"/>
        </w:rPr>
      </w:pPr>
      <w:r>
        <w:rPr>
          <w:rFonts w:ascii="Arial" w:cs="Arial" w:eastAsia="Arial" w:hAnsi="Arial"/>
          <w:sz w:val="18"/>
          <w:szCs w:val="18"/>
          <w:color w:val="3E5588"/>
        </w:rPr>
        <w:t>transfers of shares of common stock or any security convertible into or exercisable or exchangeable for common stock as a bona fide gift or gifts, or to a charitable organization or educational institution in a transaction not involving a disposition for value;</w:t>
      </w:r>
    </w:p>
    <w:p>
      <w:pPr>
        <w:spacing w:after="0" w:line="199"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111"/>
        </w:numPr>
        <w:rPr>
          <w:rFonts w:ascii="Arial" w:cs="Arial" w:eastAsia="Arial" w:hAnsi="Arial"/>
          <w:sz w:val="18"/>
          <w:szCs w:val="18"/>
          <w:color w:val="3E5588"/>
        </w:rPr>
      </w:pPr>
      <w:r>
        <w:rPr>
          <w:rFonts w:ascii="Arial" w:cs="Arial" w:eastAsia="Arial" w:hAnsi="Arial"/>
          <w:sz w:val="18"/>
          <w:szCs w:val="18"/>
          <w:color w:val="3E5588"/>
        </w:rPr>
        <w:t>transfers of shares of common stock or any security convertible into or exercisable or exchangeable for common stock to any member of the immediate family of the signatory or any trust for the direct or indirect benefit of the signatory or the immediate family of the signatory in a transaction not involving a disposition for value;</w:t>
      </w:r>
    </w:p>
    <w:p>
      <w:pPr>
        <w:spacing w:after="0" w:line="207" w:lineRule="exact"/>
        <w:rPr>
          <w:rFonts w:ascii="Arial" w:cs="Arial" w:eastAsia="Arial" w:hAnsi="Arial"/>
          <w:sz w:val="18"/>
          <w:szCs w:val="18"/>
          <w:color w:val="3E5588"/>
        </w:rPr>
      </w:pPr>
    </w:p>
    <w:p>
      <w:pPr>
        <w:jc w:val="both"/>
        <w:ind w:left="1080" w:hanging="532"/>
        <w:spacing w:after="0" w:line="306" w:lineRule="auto"/>
        <w:tabs>
          <w:tab w:leader="none" w:pos="1080" w:val="left"/>
        </w:tabs>
        <w:numPr>
          <w:ilvl w:val="0"/>
          <w:numId w:val="111"/>
        </w:numPr>
        <w:rPr>
          <w:rFonts w:ascii="Arial" w:cs="Arial" w:eastAsia="Arial" w:hAnsi="Arial"/>
          <w:sz w:val="16"/>
          <w:szCs w:val="16"/>
          <w:color w:val="3E5588"/>
        </w:rPr>
      </w:pPr>
      <w:r>
        <w:rPr>
          <w:rFonts w:ascii="Arial" w:cs="Arial" w:eastAsia="Arial" w:hAnsi="Arial"/>
          <w:sz w:val="16"/>
          <w:szCs w:val="16"/>
          <w:color w:val="3E5588"/>
        </w:rPr>
        <w:t>transfers of shares of common stock or any security convertible into or exercisable or exchangeable for common stock (i) by will, other testamentary document or intestate succession to the legal representative, heir, beneficiary or a member of the immediate family of the signatory upon the death of the signatory or (ii) solely by operation of law pursuant to a qualified domestic order or in connection with a divorce settlement;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20" w:hanging="532"/>
        <w:spacing w:after="0" w:line="259" w:lineRule="auto"/>
        <w:tabs>
          <w:tab w:leader="none" w:pos="1080" w:val="left"/>
        </w:tabs>
        <w:numPr>
          <w:ilvl w:val="0"/>
          <w:numId w:val="112"/>
        </w:numPr>
        <w:rPr>
          <w:rFonts w:ascii="Arial" w:cs="Arial" w:eastAsia="Arial" w:hAnsi="Arial"/>
          <w:sz w:val="18"/>
          <w:szCs w:val="18"/>
          <w:color w:val="3E5588"/>
        </w:rPr>
      </w:pPr>
      <w:r>
        <w:rPr>
          <w:rFonts w:ascii="Arial" w:cs="Arial" w:eastAsia="Arial" w:hAnsi="Arial"/>
          <w:sz w:val="18"/>
          <w:szCs w:val="18"/>
          <w:color w:val="3E5588"/>
        </w:rPr>
        <w:t>if the signatory is an entity, transfers or distributions of shares of common stock or any security convertible into common stock to general or limited partners, members or stockholders of the signatory, the signatory's direct and indirect affiliates, or to an investment fund or other entity that controls or manages, or is under common control with, the signatory;</w:t>
      </w:r>
    </w:p>
    <w:p>
      <w:pPr>
        <w:spacing w:after="0" w:line="221" w:lineRule="exact"/>
        <w:rPr>
          <w:rFonts w:ascii="Arial" w:cs="Arial" w:eastAsia="Arial" w:hAnsi="Arial"/>
          <w:sz w:val="18"/>
          <w:szCs w:val="18"/>
          <w:color w:val="3E5588"/>
        </w:rPr>
      </w:pPr>
    </w:p>
    <w:p>
      <w:pPr>
        <w:jc w:val="both"/>
        <w:ind w:left="1080" w:hanging="532"/>
        <w:spacing w:after="0" w:line="254" w:lineRule="auto"/>
        <w:tabs>
          <w:tab w:leader="none" w:pos="1080" w:val="left"/>
        </w:tabs>
        <w:numPr>
          <w:ilvl w:val="0"/>
          <w:numId w:val="112"/>
        </w:numPr>
        <w:rPr>
          <w:rFonts w:ascii="Arial" w:cs="Arial" w:eastAsia="Arial" w:hAnsi="Arial"/>
          <w:sz w:val="18"/>
          <w:szCs w:val="18"/>
          <w:color w:val="3E5588"/>
        </w:rPr>
      </w:pPr>
      <w:r>
        <w:rPr>
          <w:rFonts w:ascii="Arial" w:cs="Arial" w:eastAsia="Arial" w:hAnsi="Arial"/>
          <w:sz w:val="18"/>
          <w:szCs w:val="18"/>
          <w:color w:val="3E5588"/>
        </w:rPr>
        <w:t>transfers or dispositions of shares of common stock or any security convertible into or exercisable or exchangeable for common stock to us pursuant to any contractual arrangement in effect on the date of the lock-up agreement and disclosed to the underwriters that provides for the repurchase of the signatory's common stock or other securities by us or in connection with the termination of the signatory's employment with or service to us; provided that, subject to certain limited exceptions, no filing under Section 16(a) of the Exchange Act reporting a reduction in beneficial ownership of shares of common stock shall be required or shall be voluntarily made during the restricted period in connection with any such transfers or dispositions;</w:t>
      </w:r>
    </w:p>
    <w:p>
      <w:pPr>
        <w:spacing w:after="0" w:line="211" w:lineRule="exact"/>
        <w:rPr>
          <w:rFonts w:ascii="Arial" w:cs="Arial" w:eastAsia="Arial" w:hAnsi="Arial"/>
          <w:sz w:val="18"/>
          <w:szCs w:val="18"/>
          <w:color w:val="3E5588"/>
        </w:rPr>
      </w:pPr>
    </w:p>
    <w:p>
      <w:pPr>
        <w:jc w:val="both"/>
        <w:ind w:left="1080" w:right="20" w:hanging="532"/>
        <w:spacing w:after="0" w:line="259" w:lineRule="auto"/>
        <w:tabs>
          <w:tab w:leader="none" w:pos="1080" w:val="left"/>
        </w:tabs>
        <w:numPr>
          <w:ilvl w:val="0"/>
          <w:numId w:val="112"/>
        </w:numPr>
        <w:rPr>
          <w:rFonts w:ascii="Arial" w:cs="Arial" w:eastAsia="Arial" w:hAnsi="Arial"/>
          <w:sz w:val="18"/>
          <w:szCs w:val="18"/>
          <w:color w:val="3E5588"/>
        </w:rPr>
      </w:pPr>
      <w:r>
        <w:rPr>
          <w:rFonts w:ascii="Arial" w:cs="Arial" w:eastAsia="Arial" w:hAnsi="Arial"/>
          <w:sz w:val="18"/>
          <w:szCs w:val="18"/>
          <w:color w:val="3E5588"/>
        </w:rPr>
        <w:t>the conversion of outstanding shares of preferred stock described in this prospectus and outstanding as of the date of this prospectus into shares of common stock as described in this prospectus, provided that the shares of common stock received upon conversion shall be subject to the restrictions set forth in the lock-up agreement;</w:t>
      </w:r>
    </w:p>
    <w:p>
      <w:pPr>
        <w:spacing w:after="0" w:line="207" w:lineRule="exact"/>
        <w:rPr>
          <w:rFonts w:ascii="Arial" w:cs="Arial" w:eastAsia="Arial" w:hAnsi="Arial"/>
          <w:sz w:val="18"/>
          <w:szCs w:val="18"/>
          <w:color w:val="3E5588"/>
        </w:rPr>
      </w:pPr>
    </w:p>
    <w:p>
      <w:pPr>
        <w:jc w:val="both"/>
        <w:ind w:left="1080" w:hanging="532"/>
        <w:spacing w:after="0" w:line="255" w:lineRule="auto"/>
        <w:tabs>
          <w:tab w:leader="none" w:pos="1080" w:val="left"/>
        </w:tabs>
        <w:numPr>
          <w:ilvl w:val="0"/>
          <w:numId w:val="112"/>
        </w:numPr>
        <w:rPr>
          <w:rFonts w:ascii="Arial" w:cs="Arial" w:eastAsia="Arial" w:hAnsi="Arial"/>
          <w:sz w:val="18"/>
          <w:szCs w:val="18"/>
          <w:color w:val="3E5588"/>
        </w:rPr>
      </w:pPr>
      <w:r>
        <w:rPr>
          <w:rFonts w:ascii="Arial" w:cs="Arial" w:eastAsia="Arial" w:hAnsi="Arial"/>
          <w:sz w:val="18"/>
          <w:szCs w:val="18"/>
          <w:color w:val="3E5588"/>
        </w:rPr>
        <w:t>the exercise of stock options to purchase shares of common stock granted under plans described in this prospectus and any related transfer to us of shares of common stock, subject to certain limitations, including that any shares of common stock received upon exercise shall be subject to the restrictions on transfer set forth in the lock-up agreement; provided that, subject to certain limited exceptions, no filing under Section 16(a) of the Exchange Act reporting a reduction in beneficial ownership of shares of common stock shall be required or shall be voluntarily made during the restricted period;</w:t>
      </w:r>
    </w:p>
    <w:p>
      <w:pPr>
        <w:spacing w:after="0" w:line="223" w:lineRule="exact"/>
        <w:rPr>
          <w:rFonts w:ascii="Arial" w:cs="Arial" w:eastAsia="Arial" w:hAnsi="Arial"/>
          <w:sz w:val="18"/>
          <w:szCs w:val="18"/>
          <w:color w:val="3E5588"/>
        </w:rPr>
      </w:pPr>
    </w:p>
    <w:p>
      <w:pPr>
        <w:ind w:left="1080" w:hanging="532"/>
        <w:spacing w:after="0"/>
        <w:tabs>
          <w:tab w:leader="none" w:pos="1080" w:val="left"/>
        </w:tabs>
        <w:numPr>
          <w:ilvl w:val="0"/>
          <w:numId w:val="112"/>
        </w:numPr>
        <w:rPr>
          <w:rFonts w:ascii="Arial" w:cs="Arial" w:eastAsia="Arial" w:hAnsi="Arial"/>
          <w:sz w:val="16"/>
          <w:szCs w:val="16"/>
          <w:color w:val="3E5588"/>
        </w:rPr>
      </w:pPr>
      <w:r>
        <w:rPr>
          <w:rFonts w:ascii="Arial" w:cs="Arial" w:eastAsia="Arial" w:hAnsi="Arial"/>
          <w:sz w:val="16"/>
          <w:szCs w:val="16"/>
          <w:color w:val="3E5588"/>
        </w:rPr>
        <w:t>the establishment of a trading plan pursuant to Rule 10b5-1 under the Exchange Act for the transfer of shares of common stock, provided that</w:t>
      </w:r>
    </w:p>
    <w:p>
      <w:pPr>
        <w:spacing w:after="0" w:line="38" w:lineRule="exact"/>
        <w:rPr>
          <w:rFonts w:ascii="Arial" w:cs="Arial" w:eastAsia="Arial" w:hAnsi="Arial"/>
          <w:sz w:val="16"/>
          <w:szCs w:val="16"/>
          <w:color w:val="3E5588"/>
        </w:rPr>
      </w:pPr>
    </w:p>
    <w:p>
      <w:pPr>
        <w:jc w:val="both"/>
        <w:ind w:left="1080"/>
        <w:spacing w:after="0" w:line="302" w:lineRule="auto"/>
        <w:rPr>
          <w:rFonts w:ascii="Arial" w:cs="Arial" w:eastAsia="Arial" w:hAnsi="Arial"/>
          <w:sz w:val="16"/>
          <w:szCs w:val="16"/>
          <w:color w:val="3E5588"/>
        </w:rPr>
      </w:pPr>
      <w:r>
        <w:rPr>
          <w:rFonts w:ascii="Arial" w:cs="Arial" w:eastAsia="Arial" w:hAnsi="Arial"/>
          <w:sz w:val="16"/>
          <w:szCs w:val="16"/>
          <w:color w:val="3E5588"/>
        </w:rPr>
        <w:t>(i) such plan does not provide for the transfer of common stock during the restricted period and (ii) to the extent a public announcement or filing under the Exchange Act, if any, is required of or voluntarily made regarding the establishment of such plan, such announcement or filing shall include a statement to the effect that no transfer of common stock may be made under such plan during the restricted period; or</w:t>
      </w:r>
    </w:p>
    <w:p>
      <w:pPr>
        <w:spacing w:after="0" w:line="176" w:lineRule="exact"/>
        <w:rPr>
          <w:rFonts w:ascii="Arial" w:cs="Arial" w:eastAsia="Arial" w:hAnsi="Arial"/>
          <w:sz w:val="16"/>
          <w:szCs w:val="16"/>
          <w:color w:val="3E5588"/>
        </w:rPr>
      </w:pPr>
    </w:p>
    <w:p>
      <w:pPr>
        <w:jc w:val="both"/>
        <w:ind w:left="1080" w:hanging="532"/>
        <w:spacing w:after="0" w:line="255" w:lineRule="auto"/>
        <w:tabs>
          <w:tab w:leader="none" w:pos="1080" w:val="left"/>
        </w:tabs>
        <w:numPr>
          <w:ilvl w:val="0"/>
          <w:numId w:val="112"/>
        </w:numPr>
        <w:rPr>
          <w:rFonts w:ascii="Arial" w:cs="Arial" w:eastAsia="Arial" w:hAnsi="Arial"/>
          <w:sz w:val="18"/>
          <w:szCs w:val="18"/>
          <w:color w:val="3E5588"/>
        </w:rPr>
      </w:pPr>
      <w:r>
        <w:rPr>
          <w:rFonts w:ascii="Arial" w:cs="Arial" w:eastAsia="Arial" w:hAnsi="Arial"/>
          <w:sz w:val="18"/>
          <w:szCs w:val="18"/>
          <w:color w:val="3E5588"/>
        </w:rPr>
        <w:t>(i) transfers of shares of common stock (or any securities convertible into or exercisable or exchangeable for common stock) pursuant to a bona fide third-party tender offer for shares of our capital stock made to all holders of securities, merger, consolidation or other similar transaction approved by our board of directors the result of which is a change of control or (ii) entry into any lock-up, voting or similar agreement pursuant to which the signatory may agree to transfer, sell, tender or otherwise dispose of shares of common stock or such other securities in connection with such a change of control;</w:t>
      </w:r>
    </w:p>
    <w:p>
      <w:pPr>
        <w:spacing w:after="0" w:line="196" w:lineRule="exact"/>
        <w:rPr>
          <w:rFonts w:ascii="Arial" w:cs="Arial" w:eastAsia="Arial" w:hAnsi="Arial"/>
          <w:sz w:val="18"/>
          <w:szCs w:val="18"/>
          <w:color w:val="3E5588"/>
        </w:rPr>
      </w:pPr>
    </w:p>
    <w:p>
      <w:pPr>
        <w:jc w:val="both"/>
        <w:ind w:left="1080"/>
        <w:spacing w:after="0" w:line="291" w:lineRule="auto"/>
        <w:rPr>
          <w:rFonts w:ascii="Arial" w:cs="Arial" w:eastAsia="Arial" w:hAnsi="Arial"/>
          <w:sz w:val="18"/>
          <w:szCs w:val="18"/>
          <w:color w:val="3E5588"/>
        </w:rPr>
      </w:pPr>
      <w:r>
        <w:rPr>
          <w:rFonts w:ascii="Arial" w:cs="Arial" w:eastAsia="Arial" w:hAnsi="Arial"/>
          <w:sz w:val="16"/>
          <w:szCs w:val="16"/>
          <w:color w:val="3E5588"/>
        </w:rPr>
        <w:t>provided that in the case of any transfer, disposition or distribution pursuant to the second, third, fourth or fifth bullet (i) each transferee, donee or distributee shall agree to be subject to the restrictions described in the immediately preceding paragraph and (ii) no filing under Section 16(a) of the Exchange Act, reporting a reduction in beneficial ownership of shares of common stock, shall be required or shall be voluntarily made during the restricted period (other than, in the case of a transfer or other disposition pursuant to the third bullet above, any Form 4 or Form 5 required to be filed under the Exchange Act if the signatory is subject to Section 16 reporting with respect to us under the Exchange Act and indicating by footnote disclosure or otherwise the nature of the transfer or disposition).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restrictions on transfers or other dispositions by us described in the paragraph above do not apply to:</w:t>
      </w:r>
    </w:p>
    <w:p>
      <w:pPr>
        <w:spacing w:after="0" w:line="23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3E5588"/>
        </w:rPr>
      </w:pPr>
      <w:r>
        <w:rPr>
          <w:rFonts w:ascii="Arial" w:cs="Arial" w:eastAsia="Arial" w:hAnsi="Arial"/>
          <w:sz w:val="18"/>
          <w:szCs w:val="18"/>
          <w:color w:val="3E5588"/>
        </w:rPr>
        <w:t>the shares to be sold in this offering;</w:t>
      </w:r>
    </w:p>
    <w:p>
      <w:pPr>
        <w:spacing w:after="0" w:line="252" w:lineRule="exact"/>
        <w:rPr>
          <w:rFonts w:ascii="Arial" w:cs="Arial" w:eastAsia="Arial" w:hAnsi="Arial"/>
          <w:sz w:val="18"/>
          <w:szCs w:val="18"/>
          <w:color w:val="3E5588"/>
        </w:rPr>
      </w:pPr>
    </w:p>
    <w:p>
      <w:pPr>
        <w:ind w:left="1080" w:right="20" w:hanging="532"/>
        <w:spacing w:after="0" w:line="268" w:lineRule="auto"/>
        <w:tabs>
          <w:tab w:leader="none" w:pos="1080" w:val="left"/>
        </w:tabs>
        <w:numPr>
          <w:ilvl w:val="0"/>
          <w:numId w:val="113"/>
        </w:numPr>
        <w:rPr>
          <w:rFonts w:ascii="Arial" w:cs="Arial" w:eastAsia="Arial" w:hAnsi="Arial"/>
          <w:sz w:val="18"/>
          <w:szCs w:val="18"/>
          <w:color w:val="3E5588"/>
        </w:rPr>
      </w:pPr>
      <w:r>
        <w:rPr>
          <w:rFonts w:ascii="Arial" w:cs="Arial" w:eastAsia="Arial" w:hAnsi="Arial"/>
          <w:sz w:val="18"/>
          <w:szCs w:val="18"/>
          <w:color w:val="3E5588"/>
        </w:rPr>
        <w:t>the issuance by us of shares of common stock upon the exercise of an option or a warrant or the conversion of a security outstanding on the date of this prospectus pursuant to stock plans disclosed in this prospectus;</w:t>
      </w:r>
    </w:p>
    <w:p>
      <w:pPr>
        <w:spacing w:after="0" w:line="199" w:lineRule="exact"/>
        <w:rPr>
          <w:rFonts w:ascii="Arial" w:cs="Arial" w:eastAsia="Arial" w:hAnsi="Arial"/>
          <w:sz w:val="18"/>
          <w:szCs w:val="18"/>
          <w:color w:val="3E5588"/>
        </w:rPr>
      </w:pPr>
    </w:p>
    <w:p>
      <w:pPr>
        <w:jc w:val="both"/>
        <w:ind w:left="1080" w:hanging="532"/>
        <w:spacing w:after="0" w:line="306" w:lineRule="auto"/>
        <w:tabs>
          <w:tab w:leader="none" w:pos="1080" w:val="left"/>
        </w:tabs>
        <w:numPr>
          <w:ilvl w:val="0"/>
          <w:numId w:val="113"/>
        </w:numPr>
        <w:rPr>
          <w:rFonts w:ascii="Arial" w:cs="Arial" w:eastAsia="Arial" w:hAnsi="Arial"/>
          <w:sz w:val="16"/>
          <w:szCs w:val="16"/>
          <w:color w:val="3E5588"/>
        </w:rPr>
      </w:pPr>
      <w:r>
        <w:rPr>
          <w:rFonts w:ascii="Arial" w:cs="Arial" w:eastAsia="Arial" w:hAnsi="Arial"/>
          <w:sz w:val="16"/>
          <w:szCs w:val="16"/>
          <w:color w:val="3E5588"/>
        </w:rPr>
        <w:t>the grant by us of any options to purchase shares of common stock or other awards granted under a stock incentive plan or stock purchase plan described in this prospectus, and the issuance by us of shares of common stock upon the exercise thereof, provided that we will cause each recipient of such grant to execute and deliver to the underwriters a lock-up agreement if such recipient has not already delivered one;</w:t>
      </w:r>
    </w:p>
    <w:p>
      <w:pPr>
        <w:spacing w:after="0" w:line="174" w:lineRule="exact"/>
        <w:rPr>
          <w:rFonts w:ascii="Arial" w:cs="Arial" w:eastAsia="Arial" w:hAnsi="Arial"/>
          <w:sz w:val="16"/>
          <w:szCs w:val="16"/>
          <w:color w:val="3E5588"/>
        </w:rPr>
      </w:pPr>
    </w:p>
    <w:p>
      <w:pPr>
        <w:ind w:left="1080" w:right="20" w:hanging="532"/>
        <w:spacing w:after="0" w:line="268" w:lineRule="auto"/>
        <w:tabs>
          <w:tab w:leader="none" w:pos="1080" w:val="left"/>
        </w:tabs>
        <w:numPr>
          <w:ilvl w:val="0"/>
          <w:numId w:val="113"/>
        </w:numPr>
        <w:rPr>
          <w:rFonts w:ascii="Arial" w:cs="Arial" w:eastAsia="Arial" w:hAnsi="Arial"/>
          <w:sz w:val="18"/>
          <w:szCs w:val="18"/>
          <w:color w:val="3E5588"/>
        </w:rPr>
      </w:pPr>
      <w:r>
        <w:rPr>
          <w:rFonts w:ascii="Arial" w:cs="Arial" w:eastAsia="Arial" w:hAnsi="Arial"/>
          <w:sz w:val="18"/>
          <w:szCs w:val="18"/>
          <w:color w:val="3E5588"/>
        </w:rPr>
        <w:t>the filing by the us of any registration statement on Form S-8 or a successor form thereto relating to the shares of common stock granted pursuant to or reserved for issuance under a stock incentive plan or stock purchase plan described in this prospectus; or</w:t>
      </w:r>
    </w:p>
    <w:p>
      <w:pPr>
        <w:spacing w:after="0" w:line="212" w:lineRule="exact"/>
        <w:rPr>
          <w:rFonts w:ascii="Arial" w:cs="Arial" w:eastAsia="Arial" w:hAnsi="Arial"/>
          <w:sz w:val="18"/>
          <w:szCs w:val="18"/>
          <w:color w:val="3E5588"/>
        </w:rPr>
      </w:pPr>
    </w:p>
    <w:p>
      <w:pPr>
        <w:jc w:val="both"/>
        <w:ind w:left="1080" w:hanging="532"/>
        <w:spacing w:after="0" w:line="255" w:lineRule="auto"/>
        <w:tabs>
          <w:tab w:leader="none" w:pos="1080" w:val="left"/>
        </w:tabs>
        <w:numPr>
          <w:ilvl w:val="0"/>
          <w:numId w:val="113"/>
        </w:numPr>
        <w:rPr>
          <w:rFonts w:ascii="Arial" w:cs="Arial" w:eastAsia="Arial" w:hAnsi="Arial"/>
          <w:sz w:val="18"/>
          <w:szCs w:val="18"/>
          <w:color w:val="3E5588"/>
        </w:rPr>
      </w:pPr>
      <w:r>
        <w:rPr>
          <w:rFonts w:ascii="Arial" w:cs="Arial" w:eastAsia="Arial" w:hAnsi="Arial"/>
          <w:sz w:val="18"/>
          <w:szCs w:val="18"/>
          <w:color w:val="3E5588"/>
        </w:rPr>
        <w:t>shares of common stock or other securities issued in connection with a joint venture, equipment leasing arrangement, licensing or collaboration transaction or other strategic transaction with an unaffiliated third party, provided that (x) the aggregate number of shares issued pursuant to this exception will not exceed 5% of the total number of outstanding shares of common stock immediately following the issuance and sale of the shares to be sold in this offering and (y) the recipient of any such shares of common stock and securities issued pursuant to this exception during the restricted period will enter into a lock-up agreement.</w:t>
      </w:r>
    </w:p>
    <w:p>
      <w:pPr>
        <w:spacing w:after="0" w:line="197" w:lineRule="exact"/>
        <w:rPr>
          <w:sz w:val="20"/>
          <w:szCs w:val="20"/>
          <w:color w:val="auto"/>
        </w:rPr>
      </w:pPr>
    </w:p>
    <w:p>
      <w:pPr>
        <w:jc w:val="both"/>
        <w:ind w:right="20" w:firstLine="376"/>
        <w:spacing w:after="0" w:line="268" w:lineRule="auto"/>
        <w:rPr>
          <w:sz w:val="20"/>
          <w:szCs w:val="20"/>
          <w:color w:val="auto"/>
        </w:rPr>
      </w:pPr>
      <w:r>
        <w:rPr>
          <w:rFonts w:ascii="Arial" w:cs="Arial" w:eastAsia="Arial" w:hAnsi="Arial"/>
          <w:sz w:val="18"/>
          <w:szCs w:val="18"/>
          <w:color w:val="3E5588"/>
        </w:rPr>
        <w:t>The underwriters,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6"/>
          <w:szCs w:val="16"/>
          <w:color w:val="3E5588"/>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We and the underwriters have agreed to indemnify each other against certain liabilities, including liabilities under the Securities Act.</w:t>
      </w:r>
    </w:p>
    <w:p>
      <w:pPr>
        <w:spacing w:after="0" w:line="225" w:lineRule="exact"/>
        <w:rPr>
          <w:sz w:val="20"/>
          <w:szCs w:val="20"/>
          <w:color w:val="auto"/>
        </w:rPr>
      </w:pPr>
    </w:p>
    <w:p>
      <w:pPr>
        <w:ind w:right="20" w:firstLine="583"/>
        <w:spacing w:after="0" w:line="332" w:lineRule="auto"/>
        <w:rPr>
          <w:sz w:val="20"/>
          <w:szCs w:val="20"/>
          <w:color w:val="auto"/>
        </w:rPr>
      </w:pPr>
      <w:r>
        <w:rPr>
          <w:rFonts w:ascii="Arial" w:cs="Arial" w:eastAsia="Arial" w:hAnsi="Arial"/>
          <w:sz w:val="16"/>
          <w:szCs w:val="16"/>
          <w:color w:val="3E5588"/>
        </w:rPr>
        <w:t>A prospectus in electronic format may be made available on websites maintained by one or more underwriters, or selling group members, if any, participating in this offering. The underwriters may agree to allocate a number of shares of common stock for sale to their online brokerage account 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Internet distributions will be allocated to underwriters that may make Internet distributions on the same basis as other allocations.</w:t>
      </w:r>
    </w:p>
    <w:p>
      <w:pPr>
        <w:spacing w:after="0" w:line="225" w:lineRule="exact"/>
        <w:rPr>
          <w:sz w:val="20"/>
          <w:szCs w:val="20"/>
          <w:color w:val="auto"/>
        </w:rPr>
      </w:pPr>
    </w:p>
    <w:p>
      <w:pPr>
        <w:jc w:val="both"/>
        <w:ind w:firstLine="480"/>
        <w:spacing w:after="0" w:line="298" w:lineRule="auto"/>
        <w:rPr>
          <w:sz w:val="20"/>
          <w:szCs w:val="20"/>
          <w:color w:val="auto"/>
        </w:rPr>
      </w:pPr>
      <w:r>
        <w:rPr>
          <w:rFonts w:ascii="Arial" w:cs="Arial" w:eastAsia="Arial" w:hAnsi="Arial"/>
          <w:sz w:val="16"/>
          <w:szCs w:val="16"/>
          <w:color w:val="3E5588"/>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jc w:val="both"/>
        <w:ind w:firstLine="463"/>
        <w:spacing w:after="0" w:line="254" w:lineRule="auto"/>
        <w:rPr>
          <w:sz w:val="20"/>
          <w:szCs w:val="20"/>
          <w:color w:val="auto"/>
        </w:rPr>
      </w:pPr>
      <w:r>
        <w:rPr>
          <w:rFonts w:ascii="Arial" w:cs="Arial" w:eastAsia="Arial" w:hAnsi="Arial"/>
          <w:sz w:val="18"/>
          <w:szCs w:val="18"/>
          <w:color w:val="3E5588"/>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Pricing of the Offering</w:t>
      </w:r>
    </w:p>
    <w:p>
      <w:pPr>
        <w:spacing w:after="0" w:line="231" w:lineRule="exact"/>
        <w:rPr>
          <w:sz w:val="20"/>
          <w:szCs w:val="20"/>
          <w:color w:val="auto"/>
        </w:rPr>
      </w:pPr>
    </w:p>
    <w:p>
      <w:pPr>
        <w:jc w:val="both"/>
        <w:ind w:firstLine="392"/>
        <w:spacing w:after="0" w:line="298" w:lineRule="auto"/>
        <w:rPr>
          <w:sz w:val="20"/>
          <w:szCs w:val="20"/>
          <w:color w:val="auto"/>
        </w:rPr>
      </w:pPr>
      <w:r>
        <w:rPr>
          <w:rFonts w:ascii="Arial" w:cs="Arial" w:eastAsia="Arial" w:hAnsi="Arial"/>
          <w:sz w:val="16"/>
          <w:szCs w:val="16"/>
          <w:color w:val="3E5588"/>
        </w:rPr>
        <w:t>Prior to this offering, there has been no public market for our common stock. The initial public offering price has been determined by negotiations between us and the underwriters. Among the factors considered in determining the initial public offering price are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European Economic Area</w:t>
      </w:r>
    </w:p>
    <w:p>
      <w:pPr>
        <w:spacing w:after="0" w:line="225"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3E5588"/>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3E5588"/>
        </w:rPr>
      </w:pPr>
      <w:r>
        <w:rPr>
          <w:rFonts w:ascii="Arial" w:cs="Arial" w:eastAsia="Arial" w:hAnsi="Arial"/>
          <w:sz w:val="18"/>
          <w:szCs w:val="18"/>
          <w:color w:val="3E5588"/>
        </w:rPr>
        <w:t>to any legal entity which is a qualified investor as defined in the Prospectus Directive;</w:t>
      </w:r>
    </w:p>
    <w:p>
      <w:pPr>
        <w:spacing w:after="0" w:line="252" w:lineRule="exact"/>
        <w:rPr>
          <w:rFonts w:ascii="Arial" w:cs="Arial" w:eastAsia="Arial" w:hAnsi="Arial"/>
          <w:sz w:val="18"/>
          <w:szCs w:val="18"/>
          <w:color w:val="3E5588"/>
        </w:rPr>
      </w:pPr>
    </w:p>
    <w:p>
      <w:pPr>
        <w:jc w:val="both"/>
        <w:ind w:left="1080" w:hanging="532"/>
        <w:spacing w:after="0" w:line="259" w:lineRule="auto"/>
        <w:tabs>
          <w:tab w:leader="none" w:pos="1080" w:val="left"/>
        </w:tabs>
        <w:numPr>
          <w:ilvl w:val="0"/>
          <w:numId w:val="114"/>
        </w:numPr>
        <w:rPr>
          <w:rFonts w:ascii="Arial" w:cs="Arial" w:eastAsia="Arial" w:hAnsi="Arial"/>
          <w:sz w:val="18"/>
          <w:szCs w:val="18"/>
          <w:color w:val="3E5588"/>
        </w:rPr>
      </w:pPr>
      <w:r>
        <w:rPr>
          <w:rFonts w:ascii="Arial" w:cs="Arial" w:eastAsia="Arial" w:hAnsi="Arial"/>
          <w:sz w:val="18"/>
          <w:szCs w:val="18"/>
          <w:color w:val="3E5588"/>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207" w:lineRule="exact"/>
        <w:rPr>
          <w:rFonts w:ascii="Arial" w:cs="Arial" w:eastAsia="Arial" w:hAnsi="Arial"/>
          <w:sz w:val="18"/>
          <w:szCs w:val="18"/>
          <w:color w:val="3E5588"/>
        </w:rPr>
      </w:pPr>
    </w:p>
    <w:p>
      <w:pPr>
        <w:ind w:left="1080" w:right="20" w:hanging="532"/>
        <w:spacing w:after="0" w:line="332" w:lineRule="auto"/>
        <w:tabs>
          <w:tab w:leader="none" w:pos="1080" w:val="left"/>
        </w:tabs>
        <w:numPr>
          <w:ilvl w:val="0"/>
          <w:numId w:val="114"/>
        </w:numPr>
        <w:rPr>
          <w:rFonts w:ascii="Arial" w:cs="Arial" w:eastAsia="Arial" w:hAnsi="Arial"/>
          <w:sz w:val="16"/>
          <w:szCs w:val="16"/>
          <w:color w:val="3E5588"/>
        </w:rPr>
      </w:pPr>
      <w:r>
        <w:rPr>
          <w:rFonts w:ascii="Arial" w:cs="Arial" w:eastAsia="Arial" w:hAnsi="Arial"/>
          <w:sz w:val="16"/>
          <w:szCs w:val="16"/>
          <w:color w:val="3E5588"/>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3E5588"/>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Each underwriter has represented and agreed that:</w:t>
      </w:r>
    </w:p>
    <w:p>
      <w:pPr>
        <w:spacing w:after="0" w:line="239" w:lineRule="exact"/>
        <w:rPr>
          <w:sz w:val="20"/>
          <w:szCs w:val="20"/>
          <w:color w:val="auto"/>
        </w:rPr>
      </w:pPr>
    </w:p>
    <w:p>
      <w:pPr>
        <w:jc w:val="both"/>
        <w:ind w:left="1080" w:hanging="532"/>
        <w:spacing w:after="0" w:line="256" w:lineRule="auto"/>
        <w:tabs>
          <w:tab w:leader="none" w:pos="1080" w:val="left"/>
        </w:tabs>
        <w:numPr>
          <w:ilvl w:val="0"/>
          <w:numId w:val="115"/>
        </w:numPr>
        <w:rPr>
          <w:rFonts w:ascii="Arial" w:cs="Arial" w:eastAsia="Arial" w:hAnsi="Arial"/>
          <w:sz w:val="18"/>
          <w:szCs w:val="18"/>
          <w:color w:val="3E5588"/>
        </w:rPr>
      </w:pPr>
      <w:r>
        <w:rPr>
          <w:rFonts w:ascii="Arial" w:cs="Arial" w:eastAsia="Arial" w:hAnsi="Arial"/>
          <w:sz w:val="18"/>
          <w:szCs w:val="18"/>
          <w:color w:val="3E5588"/>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3E5588"/>
        </w:rPr>
      </w:pPr>
    </w:p>
    <w:p>
      <w:pPr>
        <w:ind w:left="1080" w:hanging="532"/>
        <w:spacing w:after="0" w:line="268" w:lineRule="auto"/>
        <w:tabs>
          <w:tab w:leader="none" w:pos="1080" w:val="left"/>
        </w:tabs>
        <w:numPr>
          <w:ilvl w:val="0"/>
          <w:numId w:val="115"/>
        </w:numPr>
        <w:rPr>
          <w:rFonts w:ascii="Arial" w:cs="Arial" w:eastAsia="Arial" w:hAnsi="Arial"/>
          <w:sz w:val="18"/>
          <w:szCs w:val="18"/>
          <w:color w:val="3E5588"/>
        </w:rPr>
      </w:pPr>
      <w:r>
        <w:rPr>
          <w:rFonts w:ascii="Arial" w:cs="Arial" w:eastAsia="Arial" w:hAnsi="Arial"/>
          <w:sz w:val="18"/>
          <w:szCs w:val="18"/>
          <w:color w:val="3E5588"/>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Japan</w:t>
      </w:r>
    </w:p>
    <w:p>
      <w:pPr>
        <w:spacing w:after="0" w:line="225" w:lineRule="exact"/>
        <w:rPr>
          <w:sz w:val="20"/>
          <w:szCs w:val="20"/>
          <w:color w:val="auto"/>
        </w:rPr>
      </w:pPr>
    </w:p>
    <w:p>
      <w:pPr>
        <w:jc w:val="both"/>
        <w:ind w:firstLine="381"/>
        <w:spacing w:after="0" w:line="332" w:lineRule="auto"/>
        <w:rPr>
          <w:sz w:val="20"/>
          <w:szCs w:val="20"/>
          <w:color w:val="auto"/>
        </w:rPr>
      </w:pPr>
      <w:r>
        <w:rPr>
          <w:rFonts w:ascii="Arial" w:cs="Arial" w:eastAsia="Arial" w:hAnsi="Arial"/>
          <w:sz w:val="16"/>
          <w:szCs w:val="16"/>
          <w:color w:val="3E5588"/>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9"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3E5588"/>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For Qualified Institutional Investors ("QII")</w:t>
      </w:r>
    </w:p>
    <w:p>
      <w:pPr>
        <w:spacing w:after="0" w:line="225"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3E5588"/>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3E5588"/>
        </w:rPr>
        <w:t>For Non-QII Investors</w:t>
      </w:r>
    </w:p>
    <w:p>
      <w:pPr>
        <w:spacing w:after="0" w:line="225" w:lineRule="exact"/>
        <w:rPr>
          <w:sz w:val="20"/>
          <w:szCs w:val="20"/>
          <w:color w:val="auto"/>
        </w:rPr>
      </w:pPr>
    </w:p>
    <w:p>
      <w:pPr>
        <w:jc w:val="both"/>
        <w:ind w:right="20" w:firstLine="373"/>
        <w:spacing w:after="0" w:line="298" w:lineRule="auto"/>
        <w:rPr>
          <w:sz w:val="20"/>
          <w:szCs w:val="20"/>
          <w:color w:val="auto"/>
        </w:rPr>
      </w:pPr>
      <w:r>
        <w:rPr>
          <w:rFonts w:ascii="Arial" w:cs="Arial" w:eastAsia="Arial" w:hAnsi="Arial"/>
          <w:sz w:val="16"/>
          <w:szCs w:val="16"/>
          <w:color w:val="3E5588"/>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Canada</w:t>
      </w:r>
    </w:p>
    <w:p>
      <w:pPr>
        <w:spacing w:after="0" w:line="225" w:lineRule="exact"/>
        <w:rPr>
          <w:sz w:val="20"/>
          <w:szCs w:val="20"/>
          <w:color w:val="auto"/>
        </w:rPr>
      </w:pPr>
    </w:p>
    <w:p>
      <w:pPr>
        <w:jc w:val="both"/>
        <w:ind w:firstLine="371"/>
        <w:spacing w:after="0" w:line="298" w:lineRule="auto"/>
        <w:rPr>
          <w:sz w:val="20"/>
          <w:szCs w:val="20"/>
          <w:color w:val="auto"/>
        </w:rPr>
      </w:pPr>
      <w:r>
        <w:rPr>
          <w:rFonts w:ascii="Arial" w:cs="Arial" w:eastAsia="Arial" w:hAnsi="Arial"/>
          <w:sz w:val="16"/>
          <w:szCs w:val="16"/>
          <w:color w:val="3E5588"/>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3E5588"/>
        </w:rPr>
        <w:t>Prospectus Exemptions</w:t>
      </w:r>
      <w:r>
        <w:rPr>
          <w:rFonts w:ascii="Arial" w:cs="Arial" w:eastAsia="Arial" w:hAnsi="Arial"/>
          <w:sz w:val="16"/>
          <w:szCs w:val="16"/>
          <w:color w:val="3E5588"/>
        </w:rPr>
        <w:t xml:space="preserve"> or subsection 73.3(1) of the </w:t>
      </w:r>
      <w:r>
        <w:rPr>
          <w:rFonts w:ascii="Arial" w:cs="Arial" w:eastAsia="Arial" w:hAnsi="Arial"/>
          <w:sz w:val="16"/>
          <w:szCs w:val="16"/>
          <w:i w:val="1"/>
          <w:iCs w:val="1"/>
          <w:color w:val="3E5588"/>
        </w:rPr>
        <w:t>Securities Act</w:t>
      </w:r>
      <w:r>
        <w:rPr>
          <w:rFonts w:ascii="Arial" w:cs="Arial" w:eastAsia="Arial" w:hAnsi="Arial"/>
          <w:sz w:val="16"/>
          <w:szCs w:val="16"/>
          <w:color w:val="3E5588"/>
        </w:rPr>
        <w:t xml:space="preserve"> (Ontario), and are permitted clients, as defined in National Instrument 31-103 </w:t>
      </w:r>
      <w:r>
        <w:rPr>
          <w:rFonts w:ascii="Arial" w:cs="Arial" w:eastAsia="Arial" w:hAnsi="Arial"/>
          <w:sz w:val="16"/>
          <w:szCs w:val="16"/>
          <w:i w:val="1"/>
          <w:iCs w:val="1"/>
          <w:color w:val="3E5588"/>
        </w:rPr>
        <w:t>Registration Requirements, Exemptions and Ongoing Registrant Obligations</w:t>
      </w:r>
      <w:r>
        <w:rPr>
          <w:rFonts w:ascii="Arial" w:cs="Arial" w:eastAsia="Arial" w:hAnsi="Arial"/>
          <w:sz w:val="16"/>
          <w:szCs w:val="16"/>
          <w:color w:val="3E5588"/>
        </w:rPr>
        <w:t>. Any resale of shares of our common stock must be made in accordance with an exemption from, or in a transaction not subject to, the prospectus requirements of applicable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5"/>
        <w:spacing w:after="0" w:line="298" w:lineRule="auto"/>
        <w:rPr>
          <w:sz w:val="20"/>
          <w:szCs w:val="20"/>
          <w:color w:val="auto"/>
        </w:rPr>
      </w:pPr>
      <w:r>
        <w:rPr>
          <w:rFonts w:ascii="Arial" w:cs="Arial" w:eastAsia="Arial" w:hAnsi="Arial"/>
          <w:sz w:val="16"/>
          <w:szCs w:val="16"/>
          <w:color w:val="3E5588"/>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3E5588"/>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Israel</w:t>
      </w:r>
    </w:p>
    <w:p>
      <w:pPr>
        <w:spacing w:after="0" w:line="225"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3E5588"/>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and entities with shareholders' equity in excess of NIS 50 million, each as defined in the Addendum (as it may be amended from time to time, collectively referred to as institutional investors). Institutional investors may be required to submit written confirmation that they fall within the scope of the Addendum. In addition, we may distribute and direct this prospectus in Israel, at our sole discretion, to certain other exempt investors or to investors who do not qualify as institutional or exempt investors, provided that the number of such non-qualified investors in Israel shall be no greater than 35 in any 12-month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Switzerland</w:t>
      </w:r>
    </w:p>
    <w:p>
      <w:pPr>
        <w:spacing w:after="0" w:line="225"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3E5588"/>
        </w:rPr>
        <w:t>The shares may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this offering may be publicly distributed or otherwise made publicly available in Switzerland. Neither this prospectus nor any other offering or marketing material relating to this offering, us, or the shares have been or will be filed with or approved by any Swiss regulatory authority. In particular, this prospectus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Dubai International Financial Centre</w:t>
      </w:r>
    </w:p>
    <w:p>
      <w:pPr>
        <w:spacing w:after="0" w:line="225" w:lineRule="exact"/>
        <w:rPr>
          <w:sz w:val="20"/>
          <w:szCs w:val="20"/>
          <w:color w:val="auto"/>
        </w:rPr>
      </w:pPr>
    </w:p>
    <w:p>
      <w:pPr>
        <w:jc w:val="both"/>
        <w:ind w:firstLine="496"/>
        <w:spacing w:after="0" w:line="294" w:lineRule="auto"/>
        <w:rPr>
          <w:sz w:val="20"/>
          <w:szCs w:val="20"/>
          <w:color w:val="auto"/>
        </w:rPr>
      </w:pPr>
      <w:r>
        <w:rPr>
          <w:rFonts w:ascii="Arial" w:cs="Arial" w:eastAsia="Arial" w:hAnsi="Arial"/>
          <w:sz w:val="16"/>
          <w:szCs w:val="16"/>
          <w:color w:val="3E5588"/>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3E5588"/>
        </w:rPr>
        <w:t>should conduct their own due diligence on the shares. If you do not understand the contents of this prospectus you should consult an authorized financial advisor.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United Arab Emirates</w:t>
      </w:r>
    </w:p>
    <w:p>
      <w:pPr>
        <w:spacing w:after="0" w:line="225" w:lineRule="exact"/>
        <w:rPr>
          <w:sz w:val="20"/>
          <w:szCs w:val="20"/>
          <w:color w:val="auto"/>
        </w:rPr>
      </w:pPr>
    </w:p>
    <w:p>
      <w:pPr>
        <w:jc w:val="both"/>
        <w:ind w:firstLine="404"/>
        <w:spacing w:after="0" w:line="294" w:lineRule="auto"/>
        <w:rPr>
          <w:sz w:val="20"/>
          <w:szCs w:val="20"/>
          <w:color w:val="auto"/>
        </w:rPr>
      </w:pPr>
      <w:r>
        <w:rPr>
          <w:rFonts w:ascii="Arial" w:cs="Arial" w:eastAsia="Arial" w:hAnsi="Arial"/>
          <w:sz w:val="16"/>
          <w:szCs w:val="16"/>
          <w:color w:val="3E5588"/>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Australia</w:t>
      </w:r>
    </w:p>
    <w:p>
      <w:pPr>
        <w:spacing w:after="0" w:line="225" w:lineRule="exact"/>
        <w:rPr>
          <w:sz w:val="20"/>
          <w:szCs w:val="20"/>
          <w:color w:val="auto"/>
        </w:rPr>
      </w:pPr>
    </w:p>
    <w:p>
      <w:pPr>
        <w:jc w:val="both"/>
        <w:ind w:firstLine="571"/>
        <w:spacing w:after="0" w:line="256" w:lineRule="auto"/>
        <w:rPr>
          <w:sz w:val="20"/>
          <w:szCs w:val="20"/>
          <w:color w:val="auto"/>
        </w:rPr>
      </w:pPr>
      <w:r>
        <w:rPr>
          <w:rFonts w:ascii="Arial" w:cs="Arial" w:eastAsia="Arial" w:hAnsi="Arial"/>
          <w:sz w:val="18"/>
          <w:szCs w:val="18"/>
          <w:color w:val="3E5588"/>
        </w:rPr>
        <w:t>No placement document, prospectus, product disclosure statement or other disclosure document has been lodged with the Australian Securities and Investments Commission, or ASIC, in relation to this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jc w:val="both"/>
        <w:ind w:firstLine="500"/>
        <w:spacing w:after="0" w:line="256" w:lineRule="auto"/>
        <w:rPr>
          <w:sz w:val="20"/>
          <w:szCs w:val="20"/>
          <w:color w:val="auto"/>
        </w:rPr>
      </w:pPr>
      <w:r>
        <w:rPr>
          <w:rFonts w:ascii="Arial" w:cs="Arial" w:eastAsia="Arial" w:hAnsi="Arial"/>
          <w:sz w:val="18"/>
          <w:szCs w:val="18"/>
          <w:color w:val="3E5588"/>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jc w:val="both"/>
        <w:ind w:firstLine="366"/>
        <w:spacing w:after="0" w:line="298" w:lineRule="auto"/>
        <w:rPr>
          <w:sz w:val="20"/>
          <w:szCs w:val="20"/>
          <w:color w:val="auto"/>
        </w:rPr>
      </w:pPr>
      <w:r>
        <w:rPr>
          <w:rFonts w:ascii="Arial" w:cs="Arial" w:eastAsia="Arial" w:hAnsi="Arial"/>
          <w:sz w:val="16"/>
          <w:szCs w:val="16"/>
          <w:color w:val="3E5588"/>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3E5588"/>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 or their needs, objectives and circumstances, and, if necessary, seek expert advice on those matters.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Hong Kong</w:t>
      </w:r>
    </w:p>
    <w:p>
      <w:pPr>
        <w:spacing w:after="0" w:line="225" w:lineRule="exact"/>
        <w:rPr>
          <w:sz w:val="20"/>
          <w:szCs w:val="20"/>
          <w:color w:val="auto"/>
        </w:rPr>
      </w:pPr>
    </w:p>
    <w:p>
      <w:pPr>
        <w:jc w:val="both"/>
        <w:ind w:firstLine="366"/>
        <w:spacing w:after="0" w:line="290" w:lineRule="auto"/>
        <w:rPr>
          <w:sz w:val="20"/>
          <w:szCs w:val="20"/>
          <w:color w:val="auto"/>
        </w:rPr>
      </w:pPr>
      <w:r>
        <w:rPr>
          <w:rFonts w:ascii="Arial" w:cs="Arial" w:eastAsia="Arial" w:hAnsi="Arial"/>
          <w:sz w:val="16"/>
          <w:szCs w:val="16"/>
          <w:color w:val="3E5588"/>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shares which are or are intended to be disposed of only to persons outside Hong Kong or only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"professional investors" as defined in the Securities and Futures Ordinance and any rules made under that Ordinance.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Singapore</w:t>
      </w:r>
    </w:p>
    <w:p>
      <w:pPr>
        <w:spacing w:after="0" w:line="225" w:lineRule="exact"/>
        <w:rPr>
          <w:sz w:val="20"/>
          <w:szCs w:val="20"/>
          <w:color w:val="auto"/>
        </w:rPr>
      </w:pPr>
    </w:p>
    <w:p>
      <w:pPr>
        <w:jc w:val="both"/>
        <w:ind w:firstLine="391"/>
        <w:spacing w:after="0" w:line="291" w:lineRule="auto"/>
        <w:rPr>
          <w:sz w:val="20"/>
          <w:szCs w:val="20"/>
          <w:color w:val="auto"/>
        </w:rPr>
      </w:pPr>
      <w:r>
        <w:rPr>
          <w:rFonts w:ascii="Arial" w:cs="Arial" w:eastAsia="Arial" w:hAnsi="Arial"/>
          <w:sz w:val="16"/>
          <w:szCs w:val="16"/>
          <w:color w:val="3E5588"/>
        </w:rPr>
        <w:t>This prospectus has not been registered as a prospectus with the Monetary Authority of Singapore. Accordingly, this prospectus and any other document or material in connection with the offer or sale, or invitation for subscription or purchase, of our shares may not be circulated or distributed, nor may our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4" w:lineRule="exact"/>
        <w:rPr>
          <w:sz w:val="20"/>
          <w:szCs w:val="20"/>
          <w:color w:val="auto"/>
        </w:rPr>
      </w:pPr>
    </w:p>
    <w:p>
      <w:pPr>
        <w:jc w:val="both"/>
        <w:ind w:firstLine="449"/>
        <w:spacing w:after="0" w:line="287" w:lineRule="auto"/>
        <w:rPr>
          <w:sz w:val="20"/>
          <w:szCs w:val="20"/>
          <w:color w:val="auto"/>
        </w:rPr>
      </w:pPr>
      <w:r>
        <w:rPr>
          <w:rFonts w:ascii="Arial" w:cs="Arial" w:eastAsia="Arial" w:hAnsi="Arial"/>
          <w:sz w:val="16"/>
          <w:szCs w:val="16"/>
          <w:color w:val="3E5588"/>
        </w:rPr>
        <w:t>Where our shares are subscribed or purchased under Section 275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under Section 275 of the SFA, except: (1) 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 (2) where no consideration is or will be given for the transfer; or (3) where the transfer is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Saudi Arabia</w:t>
      </w:r>
    </w:p>
    <w:p>
      <w:pPr>
        <w:spacing w:after="0" w:line="225" w:lineRule="exact"/>
        <w:rPr>
          <w:sz w:val="20"/>
          <w:szCs w:val="20"/>
          <w:color w:val="auto"/>
        </w:rPr>
      </w:pPr>
    </w:p>
    <w:p>
      <w:pPr>
        <w:jc w:val="both"/>
        <w:ind w:firstLine="358"/>
        <w:spacing w:after="0" w:line="291" w:lineRule="auto"/>
        <w:rPr>
          <w:sz w:val="20"/>
          <w:szCs w:val="20"/>
          <w:color w:val="auto"/>
        </w:rPr>
      </w:pPr>
      <w:r>
        <w:rPr>
          <w:rFonts w:ascii="Arial" w:cs="Arial" w:eastAsia="Arial" w:hAnsi="Arial"/>
          <w:sz w:val="16"/>
          <w:szCs w:val="16"/>
          <w:color w:val="3E5588"/>
        </w:rPr>
        <w:t>This prospectus may not be distributed in the Kingdom of Saudi Arabia except to such persons as are permitted under the Offers of Securities Regulations as issued by the board of the Saudi Arabian Capital Market Authority, or the CMA pursuant to resolution number 2-11-2004 dated 4 October 2004 as amended by resolution number 1-28-2008, as amended, or the CMA Regulations.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China</w:t>
      </w:r>
    </w:p>
    <w:p>
      <w:pPr>
        <w:spacing w:after="0" w:line="225"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3E5588"/>
        </w:rPr>
        <w:t>This prospectus does not constitute a public offer of shares, whether by sale or subscription, in the People's Republic of China, or the PRC. The shares are not being offered or sold directly or indirectly in the PRC to or for the benefit of, legal or natural persons of the PRC.</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3E5588"/>
        </w:rPr>
        <w:t>Further, no legal or natural persons of the PRC may directly or indirectly purchase any of the shares or any beneficial interest therein without obtaining all prior PRC's governmental approvals that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3E5588"/>
        </w:rPr>
        <w:t>required, whether statutorily or otherwise. Persons who come into possession of this prospectus are required by the issuer and its representatives to observe these restrictions.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Korea</w:t>
      </w:r>
    </w:p>
    <w:p>
      <w:pPr>
        <w:spacing w:after="0" w:line="225" w:lineRule="exact"/>
        <w:rPr>
          <w:sz w:val="20"/>
          <w:szCs w:val="20"/>
          <w:color w:val="auto"/>
        </w:rPr>
      </w:pPr>
    </w:p>
    <w:p>
      <w:pPr>
        <w:jc w:val="both"/>
        <w:ind w:firstLine="517"/>
        <w:spacing w:after="0" w:line="289" w:lineRule="auto"/>
        <w:rPr>
          <w:sz w:val="20"/>
          <w:szCs w:val="20"/>
          <w:color w:val="auto"/>
        </w:rPr>
      </w:pPr>
      <w:r>
        <w:rPr>
          <w:rFonts w:ascii="Arial" w:cs="Arial" w:eastAsia="Arial" w:hAnsi="Arial"/>
          <w:sz w:val="16"/>
          <w:szCs w:val="16"/>
          <w:color w:val="3E5588"/>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shares have not been listed on any of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Taiwan</w:t>
      </w:r>
    </w:p>
    <w:p>
      <w:pPr>
        <w:spacing w:after="0" w:line="225" w:lineRule="exact"/>
        <w:rPr>
          <w:sz w:val="20"/>
          <w:szCs w:val="20"/>
          <w:color w:val="auto"/>
        </w:rPr>
      </w:pPr>
    </w:p>
    <w:p>
      <w:pPr>
        <w:jc w:val="both"/>
        <w:ind w:right="20" w:firstLine="550"/>
        <w:spacing w:after="0" w:line="298" w:lineRule="auto"/>
        <w:rPr>
          <w:sz w:val="20"/>
          <w:szCs w:val="20"/>
          <w:color w:val="auto"/>
        </w:rPr>
      </w:pPr>
      <w:r>
        <w:rPr>
          <w:rFonts w:ascii="Arial" w:cs="Arial" w:eastAsia="Arial" w:hAnsi="Arial"/>
          <w:sz w:val="16"/>
          <w:szCs w:val="16"/>
          <w:color w:val="3E5588"/>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this offering and sale of the shares in Taiwan.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LEGAL MATTERS</w:t>
      </w:r>
    </w:p>
    <w:p>
      <w:pPr>
        <w:spacing w:after="0" w:line="231"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3E5588"/>
        </w:rPr>
        <w:t>The validity of the shares of common stock offered hereby is being passed upon for us by Wilmer Cutler Pickering Hale and Dorr LLP, Boston, Massachusetts. Ropes &amp; Gray LLP, Boston, Massachusetts is acting as counsel for the underwriters in connection with this offering.</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EXPERTS</w:t>
      </w:r>
    </w:p>
    <w:p>
      <w:pPr>
        <w:spacing w:after="0" w:line="231" w:lineRule="exact"/>
        <w:rPr>
          <w:sz w:val="20"/>
          <w:szCs w:val="20"/>
          <w:color w:val="auto"/>
        </w:rPr>
      </w:pPr>
    </w:p>
    <w:p>
      <w:pPr>
        <w:jc w:val="both"/>
        <w:ind w:firstLine="400"/>
        <w:spacing w:after="0" w:line="255" w:lineRule="auto"/>
        <w:rPr>
          <w:sz w:val="20"/>
          <w:szCs w:val="20"/>
          <w:color w:val="auto"/>
        </w:rPr>
      </w:pPr>
      <w:r>
        <w:rPr>
          <w:rFonts w:ascii="Arial" w:cs="Arial" w:eastAsia="Arial" w:hAnsi="Arial"/>
          <w:sz w:val="18"/>
          <w:szCs w:val="18"/>
          <w:color w:val="3E5588"/>
        </w:rPr>
        <w:t>Ernst &amp; Young LLP, independent registered public accounting firm, has audited our consolidated financial statements at December 31, 2017 and 2018, and for each of the two years in the period ended December 31, 2018, as set forth in their report (which contains an explanatory paragraph describing conditions that raise substantial doubt about the company's ability to continue as a going concern as described in Note 1 to the consolidated financial statements). We have included our financial statements in the prospectus and elsewhere in the registration statement in reliance on Ernst &amp; Young LLP's report, given on their authority as experts in accounting and auditing.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WHERE YOU CAN FIND MORE INFORMATION</w:t>
      </w:r>
    </w:p>
    <w:p>
      <w:pPr>
        <w:spacing w:after="0" w:line="23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3E5588"/>
        </w:rPr>
        <w:t>We have filed with the SEC a registration statement on Form S-1 under the Securities Act with respect to the shares of common stock we are offering to sell. This prospectus, which constitutes part of the registration statement, does not include all of the information contained in the registration statement and the exhibits, schedules and amendments to the registration statement. For further information with respect to us and our common stock, we refer you to the registration statement and to the exhibits and schedules to the registration statement. Statements contained in this prospectus about the contents of any contract, agreement or other document are not necessarily complete, and, in each instance, we refer you to the copy of the contract, agreement or other document filed as an exhibit to the registration statement. Each of these statements is qualified in all respects by this reference to such contract, agreement or document.</w:t>
      </w:r>
    </w:p>
    <w:p>
      <w:pPr>
        <w:spacing w:after="0" w:line="174" w:lineRule="exact"/>
        <w:rPr>
          <w:sz w:val="20"/>
          <w:szCs w:val="20"/>
          <w:color w:val="auto"/>
        </w:rPr>
      </w:pPr>
    </w:p>
    <w:p>
      <w:pPr>
        <w:jc w:val="both"/>
        <w:ind w:firstLine="600"/>
        <w:spacing w:after="0" w:line="290" w:lineRule="auto"/>
        <w:rPr>
          <w:sz w:val="20"/>
          <w:szCs w:val="20"/>
          <w:color w:val="auto"/>
        </w:rPr>
      </w:pPr>
      <w:r>
        <w:rPr>
          <w:rFonts w:ascii="Arial" w:cs="Arial" w:eastAsia="Arial" w:hAnsi="Arial"/>
          <w:sz w:val="16"/>
          <w:szCs w:val="16"/>
          <w:color w:val="3E5588"/>
        </w:rPr>
        <w:t>The SEC maintains an Internet website, which is located at http://www.sec.gov, that contains reports, proxy and information statements and other information regarding issuers that file electronically with the SEC. You may access the registration statement of which this prospectus is a part at the SEC's Internet website. Upon completion of this offering, we will be subject to the information reporting requirements of the Securities Exchange Act of 1934, as amended, and we will file reports, proxy statements and other information with the SEC. We plan to fulfill our obligations with respect to such requirements by filing periodic reports and other information with the SEC. We intend to furnish our stockholders with annual reports containing financial statements certified by an independent registered public accounting firm. Our website address is www.fulcrumtx.com. The information contained on, or that can be accessed through, our website is not a part of this prospectus. We have included our website address in this prospectus solely as an inactive textual reference.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3E5588"/>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60" w:type="dxa"/>
            <w:vAlign w:val="bottom"/>
            <w:gridSpan w:val="8"/>
            <w:vMerge w:val="restart"/>
          </w:tcPr>
          <w:p>
            <w:pPr>
              <w:ind w:left="1140"/>
              <w:spacing w:after="0"/>
              <w:rPr>
                <w:sz w:val="20"/>
                <w:szCs w:val="20"/>
                <w:color w:val="auto"/>
              </w:rPr>
            </w:pPr>
            <w:r>
              <w:rPr>
                <w:rFonts w:ascii="Arial" w:cs="Arial" w:eastAsia="Arial" w:hAnsi="Arial"/>
                <w:sz w:val="18"/>
                <w:szCs w:val="18"/>
                <w:color w:val="3E5588"/>
              </w:rPr>
              <w:t>Years Ended December 31, 2017 and 2018</w:t>
            </w:r>
          </w:p>
        </w:tc>
        <w:tc>
          <w:tcPr>
            <w:tcW w:w="1760" w:type="dxa"/>
            <w:vAlign w:val="bottom"/>
            <w:gridSpan w:val="5"/>
          </w:tcPr>
          <w:p>
            <w:pPr>
              <w:ind w:left="80"/>
              <w:spacing w:after="0"/>
              <w:rPr>
                <w:sz w:val="20"/>
                <w:szCs w:val="20"/>
                <w:color w:val="auto"/>
              </w:rPr>
            </w:pPr>
            <w:r>
              <w:rPr>
                <w:rFonts w:ascii="Arial" w:cs="Arial" w:eastAsia="Arial" w:hAnsi="Arial"/>
                <w:sz w:val="14"/>
                <w:szCs w:val="14"/>
                <w:b w:val="1"/>
                <w:bCs w:val="1"/>
                <w:color w:val="3E5588"/>
              </w:rPr>
              <w:t>Page</w:t>
            </w:r>
          </w:p>
        </w:tc>
        <w:tc>
          <w:tcPr>
            <w:tcW w:w="0" w:type="dxa"/>
            <w:vAlign w:val="bottom"/>
          </w:tcPr>
          <w:p>
            <w:pPr>
              <w:spacing w:after="0"/>
              <w:rPr>
                <w:sz w:val="1"/>
                <w:szCs w:val="1"/>
                <w:color w:val="auto"/>
              </w:rPr>
            </w:pPr>
          </w:p>
        </w:tc>
      </w:tr>
      <w:tr>
        <w:trPr>
          <w:trHeight w:val="201"/>
        </w:trPr>
        <w:tc>
          <w:tcPr>
            <w:tcW w:w="9660" w:type="dxa"/>
            <w:vAlign w:val="bottom"/>
            <w:gridSpan w:val="8"/>
            <w:vMerge w:val="continue"/>
          </w:tcPr>
          <w:p>
            <w:pPr>
              <w:spacing w:after="0"/>
              <w:rPr>
                <w:sz w:val="17"/>
                <w:szCs w:val="17"/>
                <w:color w:val="auto"/>
              </w:rPr>
            </w:pPr>
          </w:p>
        </w:tc>
        <w:tc>
          <w:tcPr>
            <w:tcW w:w="120" w:type="dxa"/>
            <w:vAlign w:val="bottom"/>
            <w:tcBorders>
              <w:top w:val="single" w:sz="8" w:color="3E5588"/>
            </w:tcBorders>
          </w:tcPr>
          <w:p>
            <w:pPr>
              <w:spacing w:after="0"/>
              <w:rPr>
                <w:sz w:val="17"/>
                <w:szCs w:val="17"/>
                <w:color w:val="auto"/>
              </w:rPr>
            </w:pPr>
          </w:p>
        </w:tc>
        <w:tc>
          <w:tcPr>
            <w:tcW w:w="100" w:type="dxa"/>
            <w:vAlign w:val="bottom"/>
            <w:tcBorders>
              <w:top w:val="single" w:sz="8" w:color="3E5588"/>
            </w:tcBorders>
          </w:tcPr>
          <w:p>
            <w:pPr>
              <w:spacing w:after="0"/>
              <w:rPr>
                <w:sz w:val="17"/>
                <w:szCs w:val="17"/>
                <w:color w:val="auto"/>
              </w:rPr>
            </w:pPr>
          </w:p>
        </w:tc>
        <w:tc>
          <w:tcPr>
            <w:tcW w:w="240" w:type="dxa"/>
            <w:vAlign w:val="bottom"/>
            <w:tcBorders>
              <w:top w:val="single" w:sz="8" w:color="3E5588"/>
            </w:tcBorders>
          </w:tcPr>
          <w:p>
            <w:pPr>
              <w:spacing w:after="0"/>
              <w:rPr>
                <w:sz w:val="17"/>
                <w:szCs w:val="17"/>
                <w:color w:val="auto"/>
              </w:rPr>
            </w:pPr>
          </w:p>
        </w:tc>
        <w:tc>
          <w:tcPr>
            <w:tcW w:w="20" w:type="dxa"/>
            <w:vAlign w:val="bottom"/>
            <w:tcBorders>
              <w:top w:val="single" w:sz="8" w:color="3E5588"/>
            </w:tcBorders>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3E5588"/>
              </w:rPr>
            </w:pPr>
            <w:hyperlink w:anchor="page208">
              <w:r>
                <w:rPr>
                  <w:rFonts w:ascii="Arial" w:cs="Arial" w:eastAsia="Arial" w:hAnsi="Arial"/>
                  <w:sz w:val="18"/>
                  <w:szCs w:val="18"/>
                  <w:color w:val="3E5588"/>
                </w:rPr>
                <w:t>Report of Independent Registered Public Accounting Firm</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right"/>
              <w:ind w:right="1300"/>
              <w:spacing w:after="0" w:line="184" w:lineRule="exact"/>
              <w:rPr>
                <w:rFonts w:ascii="Arial" w:cs="Arial" w:eastAsia="Arial" w:hAnsi="Arial"/>
                <w:sz w:val="18"/>
                <w:szCs w:val="18"/>
                <w:color w:val="3E5588"/>
                <w:w w:val="81"/>
              </w:rPr>
            </w:pPr>
            <w:hyperlink w:anchor="page208">
              <w:r>
                <w:rPr>
                  <w:rFonts w:ascii="Arial" w:cs="Arial" w:eastAsia="Arial" w:hAnsi="Arial"/>
                  <w:sz w:val="18"/>
                  <w:szCs w:val="18"/>
                  <w:color w:val="3E5588"/>
                  <w:w w:val="81"/>
                </w:rPr>
                <w:t>F-2</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4120" w:type="dxa"/>
            <w:vAlign w:val="bottom"/>
            <w:tcBorders>
              <w:top w:val="single" w:sz="8" w:color="3E5588"/>
            </w:tcBorders>
            <w:gridSpan w:val="4"/>
          </w:tcPr>
          <w:p>
            <w:pPr>
              <w:spacing w:after="0" w:line="196" w:lineRule="exact"/>
              <w:rPr>
                <w:rFonts w:ascii="Arial" w:cs="Arial" w:eastAsia="Arial" w:hAnsi="Arial"/>
                <w:sz w:val="18"/>
                <w:szCs w:val="18"/>
                <w:color w:val="3E5588"/>
              </w:rPr>
            </w:pPr>
            <w:hyperlink w:anchor="page209">
              <w:r>
                <w:rPr>
                  <w:rFonts w:ascii="Arial" w:cs="Arial" w:eastAsia="Arial" w:hAnsi="Arial"/>
                  <w:sz w:val="18"/>
                  <w:szCs w:val="18"/>
                  <w:color w:val="3E5588"/>
                </w:rPr>
                <w:t>Consolidated Balance Sheets</w:t>
              </w:r>
            </w:hyperlink>
          </w:p>
        </w:tc>
        <w:tc>
          <w:tcPr>
            <w:tcW w:w="422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3E5588"/>
            </w:tcBorders>
          </w:tcPr>
          <w:p>
            <w:pPr>
              <w:jc w:val="right"/>
              <w:spacing w:after="0" w:line="196" w:lineRule="exact"/>
              <w:rPr>
                <w:rFonts w:ascii="Arial" w:cs="Arial" w:eastAsia="Arial" w:hAnsi="Arial"/>
                <w:sz w:val="18"/>
                <w:szCs w:val="18"/>
                <w:color w:val="3E5588"/>
                <w:w w:val="81"/>
              </w:rPr>
            </w:pPr>
            <w:hyperlink w:anchor="page209">
              <w:r>
                <w:rPr>
                  <w:rFonts w:ascii="Arial" w:cs="Arial" w:eastAsia="Arial" w:hAnsi="Arial"/>
                  <w:sz w:val="18"/>
                  <w:szCs w:val="18"/>
                  <w:color w:val="3E5588"/>
                  <w:w w:val="81"/>
                </w:rPr>
                <w:t>F-3</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3E5588"/>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3E5588"/>
            </w:tcBorders>
            <w:gridSpan w:val="5"/>
          </w:tcPr>
          <w:p>
            <w:pPr>
              <w:spacing w:after="0" w:line="196" w:lineRule="exact"/>
              <w:rPr>
                <w:rFonts w:ascii="Arial" w:cs="Arial" w:eastAsia="Arial" w:hAnsi="Arial"/>
                <w:sz w:val="18"/>
                <w:szCs w:val="18"/>
                <w:color w:val="3E5588"/>
                <w:w w:val="87"/>
              </w:rPr>
            </w:pPr>
            <w:hyperlink w:anchor="page210">
              <w:r>
                <w:rPr>
                  <w:rFonts w:ascii="Arial" w:cs="Arial" w:eastAsia="Arial" w:hAnsi="Arial"/>
                  <w:sz w:val="18"/>
                  <w:szCs w:val="18"/>
                  <w:color w:val="3E5588"/>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3E5588"/>
            </w:tcBorders>
          </w:tcPr>
          <w:p>
            <w:pPr>
              <w:jc w:val="right"/>
              <w:spacing w:after="0" w:line="196" w:lineRule="exact"/>
              <w:rPr>
                <w:rFonts w:ascii="Arial" w:cs="Arial" w:eastAsia="Arial" w:hAnsi="Arial"/>
                <w:sz w:val="18"/>
                <w:szCs w:val="18"/>
                <w:color w:val="3E5588"/>
                <w:w w:val="81"/>
              </w:rPr>
            </w:pPr>
            <w:hyperlink w:anchor="page210">
              <w:r>
                <w:rPr>
                  <w:rFonts w:ascii="Arial" w:cs="Arial" w:eastAsia="Arial" w:hAnsi="Arial"/>
                  <w:sz w:val="18"/>
                  <w:szCs w:val="18"/>
                  <w:color w:val="3E5588"/>
                  <w:w w:val="81"/>
                </w:rPr>
                <w:t>F-4</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3E5588"/>
              </w:rPr>
            </w:pPr>
            <w:hyperlink w:anchor="page211">
              <w:r>
                <w:rPr>
                  <w:rFonts w:ascii="Arial" w:cs="Arial" w:eastAsia="Arial" w:hAnsi="Arial"/>
                  <w:sz w:val="18"/>
                  <w:szCs w:val="18"/>
                  <w:color w:val="3E5588"/>
                </w:rPr>
                <w:t>Consolidated Statements of Convertible Preferred Stock and Stockholders' (Deficit) Equity</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3E5588"/>
                <w:w w:val="81"/>
              </w:rPr>
            </w:pPr>
            <w:hyperlink w:anchor="page211">
              <w:r>
                <w:rPr>
                  <w:rFonts w:ascii="Arial" w:cs="Arial" w:eastAsia="Arial" w:hAnsi="Arial"/>
                  <w:sz w:val="18"/>
                  <w:szCs w:val="18"/>
                  <w:color w:val="3E5588"/>
                  <w:w w:val="81"/>
                </w:rPr>
                <w:t>F-5</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3E5588"/>
            </w:tcBorders>
            <w:gridSpan w:val="6"/>
          </w:tcPr>
          <w:p>
            <w:pPr>
              <w:spacing w:after="0" w:line="196" w:lineRule="exact"/>
              <w:rPr>
                <w:rFonts w:ascii="Arial" w:cs="Arial" w:eastAsia="Arial" w:hAnsi="Arial"/>
                <w:sz w:val="18"/>
                <w:szCs w:val="18"/>
                <w:color w:val="3E5588"/>
              </w:rPr>
            </w:pPr>
            <w:hyperlink w:anchor="page212">
              <w:r>
                <w:rPr>
                  <w:rFonts w:ascii="Arial" w:cs="Arial" w:eastAsia="Arial" w:hAnsi="Arial"/>
                  <w:sz w:val="18"/>
                  <w:szCs w:val="18"/>
                  <w:color w:val="3E5588"/>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3E5588"/>
            </w:tcBorders>
          </w:tcPr>
          <w:p>
            <w:pPr>
              <w:jc w:val="right"/>
              <w:spacing w:after="0" w:line="196" w:lineRule="exact"/>
              <w:rPr>
                <w:rFonts w:ascii="Arial" w:cs="Arial" w:eastAsia="Arial" w:hAnsi="Arial"/>
                <w:sz w:val="18"/>
                <w:szCs w:val="18"/>
                <w:color w:val="3E5588"/>
                <w:w w:val="81"/>
              </w:rPr>
            </w:pPr>
            <w:hyperlink w:anchor="page212">
              <w:r>
                <w:rPr>
                  <w:rFonts w:ascii="Arial" w:cs="Arial" w:eastAsia="Arial" w:hAnsi="Arial"/>
                  <w:sz w:val="18"/>
                  <w:szCs w:val="18"/>
                  <w:color w:val="3E5588"/>
                  <w:w w:val="81"/>
                </w:rPr>
                <w:t>F-6</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3E558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3E5588"/>
              </w:rPr>
            </w:pPr>
            <w:hyperlink w:anchor="page213">
              <w:r>
                <w:rPr>
                  <w:rFonts w:ascii="Arial" w:cs="Arial" w:eastAsia="Arial" w:hAnsi="Arial"/>
                  <w:sz w:val="18"/>
                  <w:szCs w:val="18"/>
                  <w:color w:val="3E5588"/>
                </w:rPr>
                <w:t>Notes to Consolidated Financial Statements</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3"/>
          </w:tcPr>
          <w:p>
            <w:pPr>
              <w:jc w:val="right"/>
              <w:ind w:right="1300"/>
              <w:spacing w:after="0" w:line="196" w:lineRule="exact"/>
              <w:rPr>
                <w:rFonts w:ascii="Arial" w:cs="Arial" w:eastAsia="Arial" w:hAnsi="Arial"/>
                <w:sz w:val="18"/>
                <w:szCs w:val="18"/>
                <w:color w:val="3E5588"/>
                <w:w w:val="81"/>
              </w:rPr>
            </w:pPr>
            <w:hyperlink w:anchor="page213">
              <w:r>
                <w:rPr>
                  <w:rFonts w:ascii="Arial" w:cs="Arial" w:eastAsia="Arial" w:hAnsi="Arial"/>
                  <w:sz w:val="18"/>
                  <w:szCs w:val="18"/>
                  <w:color w:val="3E5588"/>
                  <w:w w:val="81"/>
                </w:rPr>
                <w:t>F-7</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080" w:type="dxa"/>
            <w:vAlign w:val="bottom"/>
            <w:gridSpan w:val="3"/>
            <w:shd w:val="clear" w:color="auto" w:fill="3E5588"/>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9660" w:type="dxa"/>
            <w:vAlign w:val="bottom"/>
            <w:gridSpan w:val="8"/>
          </w:tcPr>
          <w:p>
            <w:pPr>
              <w:ind w:left="1140"/>
              <w:spacing w:after="0"/>
              <w:rPr>
                <w:sz w:val="20"/>
                <w:szCs w:val="20"/>
                <w:color w:val="auto"/>
              </w:rPr>
            </w:pPr>
            <w:r>
              <w:rPr>
                <w:rFonts w:ascii="Arial" w:cs="Arial" w:eastAsia="Arial" w:hAnsi="Arial"/>
                <w:sz w:val="18"/>
                <w:szCs w:val="18"/>
                <w:color w:val="3E5588"/>
              </w:rPr>
              <w:t>Interim Financial Statements (Unaudited)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320" w:type="dxa"/>
            <w:vAlign w:val="bottom"/>
          </w:tcPr>
          <w:p>
            <w:pPr>
              <w:spacing w:after="0"/>
              <w:rPr>
                <w:sz w:val="15"/>
                <w:szCs w:val="15"/>
                <w:color w:val="auto"/>
              </w:rPr>
            </w:pPr>
          </w:p>
        </w:tc>
        <w:tc>
          <w:tcPr>
            <w:tcW w:w="8340" w:type="dxa"/>
            <w:vAlign w:val="bottom"/>
            <w:gridSpan w:val="7"/>
          </w:tcPr>
          <w:p>
            <w:pPr>
              <w:spacing w:after="0" w:line="184" w:lineRule="exact"/>
              <w:rPr>
                <w:rFonts w:ascii="Arial" w:cs="Arial" w:eastAsia="Arial" w:hAnsi="Arial"/>
                <w:sz w:val="18"/>
                <w:szCs w:val="18"/>
                <w:color w:val="3E5588"/>
              </w:rPr>
            </w:pPr>
            <w:hyperlink w:anchor="page240">
              <w:r>
                <w:rPr>
                  <w:rFonts w:ascii="Arial" w:cs="Arial" w:eastAsia="Arial" w:hAnsi="Arial"/>
                  <w:sz w:val="18"/>
                  <w:szCs w:val="18"/>
                  <w:color w:val="3E5588"/>
                </w:rPr>
                <w:t>Consolidated Balance Sheets</w:t>
              </w:r>
            </w:hyperlink>
          </w:p>
        </w:tc>
        <w:tc>
          <w:tcPr>
            <w:tcW w:w="120" w:type="dxa"/>
            <w:vAlign w:val="bottom"/>
          </w:tcPr>
          <w:p>
            <w:pPr>
              <w:spacing w:after="0"/>
              <w:rPr>
                <w:sz w:val="15"/>
                <w:szCs w:val="15"/>
                <w:color w:val="auto"/>
              </w:rPr>
            </w:pPr>
          </w:p>
        </w:tc>
        <w:tc>
          <w:tcPr>
            <w:tcW w:w="1640" w:type="dxa"/>
            <w:vAlign w:val="bottom"/>
            <w:gridSpan w:val="4"/>
          </w:tcPr>
          <w:p>
            <w:pPr>
              <w:jc w:val="right"/>
              <w:ind w:right="1300"/>
              <w:spacing w:after="0" w:line="184" w:lineRule="exact"/>
              <w:rPr>
                <w:rFonts w:ascii="Arial" w:cs="Arial" w:eastAsia="Arial" w:hAnsi="Arial"/>
                <w:sz w:val="18"/>
                <w:szCs w:val="18"/>
                <w:color w:val="3E5588"/>
                <w:w w:val="86"/>
              </w:rPr>
            </w:pPr>
            <w:hyperlink w:anchor="page240">
              <w:r>
                <w:rPr>
                  <w:rFonts w:ascii="Arial" w:cs="Arial" w:eastAsia="Arial" w:hAnsi="Arial"/>
                  <w:sz w:val="18"/>
                  <w:szCs w:val="18"/>
                  <w:color w:val="3E5588"/>
                  <w:w w:val="86"/>
                </w:rPr>
                <w:t>F-34</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40" w:type="dxa"/>
            <w:vAlign w:val="bottom"/>
            <w:shd w:val="clear" w:color="auto" w:fill="3E5588"/>
          </w:tcPr>
          <w:p>
            <w:pPr>
              <w:spacing w:after="0" w:line="20" w:lineRule="exact"/>
              <w:rPr>
                <w:sz w:val="1"/>
                <w:szCs w:val="1"/>
                <w:color w:val="auto"/>
              </w:rPr>
            </w:pPr>
          </w:p>
        </w:tc>
        <w:tc>
          <w:tcPr>
            <w:tcW w:w="63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3E558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4580" w:type="dxa"/>
            <w:vAlign w:val="bottom"/>
            <w:tcBorders>
              <w:bottom w:val="single" w:sz="8" w:color="3E5588"/>
            </w:tcBorders>
            <w:gridSpan w:val="5"/>
          </w:tcPr>
          <w:p>
            <w:pPr>
              <w:spacing w:after="0" w:line="196" w:lineRule="exact"/>
              <w:rPr>
                <w:rFonts w:ascii="Arial" w:cs="Arial" w:eastAsia="Arial" w:hAnsi="Arial"/>
                <w:sz w:val="18"/>
                <w:szCs w:val="18"/>
                <w:color w:val="3E5588"/>
                <w:w w:val="87"/>
              </w:rPr>
            </w:pPr>
            <w:hyperlink w:anchor="page241">
              <w:r>
                <w:rPr>
                  <w:rFonts w:ascii="Arial" w:cs="Arial" w:eastAsia="Arial" w:hAnsi="Arial"/>
                  <w:sz w:val="18"/>
                  <w:szCs w:val="18"/>
                  <w:color w:val="3E5588"/>
                  <w:w w:val="87"/>
                </w:rPr>
                <w:t>Consolidated Statements of Operations and Comprehensive Loss</w:t>
              </w:r>
            </w:hyperlink>
          </w:p>
        </w:tc>
        <w:tc>
          <w:tcPr>
            <w:tcW w:w="37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3E5588"/>
            </w:tcBorders>
            <w:gridSpan w:val="2"/>
          </w:tcPr>
          <w:p>
            <w:pPr>
              <w:jc w:val="right"/>
              <w:spacing w:after="0" w:line="196" w:lineRule="exact"/>
              <w:rPr>
                <w:rFonts w:ascii="Arial" w:cs="Arial" w:eastAsia="Arial" w:hAnsi="Arial"/>
                <w:sz w:val="18"/>
                <w:szCs w:val="18"/>
                <w:color w:val="3E5588"/>
                <w:w w:val="86"/>
              </w:rPr>
            </w:pPr>
            <w:hyperlink w:anchor="page241">
              <w:r>
                <w:rPr>
                  <w:rFonts w:ascii="Arial" w:cs="Arial" w:eastAsia="Arial" w:hAnsi="Arial"/>
                  <w:sz w:val="18"/>
                  <w:szCs w:val="18"/>
                  <w:color w:val="3E5588"/>
                  <w:w w:val="86"/>
                </w:rPr>
                <w:t>F-35</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3E5588"/>
              </w:rPr>
            </w:pPr>
            <w:hyperlink w:anchor="page242">
              <w:r>
                <w:rPr>
                  <w:rFonts w:ascii="Arial" w:cs="Arial" w:eastAsia="Arial" w:hAnsi="Arial"/>
                  <w:sz w:val="18"/>
                  <w:szCs w:val="18"/>
                  <w:color w:val="3E5588"/>
                </w:rPr>
                <w:t>Consolidated Statements of Convertible Preferred Stock and Stockholders' (Deficit) Equity</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3E5588"/>
                <w:w w:val="86"/>
              </w:rPr>
            </w:pPr>
            <w:hyperlink w:anchor="page242">
              <w:r>
                <w:rPr>
                  <w:rFonts w:ascii="Arial" w:cs="Arial" w:eastAsia="Arial" w:hAnsi="Arial"/>
                  <w:sz w:val="18"/>
                  <w:szCs w:val="18"/>
                  <w:color w:val="3E5588"/>
                  <w:w w:val="86"/>
                </w:rPr>
                <w:t>F-36</w:t>
              </w:r>
            </w:hyperlink>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400" w:type="dxa"/>
            <w:vAlign w:val="bottom"/>
            <w:tcBorders>
              <w:top w:val="single" w:sz="8" w:color="3E5588"/>
            </w:tcBorders>
            <w:gridSpan w:val="6"/>
          </w:tcPr>
          <w:p>
            <w:pPr>
              <w:spacing w:after="0" w:line="196" w:lineRule="exact"/>
              <w:rPr>
                <w:rFonts w:ascii="Arial" w:cs="Arial" w:eastAsia="Arial" w:hAnsi="Arial"/>
                <w:sz w:val="18"/>
                <w:szCs w:val="18"/>
                <w:color w:val="3E5588"/>
              </w:rPr>
            </w:pPr>
            <w:hyperlink w:anchor="page243">
              <w:r>
                <w:rPr>
                  <w:rFonts w:ascii="Arial" w:cs="Arial" w:eastAsia="Arial" w:hAnsi="Arial"/>
                  <w:sz w:val="18"/>
                  <w:szCs w:val="18"/>
                  <w:color w:val="3E5588"/>
                </w:rPr>
                <w:t>Consolidated Statements of Cash Flows</w:t>
              </w:r>
            </w:hyperlink>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3E5588"/>
            </w:tcBorders>
            <w:gridSpan w:val="2"/>
          </w:tcPr>
          <w:p>
            <w:pPr>
              <w:jc w:val="right"/>
              <w:spacing w:after="0" w:line="196" w:lineRule="exact"/>
              <w:rPr>
                <w:rFonts w:ascii="Arial" w:cs="Arial" w:eastAsia="Arial" w:hAnsi="Arial"/>
                <w:sz w:val="18"/>
                <w:szCs w:val="18"/>
                <w:color w:val="3E5588"/>
                <w:w w:val="86"/>
              </w:rPr>
            </w:pPr>
            <w:hyperlink w:anchor="page243">
              <w:r>
                <w:rPr>
                  <w:rFonts w:ascii="Arial" w:cs="Arial" w:eastAsia="Arial" w:hAnsi="Arial"/>
                  <w:sz w:val="18"/>
                  <w:szCs w:val="18"/>
                  <w:color w:val="3E5588"/>
                  <w:w w:val="86"/>
                </w:rPr>
                <w:t>F-37</w:t>
              </w:r>
            </w:hyperlink>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0" w:type="dxa"/>
            <w:vAlign w:val="bottom"/>
            <w:gridSpan w:val="2"/>
            <w:shd w:val="clear" w:color="auto" w:fill="3E5588"/>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shd w:val="clear" w:color="auto" w:fill="3E5588"/>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spacing w:after="0"/>
              <w:rPr>
                <w:sz w:val="17"/>
                <w:szCs w:val="17"/>
                <w:color w:val="auto"/>
              </w:rPr>
            </w:pPr>
          </w:p>
        </w:tc>
        <w:tc>
          <w:tcPr>
            <w:tcW w:w="8340" w:type="dxa"/>
            <w:vAlign w:val="bottom"/>
            <w:gridSpan w:val="7"/>
          </w:tcPr>
          <w:p>
            <w:pPr>
              <w:spacing w:after="0" w:line="196" w:lineRule="exact"/>
              <w:rPr>
                <w:rFonts w:ascii="Arial" w:cs="Arial" w:eastAsia="Arial" w:hAnsi="Arial"/>
                <w:sz w:val="18"/>
                <w:szCs w:val="18"/>
                <w:color w:val="3E5588"/>
              </w:rPr>
            </w:pPr>
            <w:hyperlink w:anchor="page244">
              <w:r>
                <w:rPr>
                  <w:rFonts w:ascii="Arial" w:cs="Arial" w:eastAsia="Arial" w:hAnsi="Arial"/>
                  <w:sz w:val="18"/>
                  <w:szCs w:val="18"/>
                  <w:color w:val="3E5588"/>
                </w:rPr>
                <w:t>Notes to Consolidated Financial Statements</w:t>
              </w:r>
            </w:hyperlink>
          </w:p>
        </w:tc>
        <w:tc>
          <w:tcPr>
            <w:tcW w:w="120" w:type="dxa"/>
            <w:vAlign w:val="bottom"/>
          </w:tcPr>
          <w:p>
            <w:pPr>
              <w:spacing w:after="0"/>
              <w:rPr>
                <w:sz w:val="17"/>
                <w:szCs w:val="17"/>
                <w:color w:val="auto"/>
              </w:rPr>
            </w:pPr>
          </w:p>
        </w:tc>
        <w:tc>
          <w:tcPr>
            <w:tcW w:w="1640" w:type="dxa"/>
            <w:vAlign w:val="bottom"/>
            <w:gridSpan w:val="4"/>
          </w:tcPr>
          <w:p>
            <w:pPr>
              <w:jc w:val="right"/>
              <w:ind w:right="1300"/>
              <w:spacing w:after="0" w:line="196" w:lineRule="exact"/>
              <w:rPr>
                <w:rFonts w:ascii="Arial" w:cs="Arial" w:eastAsia="Arial" w:hAnsi="Arial"/>
                <w:sz w:val="18"/>
                <w:szCs w:val="18"/>
                <w:color w:val="3E5588"/>
                <w:w w:val="86"/>
              </w:rPr>
            </w:pPr>
            <w:hyperlink w:anchor="page244">
              <w:r>
                <w:rPr>
                  <w:rFonts w:ascii="Arial" w:cs="Arial" w:eastAsia="Arial" w:hAnsi="Arial"/>
                  <w:sz w:val="18"/>
                  <w:szCs w:val="18"/>
                  <w:color w:val="3E5588"/>
                  <w:w w:val="86"/>
                </w:rPr>
                <w:t>F-38</w:t>
              </w:r>
            </w:hyperlink>
          </w:p>
        </w:tc>
        <w:tc>
          <w:tcPr>
            <w:tcW w:w="0" w:type="dxa"/>
            <w:vAlign w:val="bottom"/>
          </w:tcPr>
          <w:p>
            <w:pPr>
              <w:spacing w:after="0"/>
              <w:rPr>
                <w:sz w:val="1"/>
                <w:szCs w:val="1"/>
                <w:color w:val="auto"/>
              </w:rPr>
            </w:pPr>
          </w:p>
        </w:tc>
      </w:tr>
      <w:tr>
        <w:trPr>
          <w:trHeight w:val="451"/>
        </w:trPr>
        <w:tc>
          <w:tcPr>
            <w:tcW w:w="1320" w:type="dxa"/>
            <w:vAlign w:val="bottom"/>
          </w:tcPr>
          <w:p>
            <w:pPr>
              <w:spacing w:after="0"/>
              <w:rPr>
                <w:sz w:val="24"/>
                <w:szCs w:val="24"/>
                <w:color w:val="auto"/>
              </w:rPr>
            </w:pPr>
          </w:p>
        </w:tc>
        <w:tc>
          <w:tcPr>
            <w:tcW w:w="2040" w:type="dxa"/>
            <w:vAlign w:val="bottom"/>
            <w:tcBorders>
              <w:top w:val="single" w:sz="8" w:color="3E5588"/>
            </w:tcBorders>
          </w:tcPr>
          <w:p>
            <w:pPr>
              <w:spacing w:after="0"/>
              <w:rPr>
                <w:sz w:val="24"/>
                <w:szCs w:val="24"/>
                <w:color w:val="auto"/>
              </w:rPr>
            </w:pPr>
          </w:p>
        </w:tc>
        <w:tc>
          <w:tcPr>
            <w:tcW w:w="760" w:type="dxa"/>
            <w:vAlign w:val="bottom"/>
            <w:tcBorders>
              <w:top w:val="single" w:sz="8" w:color="3E5588"/>
            </w:tcBorders>
          </w:tcPr>
          <w:p>
            <w:pPr>
              <w:spacing w:after="0"/>
              <w:rPr>
                <w:sz w:val="24"/>
                <w:szCs w:val="24"/>
                <w:color w:val="auto"/>
              </w:rPr>
            </w:pPr>
          </w:p>
        </w:tc>
        <w:tc>
          <w:tcPr>
            <w:tcW w:w="280" w:type="dxa"/>
            <w:vAlign w:val="bottom"/>
            <w:tcBorders>
              <w:top w:val="single" w:sz="8" w:color="3E5588"/>
            </w:tcBorders>
          </w:tcPr>
          <w:p>
            <w:pPr>
              <w:spacing w:after="0"/>
              <w:rPr>
                <w:sz w:val="24"/>
                <w:szCs w:val="24"/>
                <w:color w:val="auto"/>
              </w:rPr>
            </w:pPr>
          </w:p>
        </w:tc>
        <w:tc>
          <w:tcPr>
            <w:tcW w:w="1040" w:type="dxa"/>
            <w:vAlign w:val="bottom"/>
          </w:tcPr>
          <w:p>
            <w:pPr>
              <w:spacing w:after="0"/>
              <w:rPr>
                <w:sz w:val="24"/>
                <w:szCs w:val="24"/>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3E5588"/>
              </w:rPr>
              <w:t>F-1</w:t>
            </w:r>
          </w:p>
        </w:tc>
        <w:tc>
          <w:tcPr>
            <w:tcW w:w="120" w:type="dxa"/>
            <w:vAlign w:val="bottom"/>
          </w:tcPr>
          <w:p>
            <w:pPr>
              <w:spacing w:after="0"/>
              <w:rPr>
                <w:sz w:val="24"/>
                <w:szCs w:val="24"/>
                <w:color w:val="auto"/>
              </w:rPr>
            </w:pPr>
          </w:p>
        </w:tc>
        <w:tc>
          <w:tcPr>
            <w:tcW w:w="100" w:type="dxa"/>
            <w:vAlign w:val="bottom"/>
            <w:tcBorders>
              <w:top w:val="single" w:sz="8" w:color="3E5588"/>
            </w:tcBorders>
          </w:tcPr>
          <w:p>
            <w:pPr>
              <w:spacing w:after="0"/>
              <w:rPr>
                <w:sz w:val="24"/>
                <w:szCs w:val="24"/>
                <w:color w:val="auto"/>
              </w:rPr>
            </w:pPr>
          </w:p>
        </w:tc>
        <w:tc>
          <w:tcPr>
            <w:tcW w:w="240" w:type="dxa"/>
            <w:vAlign w:val="bottom"/>
            <w:tcBorders>
              <w:top w:val="single" w:sz="8" w:color="3E5588"/>
            </w:tcBorders>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320" w:type="dxa"/>
            <w:vAlign w:val="bottom"/>
            <w:tcBorders>
              <w:bottom w:val="single" w:sz="8" w:color="3E5588"/>
            </w:tcBorders>
          </w:tcPr>
          <w:p>
            <w:pPr>
              <w:spacing w:after="0"/>
              <w:rPr>
                <w:sz w:val="19"/>
                <w:szCs w:val="19"/>
                <w:color w:val="auto"/>
              </w:rPr>
            </w:pPr>
          </w:p>
        </w:tc>
        <w:tc>
          <w:tcPr>
            <w:tcW w:w="2040" w:type="dxa"/>
            <w:vAlign w:val="bottom"/>
            <w:tcBorders>
              <w:bottom w:val="single" w:sz="8" w:color="3E5588"/>
            </w:tcBorders>
          </w:tcPr>
          <w:p>
            <w:pPr>
              <w:spacing w:after="0"/>
              <w:rPr>
                <w:sz w:val="19"/>
                <w:szCs w:val="19"/>
                <w:color w:val="auto"/>
              </w:rPr>
            </w:pPr>
          </w:p>
        </w:tc>
        <w:tc>
          <w:tcPr>
            <w:tcW w:w="760" w:type="dxa"/>
            <w:vAlign w:val="bottom"/>
            <w:tcBorders>
              <w:bottom w:val="single" w:sz="8" w:color="3E5588"/>
            </w:tcBorders>
          </w:tcPr>
          <w:p>
            <w:pPr>
              <w:spacing w:after="0"/>
              <w:rPr>
                <w:sz w:val="19"/>
                <w:szCs w:val="19"/>
                <w:color w:val="auto"/>
              </w:rPr>
            </w:pPr>
          </w:p>
        </w:tc>
        <w:tc>
          <w:tcPr>
            <w:tcW w:w="280" w:type="dxa"/>
            <w:vAlign w:val="bottom"/>
            <w:tcBorders>
              <w:bottom w:val="single" w:sz="8" w:color="3E5588"/>
            </w:tcBorders>
          </w:tcPr>
          <w:p>
            <w:pPr>
              <w:spacing w:after="0"/>
              <w:rPr>
                <w:sz w:val="19"/>
                <w:szCs w:val="19"/>
                <w:color w:val="auto"/>
              </w:rPr>
            </w:pPr>
          </w:p>
        </w:tc>
        <w:tc>
          <w:tcPr>
            <w:tcW w:w="1040" w:type="dxa"/>
            <w:vAlign w:val="bottom"/>
            <w:tcBorders>
              <w:bottom w:val="single" w:sz="8" w:color="3E5588"/>
            </w:tcBorders>
          </w:tcPr>
          <w:p>
            <w:pPr>
              <w:spacing w:after="0"/>
              <w:rPr>
                <w:sz w:val="19"/>
                <w:szCs w:val="19"/>
                <w:color w:val="auto"/>
              </w:rPr>
            </w:pPr>
          </w:p>
        </w:tc>
        <w:tc>
          <w:tcPr>
            <w:tcW w:w="460" w:type="dxa"/>
            <w:vAlign w:val="bottom"/>
            <w:tcBorders>
              <w:bottom w:val="single" w:sz="8" w:color="3E5588"/>
            </w:tcBorders>
          </w:tcPr>
          <w:p>
            <w:pPr>
              <w:spacing w:after="0"/>
              <w:rPr>
                <w:sz w:val="19"/>
                <w:szCs w:val="19"/>
                <w:color w:val="auto"/>
              </w:rPr>
            </w:pPr>
          </w:p>
        </w:tc>
        <w:tc>
          <w:tcPr>
            <w:tcW w:w="1820" w:type="dxa"/>
            <w:vAlign w:val="bottom"/>
            <w:tcBorders>
              <w:bottom w:val="single" w:sz="8" w:color="3E5588"/>
            </w:tcBorders>
          </w:tcPr>
          <w:p>
            <w:pPr>
              <w:spacing w:after="0"/>
              <w:rPr>
                <w:sz w:val="19"/>
                <w:szCs w:val="19"/>
                <w:color w:val="auto"/>
              </w:rPr>
            </w:pPr>
          </w:p>
        </w:tc>
        <w:tc>
          <w:tcPr>
            <w:tcW w:w="1940" w:type="dxa"/>
            <w:vAlign w:val="bottom"/>
            <w:tcBorders>
              <w:bottom w:val="single" w:sz="8" w:color="3E5588"/>
            </w:tcBorders>
          </w:tcPr>
          <w:p>
            <w:pPr>
              <w:spacing w:after="0"/>
              <w:rPr>
                <w:sz w:val="19"/>
                <w:szCs w:val="19"/>
                <w:color w:val="auto"/>
              </w:rPr>
            </w:pPr>
          </w:p>
        </w:tc>
        <w:tc>
          <w:tcPr>
            <w:tcW w:w="120" w:type="dxa"/>
            <w:vAlign w:val="bottom"/>
            <w:tcBorders>
              <w:bottom w:val="single" w:sz="8" w:color="3E5588"/>
            </w:tcBorders>
          </w:tcPr>
          <w:p>
            <w:pPr>
              <w:spacing w:after="0"/>
              <w:rPr>
                <w:sz w:val="19"/>
                <w:szCs w:val="19"/>
                <w:color w:val="auto"/>
              </w:rPr>
            </w:pPr>
          </w:p>
        </w:tc>
        <w:tc>
          <w:tcPr>
            <w:tcW w:w="100" w:type="dxa"/>
            <w:vAlign w:val="bottom"/>
            <w:tcBorders>
              <w:bottom w:val="single" w:sz="8" w:color="3E5588"/>
            </w:tcBorders>
          </w:tcPr>
          <w:p>
            <w:pPr>
              <w:spacing w:after="0"/>
              <w:rPr>
                <w:sz w:val="19"/>
                <w:szCs w:val="19"/>
                <w:color w:val="auto"/>
              </w:rPr>
            </w:pPr>
          </w:p>
        </w:tc>
        <w:tc>
          <w:tcPr>
            <w:tcW w:w="240" w:type="dxa"/>
            <w:vAlign w:val="bottom"/>
            <w:tcBorders>
              <w:bottom w:val="single" w:sz="8" w:color="3E5588"/>
            </w:tcBorders>
          </w:tcPr>
          <w:p>
            <w:pPr>
              <w:spacing w:after="0"/>
              <w:rPr>
                <w:sz w:val="19"/>
                <w:szCs w:val="19"/>
                <w:color w:val="auto"/>
              </w:rPr>
            </w:pPr>
          </w:p>
        </w:tc>
        <w:tc>
          <w:tcPr>
            <w:tcW w:w="20" w:type="dxa"/>
            <w:vAlign w:val="bottom"/>
            <w:tcBorders>
              <w:bottom w:val="single" w:sz="8" w:color="3E5588"/>
            </w:tcBorders>
          </w:tcPr>
          <w:p>
            <w:pPr>
              <w:spacing w:after="0"/>
              <w:rPr>
                <w:sz w:val="19"/>
                <w:szCs w:val="19"/>
                <w:color w:val="auto"/>
              </w:rPr>
            </w:pPr>
          </w:p>
        </w:tc>
        <w:tc>
          <w:tcPr>
            <w:tcW w:w="1280" w:type="dxa"/>
            <w:vAlign w:val="bottom"/>
            <w:tcBorders>
              <w:bottom w:val="single" w:sz="8" w:color="3E558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3E5588"/>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3E5588"/>
        </w:rPr>
        <w:t>To the Stockholders and the Board of Directors of Fulcrum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Opinion on the Financial Statements</w:t>
      </w:r>
    </w:p>
    <w:p>
      <w:pPr>
        <w:spacing w:after="0" w:line="231" w:lineRule="exact"/>
        <w:rPr>
          <w:sz w:val="20"/>
          <w:szCs w:val="20"/>
          <w:color w:val="auto"/>
        </w:rPr>
      </w:pPr>
    </w:p>
    <w:p>
      <w:pPr>
        <w:jc w:val="both"/>
        <w:ind w:firstLine="355"/>
        <w:spacing w:after="0" w:line="294" w:lineRule="auto"/>
        <w:rPr>
          <w:sz w:val="20"/>
          <w:szCs w:val="20"/>
          <w:color w:val="auto"/>
        </w:rPr>
      </w:pPr>
      <w:r>
        <w:rPr>
          <w:rFonts w:ascii="Arial" w:cs="Arial" w:eastAsia="Arial" w:hAnsi="Arial"/>
          <w:sz w:val="16"/>
          <w:szCs w:val="16"/>
          <w:color w:val="3E5588"/>
        </w:rPr>
        <w:t>We have audited the accompanying consolidated balance sheets of Fulcrum Therapeutics, Inc. (the Company) as of December 31, 2018 and 2017, the related consolidated statements of operations and comprehensive loss, convertible preferred stock and stockholders' (deficit) equity and cash flows for the years then ended,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the years then ended, in conformity with U.S. generally accepted accounting principles.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The Company's Ability to Continue as a Going Concern</w:t>
      </w:r>
    </w:p>
    <w:p>
      <w:pPr>
        <w:spacing w:after="0" w:line="231" w:lineRule="exact"/>
        <w:rPr>
          <w:sz w:val="20"/>
          <w:szCs w:val="20"/>
          <w:color w:val="auto"/>
        </w:rPr>
      </w:pPr>
    </w:p>
    <w:p>
      <w:pPr>
        <w:jc w:val="both"/>
        <w:ind w:firstLine="471"/>
        <w:spacing w:after="0" w:line="294" w:lineRule="auto"/>
        <w:rPr>
          <w:sz w:val="20"/>
          <w:szCs w:val="20"/>
          <w:color w:val="auto"/>
        </w:rPr>
      </w:pPr>
      <w:r>
        <w:rPr>
          <w:rFonts w:ascii="Arial" w:cs="Arial" w:eastAsia="Arial" w:hAnsi="Arial"/>
          <w:sz w:val="16"/>
          <w:szCs w:val="16"/>
          <w:color w:val="3E5588"/>
        </w:rPr>
        <w:t>The accompanying consolidated financial statements have been prepared assuming that the Company will continue as a going concern. As discussed in Note 1 to the consolidated financial statements, the Company has a history of losses and negative operating cash flows, will require additional capital to fund its current operating plan and has stated that substantial doubt exists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Basis for Opinion</w:t>
      </w:r>
    </w:p>
    <w:p>
      <w:pPr>
        <w:spacing w:after="0" w:line="231" w:lineRule="exact"/>
        <w:rPr>
          <w:sz w:val="20"/>
          <w:szCs w:val="20"/>
          <w:color w:val="auto"/>
        </w:rPr>
      </w:pPr>
    </w:p>
    <w:p>
      <w:pPr>
        <w:jc w:val="both"/>
        <w:ind w:firstLine="471"/>
        <w:spacing w:after="0" w:line="256" w:lineRule="auto"/>
        <w:rPr>
          <w:sz w:val="20"/>
          <w:szCs w:val="20"/>
          <w:color w:val="auto"/>
        </w:rPr>
      </w:pPr>
      <w:r>
        <w:rPr>
          <w:rFonts w:ascii="Arial" w:cs="Arial" w:eastAsia="Arial" w:hAnsi="Arial"/>
          <w:sz w:val="18"/>
          <w:szCs w:val="18"/>
          <w:color w:val="3E5588"/>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3E5588"/>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6"/>
          <w:szCs w:val="16"/>
          <w:color w:val="3E5588"/>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3E5588"/>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3E5588"/>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3E5588"/>
        </w:rPr>
        <w:t>May 1, 2019, except for Note 14(c),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E5588"/>
        </w:rPr>
        <w:t>as to which the date is July 8, 2019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Consolidated Balance Sheets</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3E5588"/>
        </w:rPr>
        <w:t>(In thousands, except share and per share amounts)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E5588"/>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3E5588"/>
                <w:w w:val="83"/>
              </w:rPr>
              <w:t>December 31,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3E5588"/>
                <w:w w:val="83"/>
              </w:rPr>
              <w:t>December 31,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3E5588"/>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72"/>
              <w:spacing w:after="0"/>
              <w:rPr>
                <w:sz w:val="20"/>
                <w:szCs w:val="20"/>
                <w:color w:val="auto"/>
              </w:rPr>
            </w:pPr>
            <w:r>
              <w:rPr>
                <w:rFonts w:ascii="Arial" w:cs="Arial" w:eastAsia="Arial" w:hAnsi="Arial"/>
                <w:sz w:val="14"/>
                <w:szCs w:val="14"/>
                <w:b w:val="1"/>
                <w:bCs w:val="1"/>
                <w:color w:val="3E5588"/>
              </w:rPr>
              <w:t>2017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3E5588"/>
            </w:tcBorders>
          </w:tcPr>
          <w:p>
            <w:pPr>
              <w:spacing w:after="0"/>
              <w:rPr>
                <w:sz w:val="14"/>
                <w:szCs w:val="14"/>
                <w:color w:val="auto"/>
              </w:rPr>
            </w:pPr>
          </w:p>
        </w:tc>
        <w:tc>
          <w:tcPr>
            <w:tcW w:w="880" w:type="dxa"/>
            <w:vAlign w:val="bottom"/>
            <w:tcBorders>
              <w:bottom w:val="single" w:sz="8" w:color="3E5588"/>
            </w:tcBorders>
          </w:tcPr>
          <w:p>
            <w:pPr>
              <w:jc w:val="right"/>
              <w:ind w:right="272"/>
              <w:spacing w:after="0"/>
              <w:rPr>
                <w:sz w:val="20"/>
                <w:szCs w:val="20"/>
                <w:color w:val="auto"/>
              </w:rPr>
            </w:pPr>
            <w:r>
              <w:rPr>
                <w:rFonts w:ascii="Arial" w:cs="Arial" w:eastAsia="Arial" w:hAnsi="Arial"/>
                <w:sz w:val="14"/>
                <w:szCs w:val="14"/>
                <w:b w:val="1"/>
                <w:bCs w:val="1"/>
                <w:color w:val="3E5588"/>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3E5588"/>
            </w:tcBorders>
          </w:tcPr>
          <w:p>
            <w:pPr>
              <w:spacing w:after="0"/>
              <w:rPr>
                <w:sz w:val="14"/>
                <w:szCs w:val="14"/>
                <w:color w:val="auto"/>
              </w:rPr>
            </w:pPr>
          </w:p>
        </w:tc>
        <w:tc>
          <w:tcPr>
            <w:tcW w:w="880" w:type="dxa"/>
            <w:vAlign w:val="bottom"/>
            <w:tcBorders>
              <w:bottom w:val="single" w:sz="8" w:color="3E5588"/>
            </w:tcBorders>
          </w:tcPr>
          <w:p>
            <w:pPr>
              <w:jc w:val="center"/>
              <w:ind w:right="12"/>
              <w:spacing w:after="0"/>
              <w:rPr>
                <w:sz w:val="20"/>
                <w:szCs w:val="20"/>
                <w:color w:val="auto"/>
              </w:rPr>
            </w:pPr>
            <w:r>
              <w:rPr>
                <w:rFonts w:ascii="Arial" w:cs="Arial" w:eastAsia="Arial" w:hAnsi="Arial"/>
                <w:sz w:val="14"/>
                <w:szCs w:val="14"/>
                <w:b w:val="1"/>
                <w:bCs w:val="1"/>
                <w:color w:val="3E5588"/>
                <w:w w:val="89"/>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3E5588"/>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3E5588"/>
              </w:rPr>
              <w:t>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3E5588"/>
              </w:rPr>
              <w:t>Current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E5588"/>
              </w:rPr>
              <w:t>Cash and cash equivalents</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E5588"/>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407</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E5588"/>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72,797</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3E5588"/>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72,797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3E5588"/>
              </w:rPr>
              <w:t>Prepaid expenses and other current assets</w:t>
            </w:r>
          </w:p>
        </w:tc>
        <w:tc>
          <w:tcPr>
            <w:tcW w:w="100" w:type="dxa"/>
            <w:vAlign w:val="bottom"/>
          </w:tcPr>
          <w:p>
            <w:pPr>
              <w:spacing w:after="0"/>
              <w:rPr>
                <w:sz w:val="12"/>
                <w:szCs w:val="12"/>
                <w:color w:val="auto"/>
              </w:rPr>
            </w:pPr>
          </w:p>
        </w:tc>
        <w:tc>
          <w:tcPr>
            <w:tcW w:w="80" w:type="dxa"/>
            <w:vAlign w:val="bottom"/>
            <w:tcBorders>
              <w:bottom w:val="single" w:sz="8" w:color="3E5588"/>
            </w:tcBorders>
          </w:tcPr>
          <w:p>
            <w:pPr>
              <w:spacing w:after="0"/>
              <w:rPr>
                <w:sz w:val="12"/>
                <w:szCs w:val="12"/>
                <w:color w:val="auto"/>
              </w:rPr>
            </w:pPr>
          </w:p>
        </w:tc>
        <w:tc>
          <w:tcPr>
            <w:tcW w:w="86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931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3E5588"/>
            </w:tcBorders>
          </w:tcPr>
          <w:p>
            <w:pPr>
              <w:spacing w:after="0"/>
              <w:rPr>
                <w:sz w:val="12"/>
                <w:szCs w:val="12"/>
                <w:color w:val="auto"/>
              </w:rPr>
            </w:pPr>
          </w:p>
        </w:tc>
        <w:tc>
          <w:tcPr>
            <w:tcW w:w="88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1,298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3E5588"/>
            </w:tcBorders>
          </w:tcPr>
          <w:p>
            <w:pPr>
              <w:spacing w:after="0"/>
              <w:rPr>
                <w:sz w:val="12"/>
                <w:szCs w:val="12"/>
                <w:color w:val="auto"/>
              </w:rPr>
            </w:pPr>
          </w:p>
        </w:tc>
        <w:tc>
          <w:tcPr>
            <w:tcW w:w="88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1,298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3E5588"/>
              </w:rPr>
              <w:t>Total current assets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1,338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74,095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74,095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3E5588"/>
              </w:rPr>
              <w:t>Property and equipment, net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E5588"/>
              </w:rPr>
              <w:t>2,942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10,546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10,546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3E5588"/>
              </w:rPr>
              <w:t>Restricted cash</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3E5588"/>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1,092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1,092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3E5588"/>
              </w:rPr>
              <w:t>Other assets</w:t>
            </w:r>
          </w:p>
        </w:tc>
        <w:tc>
          <w:tcPr>
            <w:tcW w:w="100" w:type="dxa"/>
            <w:vAlign w:val="bottom"/>
          </w:tcPr>
          <w:p>
            <w:pPr>
              <w:spacing w:after="0"/>
              <w:rPr>
                <w:sz w:val="12"/>
                <w:szCs w:val="12"/>
                <w:color w:val="auto"/>
              </w:rPr>
            </w:pPr>
          </w:p>
        </w:tc>
        <w:tc>
          <w:tcPr>
            <w:tcW w:w="80" w:type="dxa"/>
            <w:vAlign w:val="bottom"/>
            <w:tcBorders>
              <w:bottom w:val="single" w:sz="8" w:color="3E5588"/>
            </w:tcBorders>
          </w:tcPr>
          <w:p>
            <w:pPr>
              <w:spacing w:after="0"/>
              <w:rPr>
                <w:sz w:val="12"/>
                <w:szCs w:val="12"/>
                <w:color w:val="auto"/>
              </w:rPr>
            </w:pPr>
          </w:p>
        </w:tc>
        <w:tc>
          <w:tcPr>
            <w:tcW w:w="86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60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3E5588"/>
            </w:tcBorders>
          </w:tcPr>
          <w:p>
            <w:pPr>
              <w:spacing w:after="0"/>
              <w:rPr>
                <w:sz w:val="12"/>
                <w:szCs w:val="12"/>
                <w:color w:val="auto"/>
              </w:rPr>
            </w:pPr>
          </w:p>
        </w:tc>
        <w:tc>
          <w:tcPr>
            <w:tcW w:w="88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3E5588"/>
            </w:tcBorders>
          </w:tcPr>
          <w:p>
            <w:pPr>
              <w:spacing w:after="0"/>
              <w:rPr>
                <w:sz w:val="12"/>
                <w:szCs w:val="12"/>
                <w:color w:val="auto"/>
              </w:rPr>
            </w:pPr>
          </w:p>
        </w:tc>
        <w:tc>
          <w:tcPr>
            <w:tcW w:w="88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3E5588"/>
              </w:rPr>
              <w:t>Total assets</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3E5588"/>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3E5588"/>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3E5588"/>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3E5588"/>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3E5588"/>
              </w:rPr>
              <w:t>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3E5588"/>
              </w:rPr>
              <w:t>Accounts payable</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E5588"/>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E5588"/>
              </w:rPr>
              <w:t>1,673</w:t>
            </w:r>
          </w:p>
        </w:tc>
        <w:tc>
          <w:tcPr>
            <w:tcW w:w="1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3E5588"/>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1,263</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3E5588"/>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1,263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3E5588"/>
              </w:rPr>
              <w:t>Accrued expenses and other current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1,112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2,497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2,497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3E5588"/>
              </w:rPr>
              <w:t>Deferred lease incentive,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469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469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3E5588"/>
              </w:rPr>
              <w:t>Total current liabilities</w:t>
            </w:r>
          </w:p>
        </w:tc>
        <w:tc>
          <w:tcPr>
            <w:tcW w:w="100" w:type="dxa"/>
            <w:vAlign w:val="bottom"/>
            <w:shd w:val="clear" w:color="auto" w:fill="CCEEFF"/>
          </w:tcPr>
          <w:p>
            <w:pPr>
              <w:spacing w:after="0"/>
              <w:rPr>
                <w:sz w:val="12"/>
                <w:szCs w:val="12"/>
                <w:color w:val="auto"/>
              </w:rPr>
            </w:pPr>
          </w:p>
        </w:tc>
        <w:tc>
          <w:tcPr>
            <w:tcW w:w="80" w:type="dxa"/>
            <w:vAlign w:val="bottom"/>
            <w:tcBorders>
              <w:top w:val="single" w:sz="8" w:color="3E5588"/>
            </w:tcBorders>
            <w:shd w:val="clear" w:color="auto" w:fill="CCEEFF"/>
          </w:tcPr>
          <w:p>
            <w:pPr>
              <w:spacing w:after="0"/>
              <w:rPr>
                <w:sz w:val="12"/>
                <w:szCs w:val="12"/>
                <w:color w:val="auto"/>
              </w:rPr>
            </w:pPr>
          </w:p>
        </w:tc>
        <w:tc>
          <w:tcPr>
            <w:tcW w:w="860" w:type="dxa"/>
            <w:vAlign w:val="bottom"/>
            <w:tcBorders>
              <w:top w:val="single" w:sz="8" w:color="3E5588"/>
            </w:tcBorders>
            <w:shd w:val="clear" w:color="auto" w:fill="CCEEFF"/>
          </w:tcPr>
          <w:p>
            <w:pPr>
              <w:jc w:val="right"/>
              <w:spacing w:after="0" w:line="142" w:lineRule="exact"/>
              <w:rPr>
                <w:sz w:val="20"/>
                <w:szCs w:val="20"/>
                <w:color w:val="auto"/>
              </w:rPr>
            </w:pPr>
            <w:r>
              <w:rPr>
                <w:rFonts w:ascii="Arial" w:cs="Arial" w:eastAsia="Arial" w:hAnsi="Arial"/>
                <w:sz w:val="14"/>
                <w:szCs w:val="14"/>
                <w:color w:val="3E5588"/>
              </w:rPr>
              <w:t>2,785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top w:val="single" w:sz="8" w:color="3E5588"/>
            </w:tcBorders>
            <w:shd w:val="clear" w:color="auto" w:fill="CCEEFF"/>
          </w:tcPr>
          <w:p>
            <w:pPr>
              <w:spacing w:after="0"/>
              <w:rPr>
                <w:sz w:val="12"/>
                <w:szCs w:val="12"/>
                <w:color w:val="auto"/>
              </w:rPr>
            </w:pPr>
          </w:p>
        </w:tc>
        <w:tc>
          <w:tcPr>
            <w:tcW w:w="880" w:type="dxa"/>
            <w:vAlign w:val="bottom"/>
            <w:tcBorders>
              <w:top w:val="single" w:sz="8" w:color="3E5588"/>
            </w:tcBorders>
            <w:shd w:val="clear" w:color="auto" w:fill="CCEEFF"/>
          </w:tcPr>
          <w:p>
            <w:pPr>
              <w:jc w:val="right"/>
              <w:spacing w:after="0" w:line="142" w:lineRule="exact"/>
              <w:rPr>
                <w:sz w:val="20"/>
                <w:szCs w:val="20"/>
                <w:color w:val="auto"/>
              </w:rPr>
            </w:pPr>
            <w:r>
              <w:rPr>
                <w:rFonts w:ascii="Arial" w:cs="Arial" w:eastAsia="Arial" w:hAnsi="Arial"/>
                <w:sz w:val="14"/>
                <w:szCs w:val="14"/>
                <w:color w:val="3E5588"/>
              </w:rPr>
              <w:t>4,229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top w:val="single" w:sz="8" w:color="3E5588"/>
            </w:tcBorders>
            <w:shd w:val="clear" w:color="auto" w:fill="CCEEFF"/>
          </w:tcPr>
          <w:p>
            <w:pPr>
              <w:spacing w:after="0"/>
              <w:rPr>
                <w:sz w:val="12"/>
                <w:szCs w:val="12"/>
                <w:color w:val="auto"/>
              </w:rPr>
            </w:pPr>
          </w:p>
        </w:tc>
        <w:tc>
          <w:tcPr>
            <w:tcW w:w="880" w:type="dxa"/>
            <w:vAlign w:val="bottom"/>
            <w:tcBorders>
              <w:top w:val="single" w:sz="8" w:color="3E5588"/>
            </w:tcBorders>
            <w:shd w:val="clear" w:color="auto" w:fill="CCEEFF"/>
          </w:tcPr>
          <w:p>
            <w:pPr>
              <w:jc w:val="right"/>
              <w:spacing w:after="0" w:line="142" w:lineRule="exact"/>
              <w:rPr>
                <w:sz w:val="20"/>
                <w:szCs w:val="20"/>
                <w:color w:val="auto"/>
              </w:rPr>
            </w:pPr>
            <w:r>
              <w:rPr>
                <w:rFonts w:ascii="Arial" w:cs="Arial" w:eastAsia="Arial" w:hAnsi="Arial"/>
                <w:sz w:val="14"/>
                <w:szCs w:val="14"/>
                <w:color w:val="3E5588"/>
              </w:rPr>
              <w:t>4,229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3E5588"/>
              </w:rPr>
              <w:t>Deferred rent, excluding current portion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E5588"/>
              </w:rPr>
              <w:t>199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1,402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spacing w:after="0" w:line="149" w:lineRule="exact"/>
              <w:rPr>
                <w:sz w:val="20"/>
                <w:szCs w:val="20"/>
                <w:color w:val="auto"/>
              </w:rPr>
            </w:pPr>
            <w:r>
              <w:rPr>
                <w:rFonts w:ascii="Arial" w:cs="Arial" w:eastAsia="Arial" w:hAnsi="Arial"/>
                <w:sz w:val="14"/>
                <w:szCs w:val="14"/>
                <w:color w:val="3E5588"/>
              </w:rPr>
              <w:t>Deferred lease incentive, excluding current portion</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3E5588"/>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3,990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3,990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3E5588"/>
              </w:rPr>
              <w:t>Other liabilities, excluding current portion</w:t>
            </w:r>
          </w:p>
        </w:tc>
        <w:tc>
          <w:tcPr>
            <w:tcW w:w="100" w:type="dxa"/>
            <w:vAlign w:val="bottom"/>
          </w:tcPr>
          <w:p>
            <w:pPr>
              <w:spacing w:after="0"/>
              <w:rPr>
                <w:sz w:val="12"/>
                <w:szCs w:val="12"/>
                <w:color w:val="auto"/>
              </w:rPr>
            </w:pPr>
          </w:p>
        </w:tc>
        <w:tc>
          <w:tcPr>
            <w:tcW w:w="80" w:type="dxa"/>
            <w:vAlign w:val="bottom"/>
            <w:tcBorders>
              <w:bottom w:val="single" w:sz="8" w:color="3E5588"/>
            </w:tcBorders>
          </w:tcPr>
          <w:p>
            <w:pPr>
              <w:spacing w:after="0"/>
              <w:rPr>
                <w:sz w:val="12"/>
                <w:szCs w:val="12"/>
                <w:color w:val="auto"/>
              </w:rPr>
            </w:pPr>
          </w:p>
        </w:tc>
        <w:tc>
          <w:tcPr>
            <w:tcW w:w="86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3E5588"/>
            </w:tcBorders>
          </w:tcPr>
          <w:p>
            <w:pPr>
              <w:spacing w:after="0"/>
              <w:rPr>
                <w:sz w:val="12"/>
                <w:szCs w:val="12"/>
                <w:color w:val="auto"/>
              </w:rPr>
            </w:pPr>
          </w:p>
        </w:tc>
        <w:tc>
          <w:tcPr>
            <w:tcW w:w="88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150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3E5588"/>
            </w:tcBorders>
          </w:tcPr>
          <w:p>
            <w:pPr>
              <w:spacing w:after="0"/>
              <w:rPr>
                <w:sz w:val="12"/>
                <w:szCs w:val="12"/>
                <w:color w:val="auto"/>
              </w:rPr>
            </w:pPr>
          </w:p>
        </w:tc>
        <w:tc>
          <w:tcPr>
            <w:tcW w:w="880" w:type="dxa"/>
            <w:vAlign w:val="bottom"/>
            <w:tcBorders>
              <w:bottom w:val="single" w:sz="8" w:color="3E5588"/>
            </w:tcBorders>
          </w:tcPr>
          <w:p>
            <w:pPr>
              <w:jc w:val="right"/>
              <w:spacing w:after="0" w:line="149" w:lineRule="exact"/>
              <w:rPr>
                <w:sz w:val="20"/>
                <w:szCs w:val="20"/>
                <w:color w:val="auto"/>
              </w:rPr>
            </w:pPr>
            <w:r>
              <w:rPr>
                <w:rFonts w:ascii="Arial" w:cs="Arial" w:eastAsia="Arial" w:hAnsi="Arial"/>
                <w:sz w:val="14"/>
                <w:szCs w:val="14"/>
                <w:color w:val="3E5588"/>
              </w:rPr>
              <w:t>150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2" w:lineRule="exact"/>
              <w:rPr>
                <w:sz w:val="20"/>
                <w:szCs w:val="20"/>
                <w:color w:val="auto"/>
              </w:rPr>
            </w:pPr>
            <w:r>
              <w:rPr>
                <w:rFonts w:ascii="Arial" w:cs="Arial" w:eastAsia="Arial" w:hAnsi="Arial"/>
                <w:sz w:val="14"/>
                <w:szCs w:val="14"/>
                <w:color w:val="3E5588"/>
              </w:rPr>
              <w:t>Total liabilities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3,018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9,771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9,771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line="149" w:lineRule="exact"/>
              <w:rPr>
                <w:sz w:val="20"/>
                <w:szCs w:val="20"/>
                <w:color w:val="auto"/>
              </w:rPr>
            </w:pPr>
            <w:r>
              <w:rPr>
                <w:rFonts w:ascii="Arial" w:cs="Arial" w:eastAsia="Arial" w:hAnsi="Arial"/>
                <w:sz w:val="14"/>
                <w:szCs w:val="14"/>
                <w:color w:val="3E5588"/>
              </w:rPr>
              <w:t>Commitments and contingencies (Note 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3E5588"/>
              </w:rPr>
              <w:t>Series A convertible preferred stock, $0.001 par value; 60,000,000 shares authorized as of</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3E5588"/>
                <w:w w:val="93"/>
              </w:rPr>
              <w:t>December 31, 2017 and 2018; 34,666,666 and 60,000,000 shares issued and outstanding as of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3E5588"/>
                <w:w w:val="91"/>
              </w:rPr>
              <w:t>December 31, 2017 and 2018, respectively (liquidation preference of $67,187 as of December 31,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3E5588"/>
              </w:rPr>
              <w:t>2018); no shares issued or outstanding,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34,587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59,909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spacing w:after="0" w:line="138" w:lineRule="exact"/>
              <w:rPr>
                <w:sz w:val="20"/>
                <w:szCs w:val="20"/>
                <w:color w:val="auto"/>
              </w:rPr>
            </w:pPr>
            <w:r>
              <w:rPr>
                <w:rFonts w:ascii="Arial" w:cs="Arial" w:eastAsia="Arial" w:hAnsi="Arial"/>
                <w:sz w:val="14"/>
                <w:szCs w:val="14"/>
                <w:color w:val="3E5588"/>
                <w:w w:val="86"/>
              </w:rPr>
              <w:t>Series B convertible preferred stock, $0.001 par value; no shares and 40,000,000 shares authorized as 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3E5588"/>
                <w:w w:val="87"/>
              </w:rPr>
              <w:t>December 31, 2017 and 2018, respectively; no shares and 40,000,000 shares issued and outstanding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3E5588"/>
              </w:rPr>
              <w:t>as of December 31, 2017 and 2018, respectively (liquidation preference of $82,261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3E5588"/>
                <w:w w:val="98"/>
              </w:rPr>
              <w:t>December 31, 2018); no shares issued or outstanding, pro forma as of December 31,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140"/>
              <w:spacing w:after="0" w:line="159" w:lineRule="exact"/>
              <w:rPr>
                <w:sz w:val="20"/>
                <w:szCs w:val="20"/>
                <w:color w:val="auto"/>
              </w:rPr>
            </w:pPr>
            <w:r>
              <w:rPr>
                <w:rFonts w:ascii="Arial" w:cs="Arial" w:eastAsia="Arial" w:hAnsi="Arial"/>
                <w:sz w:val="14"/>
                <w:szCs w:val="14"/>
                <w:color w:val="3E5588"/>
              </w:rPr>
              <w:t>(unaudited)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3E5588"/>
              </w:rPr>
              <w:t>79,761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4"/>
                <w:szCs w:val="14"/>
                <w:color w:val="3E5588"/>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tcPr>
          <w:p>
            <w:pPr>
              <w:ind w:left="140"/>
              <w:spacing w:after="0" w:line="138" w:lineRule="exact"/>
              <w:rPr>
                <w:sz w:val="20"/>
                <w:szCs w:val="20"/>
                <w:color w:val="auto"/>
              </w:rPr>
            </w:pPr>
            <w:r>
              <w:rPr>
                <w:rFonts w:ascii="Arial" w:cs="Arial" w:eastAsia="Arial" w:hAnsi="Arial"/>
                <w:sz w:val="14"/>
                <w:szCs w:val="14"/>
                <w:color w:val="3E5588"/>
                <w:w w:val="87"/>
              </w:rPr>
              <w:t>Common stock, $0.001 par value; 80,000,000 and 135,000,000 shares authorized as of 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3E5588"/>
                <w:w w:val="87"/>
              </w:rPr>
              <w:t>2017 and 2018, respectively; 2,628,759 and 2,791,764 shares issued as of December 31, 2017 and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3E5588"/>
                <w:w w:val="87"/>
              </w:rPr>
              <w:t>2018, respectively; 972,266 and 1,587,953 shares outstanding as of December 31, 2017 and 2018,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280"/>
              <w:spacing w:after="0" w:line="149" w:lineRule="exact"/>
              <w:rPr>
                <w:sz w:val="20"/>
                <w:szCs w:val="20"/>
                <w:color w:val="auto"/>
              </w:rPr>
            </w:pPr>
            <w:r>
              <w:rPr>
                <w:rFonts w:ascii="Arial" w:cs="Arial" w:eastAsia="Arial" w:hAnsi="Arial"/>
                <w:sz w:val="14"/>
                <w:szCs w:val="14"/>
                <w:color w:val="3E5588"/>
                <w:w w:val="98"/>
              </w:rPr>
              <w:t>respectively; 17,077,468 and 15,873,657 shares issued and outstanding, pro forma 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tcPr>
          <w:p>
            <w:pPr>
              <w:ind w:left="280"/>
              <w:spacing w:after="0" w:line="159" w:lineRule="exact"/>
              <w:rPr>
                <w:sz w:val="20"/>
                <w:szCs w:val="20"/>
                <w:color w:val="auto"/>
              </w:rPr>
            </w:pPr>
            <w:r>
              <w:rPr>
                <w:rFonts w:ascii="Arial" w:cs="Arial" w:eastAsia="Arial" w:hAnsi="Arial"/>
                <w:sz w:val="14"/>
                <w:szCs w:val="14"/>
                <w:color w:val="3E5588"/>
              </w:rPr>
              <w:t>December 31, 2018 (unaudited)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3E5588"/>
              </w:rPr>
              <w:t>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3E5588"/>
              </w:rPr>
              <w:t>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3E5588"/>
              </w:rPr>
              <w:t>16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700" w:type="dxa"/>
            <w:vAlign w:val="bottom"/>
            <w:shd w:val="clear" w:color="auto" w:fill="CCEEFF"/>
          </w:tcPr>
          <w:p>
            <w:pPr>
              <w:ind w:left="140"/>
              <w:spacing w:after="0" w:line="138" w:lineRule="exact"/>
              <w:rPr>
                <w:sz w:val="20"/>
                <w:szCs w:val="20"/>
                <w:color w:val="auto"/>
              </w:rPr>
            </w:pPr>
            <w:r>
              <w:rPr>
                <w:rFonts w:ascii="Arial" w:cs="Arial" w:eastAsia="Arial" w:hAnsi="Arial"/>
                <w:sz w:val="14"/>
                <w:szCs w:val="14"/>
                <w:color w:val="3E5588"/>
                <w:w w:val="90"/>
              </w:rPr>
              <w:t>Treasury stock, at cost; 8,036 and 67,024 shares as of December 31, 2017 and 2018, respectively;</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0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3E5588"/>
              </w:rPr>
              <w:t>67,024 shares, pro forma as of December 31, 2018 (unaudited)</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3E5588"/>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ind w:left="140"/>
              <w:spacing w:after="0" w:line="149" w:lineRule="exact"/>
              <w:rPr>
                <w:sz w:val="20"/>
                <w:szCs w:val="20"/>
                <w:color w:val="auto"/>
              </w:rPr>
            </w:pPr>
            <w:r>
              <w:rPr>
                <w:rFonts w:ascii="Arial" w:cs="Arial" w:eastAsia="Arial" w:hAnsi="Arial"/>
                <w:sz w:val="14"/>
                <w:szCs w:val="14"/>
                <w:color w:val="3E5588"/>
              </w:rPr>
              <w:t>Additional paid-in capital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3E5588"/>
              </w:rPr>
              <w:t>2,270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4,452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3E5588"/>
              </w:rPr>
              <w:t>144,108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3E5588"/>
              </w:rPr>
              <w:t>Accumulated deficit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(35,536)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(68,124)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3E5588"/>
              </w:rPr>
              <w:t>(68,124)</w:t>
            </w:r>
          </w:p>
        </w:tc>
        <w:tc>
          <w:tcPr>
            <w:tcW w:w="0" w:type="dxa"/>
            <w:vAlign w:val="bottom"/>
          </w:tcPr>
          <w:p>
            <w:pPr>
              <w:spacing w:after="0"/>
              <w:rPr>
                <w:sz w:val="1"/>
                <w:szCs w:val="1"/>
                <w:color w:val="auto"/>
              </w:rPr>
            </w:pPr>
          </w:p>
        </w:tc>
      </w:tr>
      <w:tr>
        <w:trPr>
          <w:trHeight w:val="142"/>
        </w:trPr>
        <w:tc>
          <w:tcPr>
            <w:tcW w:w="5720" w:type="dxa"/>
            <w:vAlign w:val="bottom"/>
            <w:gridSpan w:val="2"/>
          </w:tcPr>
          <w:p>
            <w:pPr>
              <w:spacing w:after="0" w:line="142" w:lineRule="exact"/>
              <w:rPr>
                <w:sz w:val="20"/>
                <w:szCs w:val="20"/>
                <w:color w:val="auto"/>
              </w:rPr>
            </w:pPr>
            <w:r>
              <w:rPr>
                <w:rFonts w:ascii="Arial" w:cs="Arial" w:eastAsia="Arial" w:hAnsi="Arial"/>
                <w:sz w:val="14"/>
                <w:szCs w:val="14"/>
                <w:color w:val="3E5588"/>
              </w:rPr>
              <w:t>Total stockholders' (deficit) equity</w:t>
            </w:r>
          </w:p>
        </w:tc>
        <w:tc>
          <w:tcPr>
            <w:tcW w:w="100" w:type="dxa"/>
            <w:vAlign w:val="bottom"/>
          </w:tcPr>
          <w:p>
            <w:pPr>
              <w:spacing w:after="0"/>
              <w:rPr>
                <w:sz w:val="12"/>
                <w:szCs w:val="12"/>
                <w:color w:val="auto"/>
              </w:rPr>
            </w:pPr>
          </w:p>
        </w:tc>
        <w:tc>
          <w:tcPr>
            <w:tcW w:w="80" w:type="dxa"/>
            <w:vAlign w:val="bottom"/>
            <w:tcBorders>
              <w:top w:val="single" w:sz="8" w:color="3E5588"/>
              <w:bottom w:val="single" w:sz="8" w:color="3E5588"/>
            </w:tcBorders>
          </w:tcPr>
          <w:p>
            <w:pPr>
              <w:spacing w:after="0"/>
              <w:rPr>
                <w:sz w:val="12"/>
                <w:szCs w:val="12"/>
                <w:color w:val="auto"/>
              </w:rPr>
            </w:pPr>
          </w:p>
        </w:tc>
        <w:tc>
          <w:tcPr>
            <w:tcW w:w="860" w:type="dxa"/>
            <w:vAlign w:val="bottom"/>
            <w:tcBorders>
              <w:top w:val="single" w:sz="8" w:color="3E5588"/>
              <w:bottom w:val="single" w:sz="8" w:color="3E5588"/>
            </w:tcBorders>
          </w:tcPr>
          <w:p>
            <w:pPr>
              <w:jc w:val="right"/>
              <w:spacing w:after="0" w:line="142" w:lineRule="exact"/>
              <w:rPr>
                <w:sz w:val="20"/>
                <w:szCs w:val="20"/>
                <w:color w:val="auto"/>
              </w:rPr>
            </w:pPr>
            <w:r>
              <w:rPr>
                <w:rFonts w:ascii="Arial" w:cs="Arial" w:eastAsia="Arial" w:hAnsi="Arial"/>
                <w:sz w:val="14"/>
                <w:szCs w:val="14"/>
                <w:color w:val="3E5588"/>
              </w:rPr>
              <w:t>(33,265)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3E5588"/>
              <w:bottom w:val="single" w:sz="8" w:color="3E5588"/>
            </w:tcBorders>
          </w:tcPr>
          <w:p>
            <w:pPr>
              <w:spacing w:after="0"/>
              <w:rPr>
                <w:sz w:val="12"/>
                <w:szCs w:val="12"/>
                <w:color w:val="auto"/>
              </w:rPr>
            </w:pPr>
          </w:p>
        </w:tc>
        <w:tc>
          <w:tcPr>
            <w:tcW w:w="880" w:type="dxa"/>
            <w:vAlign w:val="bottom"/>
            <w:tcBorders>
              <w:top w:val="single" w:sz="8" w:color="3E5588"/>
              <w:bottom w:val="single" w:sz="8" w:color="3E5588"/>
            </w:tcBorders>
          </w:tcPr>
          <w:p>
            <w:pPr>
              <w:jc w:val="right"/>
              <w:spacing w:after="0" w:line="142" w:lineRule="exact"/>
              <w:rPr>
                <w:sz w:val="20"/>
                <w:szCs w:val="20"/>
                <w:color w:val="auto"/>
              </w:rPr>
            </w:pPr>
            <w:r>
              <w:rPr>
                <w:rFonts w:ascii="Arial" w:cs="Arial" w:eastAsia="Arial" w:hAnsi="Arial"/>
                <w:sz w:val="14"/>
                <w:szCs w:val="14"/>
                <w:color w:val="3E5588"/>
              </w:rPr>
              <w:t>(63,670)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3E5588"/>
              <w:bottom w:val="single" w:sz="8" w:color="3E5588"/>
            </w:tcBorders>
          </w:tcPr>
          <w:p>
            <w:pPr>
              <w:spacing w:after="0"/>
              <w:rPr>
                <w:sz w:val="12"/>
                <w:szCs w:val="12"/>
                <w:color w:val="auto"/>
              </w:rPr>
            </w:pPr>
          </w:p>
        </w:tc>
        <w:tc>
          <w:tcPr>
            <w:tcW w:w="880" w:type="dxa"/>
            <w:vAlign w:val="bottom"/>
            <w:tcBorders>
              <w:top w:val="single" w:sz="8" w:color="3E5588"/>
              <w:bottom w:val="single" w:sz="8" w:color="3E5588"/>
            </w:tcBorders>
          </w:tcPr>
          <w:p>
            <w:pPr>
              <w:jc w:val="right"/>
              <w:spacing w:after="0" w:line="142" w:lineRule="exact"/>
              <w:rPr>
                <w:sz w:val="20"/>
                <w:szCs w:val="20"/>
                <w:color w:val="auto"/>
              </w:rPr>
            </w:pPr>
            <w:r>
              <w:rPr>
                <w:rFonts w:ascii="Arial" w:cs="Arial" w:eastAsia="Arial" w:hAnsi="Arial"/>
                <w:sz w:val="14"/>
                <w:szCs w:val="14"/>
                <w:color w:val="3E5588"/>
              </w:rPr>
              <w:t>76,000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shd w:val="clear" w:color="auto" w:fill="CCEEFF"/>
          </w:tcPr>
          <w:p>
            <w:pPr>
              <w:spacing w:after="0" w:line="142" w:lineRule="exact"/>
              <w:rPr>
                <w:sz w:val="20"/>
                <w:szCs w:val="20"/>
                <w:color w:val="auto"/>
              </w:rPr>
            </w:pPr>
            <w:r>
              <w:rPr>
                <w:rFonts w:ascii="Arial" w:cs="Arial" w:eastAsia="Arial" w:hAnsi="Arial"/>
                <w:sz w:val="14"/>
                <w:szCs w:val="14"/>
                <w:color w:val="3E5588"/>
              </w:rPr>
              <w:t>Total liabilities, convertible preferred stock, and stockholders' (deficit) equity</w:t>
            </w:r>
          </w:p>
        </w:tc>
        <w:tc>
          <w:tcPr>
            <w:tcW w:w="1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3E5588"/>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4,340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3E5588"/>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85,771</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3E5588"/>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3E5588"/>
              </w:rPr>
              <w:t>85,771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3E5588"/>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Consolidated Statements of Operations and Comprehensive Loss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3E5588"/>
        </w:rPr>
        <w:t>(In thousands,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3E55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3E5588"/>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7"/>
              <w:spacing w:after="0" w:line="142" w:lineRule="exact"/>
              <w:rPr>
                <w:sz w:val="20"/>
                <w:szCs w:val="20"/>
                <w:color w:val="auto"/>
              </w:rPr>
            </w:pPr>
            <w:r>
              <w:rPr>
                <w:rFonts w:ascii="Arial" w:cs="Arial" w:eastAsia="Arial" w:hAnsi="Arial"/>
                <w:sz w:val="14"/>
                <w:szCs w:val="14"/>
                <w:b w:val="1"/>
                <w:bCs w:val="1"/>
                <w:color w:val="3E5588"/>
              </w:rPr>
              <w:t>2017</w:t>
            </w:r>
          </w:p>
        </w:tc>
        <w:tc>
          <w:tcPr>
            <w:tcW w:w="100" w:type="dxa"/>
            <w:vAlign w:val="bottom"/>
            <w:tcBorders>
              <w:top w:val="single" w:sz="8" w:color="3E5588"/>
            </w:tcBorders>
          </w:tcPr>
          <w:p>
            <w:pPr>
              <w:spacing w:after="0"/>
              <w:rPr>
                <w:sz w:val="12"/>
                <w:szCs w:val="12"/>
                <w:color w:val="auto"/>
              </w:rPr>
            </w:pPr>
          </w:p>
        </w:tc>
        <w:tc>
          <w:tcPr>
            <w:tcW w:w="60" w:type="dxa"/>
            <w:vAlign w:val="bottom"/>
            <w:tcBorders>
              <w:top w:val="single" w:sz="8" w:color="3E5588"/>
            </w:tcBorders>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4"/>
              <w:spacing w:after="0" w:line="142" w:lineRule="exact"/>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3E5588"/>
              </w:rPr>
              <w:t>Operating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3E5588"/>
              </w:rPr>
              <w:t>Research and development</w:t>
            </w:r>
          </w:p>
        </w:tc>
        <w:tc>
          <w:tcPr>
            <w:tcW w:w="440" w:type="dxa"/>
            <w:vAlign w:val="bottom"/>
            <w:gridSpan w:val="2"/>
          </w:tcPr>
          <w:p>
            <w:pPr>
              <w:jc w:val="right"/>
              <w:ind w:right="3"/>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18,494</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25,184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General and administrative</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4,499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8,314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0" w:type="dxa"/>
            <w:vAlign w:val="bottom"/>
            <w:gridSpan w:val="2"/>
          </w:tcPr>
          <w:p>
            <w:pPr>
              <w:spacing w:after="0"/>
              <w:rPr>
                <w:sz w:val="20"/>
                <w:szCs w:val="20"/>
                <w:color w:val="auto"/>
              </w:rPr>
            </w:pPr>
            <w:r>
              <w:rPr>
                <w:rFonts w:ascii="Arial" w:cs="Arial" w:eastAsia="Arial" w:hAnsi="Arial"/>
                <w:sz w:val="18"/>
                <w:szCs w:val="18"/>
                <w:color w:val="3E5588"/>
              </w:rPr>
              <w:t>Total operating expenses</w:t>
            </w:r>
          </w:p>
        </w:tc>
        <w:tc>
          <w:tcPr>
            <w:tcW w:w="280" w:type="dxa"/>
            <w:vAlign w:val="bottom"/>
          </w:tcPr>
          <w:p>
            <w:pPr>
              <w:spacing w:after="0"/>
              <w:rPr>
                <w:sz w:val="18"/>
                <w:szCs w:val="18"/>
                <w:color w:val="auto"/>
              </w:rPr>
            </w:pPr>
          </w:p>
        </w:tc>
        <w:tc>
          <w:tcPr>
            <w:tcW w:w="16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22,993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33,498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3E5588"/>
              </w:rPr>
              <w:t>Loss from operations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w w:val="95"/>
              </w:rPr>
              <w:t>(22,993)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w w:val="98"/>
              </w:rPr>
              <w:t>(33,498)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3E5588"/>
              </w:rPr>
              <w:t>Other income, net: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Interest income, net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3E5588"/>
              </w:rPr>
              <w:t>Other income</w:t>
            </w:r>
          </w:p>
        </w:tc>
        <w:tc>
          <w:tcPr>
            <w:tcW w:w="280" w:type="dxa"/>
            <w:vAlign w:val="bottom"/>
          </w:tcPr>
          <w:p>
            <w:pPr>
              <w:spacing w:after="0"/>
              <w:rPr>
                <w:sz w:val="18"/>
                <w:szCs w:val="18"/>
                <w:color w:val="auto"/>
              </w:rPr>
            </w:pPr>
          </w:p>
        </w:tc>
        <w:tc>
          <w:tcPr>
            <w:tcW w:w="16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392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3E5588"/>
              </w:rPr>
              <w:t>Net loss and comprehensive loss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3E5588"/>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w w:val="95"/>
              </w:rPr>
              <w:t>(22,964)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w w:val="98"/>
              </w:rPr>
              <w:t>(32,588)</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3E5588"/>
              </w:rPr>
              <w:t>Cumulative convertible preferred stock dividends</w:t>
            </w:r>
          </w:p>
        </w:tc>
        <w:tc>
          <w:tcPr>
            <w:tcW w:w="28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3E5588"/>
            </w:tcBorders>
          </w:tcPr>
          <w:p>
            <w:pPr>
              <w:spacing w:after="0"/>
              <w:rPr>
                <w:sz w:val="17"/>
                <w:szCs w:val="17"/>
                <w:color w:val="auto"/>
              </w:rPr>
            </w:pPr>
          </w:p>
        </w:tc>
        <w:tc>
          <w:tcPr>
            <w:tcW w:w="62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(2,407)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3E5588"/>
            </w:tcBorders>
          </w:tcPr>
          <w:p>
            <w:pPr>
              <w:spacing w:after="0"/>
              <w:rPr>
                <w:sz w:val="17"/>
                <w:szCs w:val="17"/>
                <w:color w:val="auto"/>
              </w:rPr>
            </w:pPr>
          </w:p>
        </w:tc>
        <w:tc>
          <w:tcPr>
            <w:tcW w:w="62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(6,559)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3E5588"/>
              </w:rPr>
              <w:t>Net loss attributable to common stockholders</w:t>
            </w:r>
          </w:p>
        </w:tc>
        <w:tc>
          <w:tcPr>
            <w:tcW w:w="4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3E5588"/>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w w:val="95"/>
              </w:rPr>
              <w:t>(25,371)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w w:val="98"/>
              </w:rPr>
              <w:t>(39,147)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3E5588"/>
              </w:rPr>
              <w:t>Net loss per share attributable to common stockholders, basic and diluted</w:t>
            </w:r>
          </w:p>
        </w:tc>
        <w:tc>
          <w:tcPr>
            <w:tcW w:w="28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3E5588"/>
            </w:tcBorders>
          </w:tcPr>
          <w:p>
            <w:pPr>
              <w:jc w:val="right"/>
              <w:ind w:right="3"/>
              <w:spacing w:after="0"/>
              <w:rPr>
                <w:sz w:val="20"/>
                <w:szCs w:val="20"/>
                <w:color w:val="auto"/>
              </w:rPr>
            </w:pPr>
            <w:r>
              <w:rPr>
                <w:rFonts w:ascii="Arial" w:cs="Arial" w:eastAsia="Arial" w:hAnsi="Arial"/>
                <w:sz w:val="15"/>
                <w:szCs w:val="15"/>
                <w:color w:val="3E5588"/>
                <w:w w:val="71"/>
              </w:rPr>
              <w:t>$</w:t>
            </w:r>
          </w:p>
        </w:tc>
        <w:tc>
          <w:tcPr>
            <w:tcW w:w="62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(35.68</w:t>
            </w:r>
          </w:p>
        </w:tc>
        <w:tc>
          <w:tcPr>
            <w:tcW w:w="100" w:type="dxa"/>
            <w:vAlign w:val="bottom"/>
          </w:tcPr>
          <w:p>
            <w:pPr>
              <w:jc w:val="right"/>
              <w:ind w:right="22"/>
              <w:spacing w:after="0"/>
              <w:rPr>
                <w:sz w:val="20"/>
                <w:szCs w:val="20"/>
                <w:color w:val="auto"/>
              </w:rPr>
            </w:pPr>
            <w:r>
              <w:rPr>
                <w:rFonts w:ascii="Arial" w:cs="Arial" w:eastAsia="Arial" w:hAnsi="Arial"/>
                <w:sz w:val="8"/>
                <w:szCs w:val="8"/>
                <w:color w:val="3E5588"/>
                <w:w w:val="73"/>
              </w:rPr>
              <w:t>)</w:t>
            </w:r>
          </w:p>
        </w:tc>
        <w:tc>
          <w:tcPr>
            <w:tcW w:w="60" w:type="dxa"/>
            <w:vAlign w:val="bottom"/>
          </w:tcPr>
          <w:p>
            <w:pPr>
              <w:spacing w:after="0"/>
              <w:rPr>
                <w:sz w:val="17"/>
                <w:szCs w:val="17"/>
                <w:color w:val="auto"/>
              </w:rPr>
            </w:pPr>
          </w:p>
        </w:tc>
        <w:tc>
          <w:tcPr>
            <w:tcW w:w="14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(31.14</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3E5588"/>
                <w:w w:val="91"/>
              </w:rPr>
              <w:t>Weighted average number of common shares used in net loss per share attributable to common</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stockholders, basic and diluted</w:t>
            </w:r>
          </w:p>
        </w:tc>
        <w:tc>
          <w:tcPr>
            <w:tcW w:w="280" w:type="dxa"/>
            <w:vAlign w:val="bottom"/>
            <w:shd w:val="clear" w:color="auto" w:fill="CCEEFF"/>
          </w:tcPr>
          <w:p>
            <w:pPr>
              <w:spacing w:after="0"/>
              <w:rPr>
                <w:sz w:val="19"/>
                <w:szCs w:val="19"/>
                <w:color w:val="auto"/>
              </w:rPr>
            </w:pPr>
          </w:p>
        </w:tc>
        <w:tc>
          <w:tcPr>
            <w:tcW w:w="160" w:type="dxa"/>
            <w:vAlign w:val="bottom"/>
            <w:tcBorders>
              <w:bottom w:val="single" w:sz="8" w:color="3E5588"/>
            </w:tcBorders>
            <w:shd w:val="clear" w:color="auto" w:fill="CCEEFF"/>
          </w:tcPr>
          <w:p>
            <w:pPr>
              <w:spacing w:after="0"/>
              <w:rPr>
                <w:sz w:val="19"/>
                <w:szCs w:val="19"/>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711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3E5588"/>
            </w:tcBorders>
            <w:shd w:val="clear" w:color="auto" w:fill="CCEEFF"/>
          </w:tcPr>
          <w:p>
            <w:pPr>
              <w:spacing w:after="0"/>
              <w:rPr>
                <w:sz w:val="19"/>
                <w:szCs w:val="19"/>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1,257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3E5588"/>
                <w:w w:val="91"/>
              </w:rPr>
              <w:t>Pro forma net loss per share attributable to common stockholders, basic and diluted (unaudited)</w:t>
            </w: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3E5588"/>
            </w:tcBorders>
          </w:tcPr>
          <w:p>
            <w:pPr>
              <w:spacing w:after="0"/>
              <w:rPr>
                <w:sz w:val="17"/>
                <w:szCs w:val="17"/>
                <w:color w:val="auto"/>
              </w:rPr>
            </w:pPr>
          </w:p>
        </w:tc>
        <w:tc>
          <w:tcPr>
            <w:tcW w:w="620" w:type="dxa"/>
            <w:vAlign w:val="bottom"/>
            <w:tcBorders>
              <w:top w:val="single" w:sz="8" w:color="3E5588"/>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top w:val="single" w:sz="8" w:color="3E5588"/>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(2.98</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line="189" w:lineRule="exact"/>
              <w:rPr>
                <w:sz w:val="20"/>
                <w:szCs w:val="20"/>
                <w:color w:val="auto"/>
              </w:rPr>
            </w:pPr>
            <w:r>
              <w:rPr>
                <w:rFonts w:ascii="Arial" w:cs="Arial" w:eastAsia="Arial" w:hAnsi="Arial"/>
                <w:sz w:val="18"/>
                <w:szCs w:val="18"/>
                <w:color w:val="3E5588"/>
                <w:w w:val="90"/>
              </w:rPr>
              <w:t>Pro forma weighted average number of common shares used in net loss per share attributable to</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common stockholders, basic and diluted (unaudited)</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3E5588"/>
            </w:tcBorders>
            <w:shd w:val="clear" w:color="auto" w:fill="CCEEFF"/>
          </w:tcPr>
          <w:p>
            <w:pPr>
              <w:spacing w:after="0"/>
              <w:rPr>
                <w:sz w:val="19"/>
                <w:szCs w:val="19"/>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10,951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3E5588"/>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3E5588"/>
        </w:rPr>
        <w:t>Consolidated Statements of Convertible Preferred Stock and Stockholders' (Deficit) Equity</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3E5588"/>
        </w:rPr>
        <w:t>(In thousands, except share amounts)</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0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3E5588"/>
                <w:w w:val="85"/>
              </w:rPr>
              <w:t>Series A</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4"/>
          </w:tcPr>
          <w:p>
            <w:pPr>
              <w:jc w:val="center"/>
              <w:ind w:left="352"/>
              <w:spacing w:after="0"/>
              <w:rPr>
                <w:sz w:val="20"/>
                <w:szCs w:val="20"/>
                <w:color w:val="auto"/>
              </w:rPr>
            </w:pPr>
            <w:r>
              <w:rPr>
                <w:rFonts w:ascii="Arial" w:cs="Arial" w:eastAsia="Arial" w:hAnsi="Arial"/>
                <w:sz w:val="14"/>
                <w:szCs w:val="14"/>
                <w:b w:val="1"/>
                <w:bCs w:val="1"/>
                <w:color w:val="3E5588"/>
                <w:w w:val="82"/>
              </w:rPr>
              <w:t>Series B</w:t>
            </w:r>
          </w:p>
        </w:tc>
        <w:tc>
          <w:tcPr>
            <w:tcW w:w="420" w:type="dxa"/>
            <w:vAlign w:val="bottom"/>
          </w:tcPr>
          <w:p>
            <w:pPr>
              <w:spacing w:after="0"/>
              <w:rPr>
                <w:sz w:val="21"/>
                <w:szCs w:val="21"/>
                <w:color w:val="auto"/>
              </w:rPr>
            </w:pPr>
          </w:p>
        </w:tc>
        <w:tc>
          <w:tcPr>
            <w:tcW w:w="140" w:type="dxa"/>
            <w:vAlign w:val="bottom"/>
            <w:tcBorders>
              <w:right w:val="single" w:sz="8" w:color="3E5588"/>
            </w:tcBorders>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3E5588"/>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80" w:type="dxa"/>
            <w:vAlign w:val="bottom"/>
            <w:gridSpan w:val="6"/>
            <w:vMerge w:val="restart"/>
          </w:tcPr>
          <w:p>
            <w:pPr>
              <w:jc w:val="center"/>
              <w:ind w:right="60"/>
              <w:spacing w:after="0" w:line="149" w:lineRule="exact"/>
              <w:rPr>
                <w:sz w:val="20"/>
                <w:szCs w:val="20"/>
                <w:color w:val="auto"/>
              </w:rPr>
            </w:pPr>
            <w:r>
              <w:rPr>
                <w:rFonts w:ascii="Arial" w:cs="Arial" w:eastAsia="Arial" w:hAnsi="Arial"/>
                <w:sz w:val="14"/>
                <w:szCs w:val="14"/>
                <w:b w:val="1"/>
                <w:bCs w:val="1"/>
                <w:color w:val="3E5588"/>
                <w:w w:val="88"/>
              </w:rPr>
              <w:t>Convertible</w:t>
            </w:r>
          </w:p>
        </w:tc>
        <w:tc>
          <w:tcPr>
            <w:tcW w:w="1480" w:type="dxa"/>
            <w:vAlign w:val="bottom"/>
            <w:tcBorders>
              <w:right w:val="single" w:sz="8" w:color="3E5588"/>
            </w:tcBorders>
            <w:gridSpan w:val="6"/>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3E5588"/>
                <w:w w:val="90"/>
              </w:rPr>
              <w:t>Convertible</w:t>
            </w: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1480" w:type="dxa"/>
            <w:vAlign w:val="bottom"/>
            <w:tcBorders>
              <w:right w:val="single" w:sz="8" w:color="3E5588"/>
            </w:tcBorders>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3E5588"/>
                <w:w w:val="90"/>
              </w:rPr>
              <w:t>Additional</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3"/>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3E5588"/>
                <w:w w:val="84"/>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8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3E5588"/>
                <w:w w:val="88"/>
              </w:rPr>
              <w:t>Preferred Stock</w:t>
            </w:r>
          </w:p>
        </w:tc>
        <w:tc>
          <w:tcPr>
            <w:tcW w:w="1480" w:type="dxa"/>
            <w:vAlign w:val="bottom"/>
            <w:tcBorders>
              <w:right w:val="single" w:sz="8" w:color="3E5588"/>
            </w:tcBorders>
            <w:gridSpan w:val="6"/>
            <w:vMerge w:val="restart"/>
          </w:tcPr>
          <w:p>
            <w:pPr>
              <w:jc w:val="center"/>
              <w:ind w:right="140"/>
              <w:spacing w:after="0"/>
              <w:rPr>
                <w:sz w:val="20"/>
                <w:szCs w:val="20"/>
                <w:color w:val="auto"/>
              </w:rPr>
            </w:pPr>
            <w:r>
              <w:rPr>
                <w:rFonts w:ascii="Arial" w:cs="Arial" w:eastAsia="Arial" w:hAnsi="Arial"/>
                <w:sz w:val="14"/>
                <w:szCs w:val="14"/>
                <w:b w:val="1"/>
                <w:bCs w:val="1"/>
                <w:color w:val="3E5588"/>
                <w:w w:val="86"/>
              </w:rPr>
              <w:t>Preferred Stock</w:t>
            </w:r>
          </w:p>
        </w:tc>
        <w:tc>
          <w:tcPr>
            <w:tcW w:w="60" w:type="dxa"/>
            <w:vAlign w:val="bottom"/>
          </w:tcPr>
          <w:p>
            <w:pPr>
              <w:spacing w:after="0"/>
              <w:rPr>
                <w:sz w:val="8"/>
                <w:szCs w:val="8"/>
                <w:color w:val="auto"/>
              </w:rPr>
            </w:pP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3E5588"/>
              </w:rPr>
              <w:t>Common Stock</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3E5588"/>
                <w:w w:val="98"/>
              </w:rPr>
              <w:t>Treasury Stock</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380" w:type="dxa"/>
            <w:vAlign w:val="bottom"/>
            <w:gridSpan w:val="6"/>
            <w:vMerge w:val="continue"/>
          </w:tcPr>
          <w:p>
            <w:pPr>
              <w:spacing w:after="0"/>
              <w:rPr>
                <w:sz w:val="5"/>
                <w:szCs w:val="5"/>
                <w:color w:val="auto"/>
              </w:rPr>
            </w:pPr>
          </w:p>
        </w:tc>
        <w:tc>
          <w:tcPr>
            <w:tcW w:w="1480" w:type="dxa"/>
            <w:vAlign w:val="bottom"/>
            <w:tcBorders>
              <w:right w:val="single" w:sz="8" w:color="3E5588"/>
            </w:tcBorders>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jc w:val="right"/>
              <w:ind w:right="72"/>
              <w:spacing w:after="0" w:line="149" w:lineRule="exact"/>
              <w:rPr>
                <w:sz w:val="20"/>
                <w:szCs w:val="20"/>
                <w:color w:val="auto"/>
              </w:rPr>
            </w:pPr>
            <w:r>
              <w:rPr>
                <w:rFonts w:ascii="Arial" w:cs="Arial" w:eastAsia="Arial" w:hAnsi="Arial"/>
                <w:sz w:val="14"/>
                <w:szCs w:val="14"/>
                <w:b w:val="1"/>
                <w:bCs w:val="1"/>
                <w:color w:val="3E5588"/>
                <w:w w:val="94"/>
              </w:rPr>
              <w:t>Paid-In</w:t>
            </w:r>
          </w:p>
        </w:tc>
        <w:tc>
          <w:tcPr>
            <w:tcW w:w="60" w:type="dxa"/>
            <w:vAlign w:val="bottom"/>
          </w:tcPr>
          <w:p>
            <w:pPr>
              <w:spacing w:after="0"/>
              <w:rPr>
                <w:sz w:val="5"/>
                <w:szCs w:val="5"/>
                <w:color w:val="auto"/>
              </w:rPr>
            </w:pPr>
          </w:p>
        </w:tc>
        <w:tc>
          <w:tcPr>
            <w:tcW w:w="880" w:type="dxa"/>
            <w:vAlign w:val="bottom"/>
            <w:gridSpan w:val="3"/>
            <w:vMerge w:val="restart"/>
          </w:tcPr>
          <w:p>
            <w:pPr>
              <w:jc w:val="right"/>
              <w:ind w:right="80"/>
              <w:spacing w:after="0" w:line="149" w:lineRule="exact"/>
              <w:rPr>
                <w:sz w:val="20"/>
                <w:szCs w:val="20"/>
                <w:color w:val="auto"/>
              </w:rPr>
            </w:pPr>
            <w:r>
              <w:rPr>
                <w:rFonts w:ascii="Arial" w:cs="Arial" w:eastAsia="Arial" w:hAnsi="Arial"/>
                <w:sz w:val="14"/>
                <w:szCs w:val="14"/>
                <w:b w:val="1"/>
                <w:bCs w:val="1"/>
                <w:color w:val="3E5588"/>
                <w:w w:val="88"/>
              </w:rPr>
              <w:t>Accumulated</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3E5588"/>
                <w:w w:val="88"/>
              </w:rPr>
              <w:t>(Deficit)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20" w:type="dxa"/>
            <w:vAlign w:val="bottom"/>
            <w:tcBorders>
              <w:top w:val="single" w:sz="8" w:color="3E5588"/>
            </w:tcBorders>
          </w:tcPr>
          <w:p>
            <w:pPr>
              <w:spacing w:after="0"/>
              <w:rPr>
                <w:sz w:val="5"/>
                <w:szCs w:val="5"/>
                <w:color w:val="auto"/>
              </w:rPr>
            </w:pPr>
          </w:p>
        </w:tc>
        <w:tc>
          <w:tcPr>
            <w:tcW w:w="60" w:type="dxa"/>
            <w:vAlign w:val="bottom"/>
            <w:tcBorders>
              <w:top w:val="single" w:sz="8" w:color="3E5588"/>
            </w:tcBorders>
          </w:tcPr>
          <w:p>
            <w:pPr>
              <w:spacing w:after="0"/>
              <w:rPr>
                <w:sz w:val="5"/>
                <w:szCs w:val="5"/>
                <w:color w:val="auto"/>
              </w:rPr>
            </w:pPr>
          </w:p>
        </w:tc>
        <w:tc>
          <w:tcPr>
            <w:tcW w:w="20" w:type="dxa"/>
            <w:vAlign w:val="bottom"/>
            <w:tcBorders>
              <w:top w:val="single" w:sz="8" w:color="3E5588"/>
            </w:tcBorders>
          </w:tcPr>
          <w:p>
            <w:pPr>
              <w:spacing w:after="0"/>
              <w:rPr>
                <w:sz w:val="5"/>
                <w:szCs w:val="5"/>
                <w:color w:val="auto"/>
              </w:rPr>
            </w:pPr>
          </w:p>
        </w:tc>
        <w:tc>
          <w:tcPr>
            <w:tcW w:w="100" w:type="dxa"/>
            <w:vAlign w:val="bottom"/>
            <w:tcBorders>
              <w:top w:val="single" w:sz="8" w:color="3E5588"/>
            </w:tcBorders>
          </w:tcPr>
          <w:p>
            <w:pPr>
              <w:spacing w:after="0"/>
              <w:rPr>
                <w:sz w:val="5"/>
                <w:szCs w:val="5"/>
                <w:color w:val="auto"/>
              </w:rPr>
            </w:pPr>
          </w:p>
        </w:tc>
        <w:tc>
          <w:tcPr>
            <w:tcW w:w="420" w:type="dxa"/>
            <w:vAlign w:val="bottom"/>
            <w:tcBorders>
              <w:top w:val="single" w:sz="8" w:color="3E5588"/>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top w:val="single" w:sz="8" w:color="3E5588"/>
            </w:tcBorders>
          </w:tcPr>
          <w:p>
            <w:pPr>
              <w:spacing w:after="0"/>
              <w:rPr>
                <w:sz w:val="5"/>
                <w:szCs w:val="5"/>
                <w:color w:val="auto"/>
              </w:rPr>
            </w:pPr>
          </w:p>
        </w:tc>
        <w:tc>
          <w:tcPr>
            <w:tcW w:w="40" w:type="dxa"/>
            <w:vAlign w:val="bottom"/>
            <w:tcBorders>
              <w:top w:val="single" w:sz="8" w:color="3E5588"/>
            </w:tcBorders>
          </w:tcPr>
          <w:p>
            <w:pPr>
              <w:spacing w:after="0"/>
              <w:rPr>
                <w:sz w:val="5"/>
                <w:szCs w:val="5"/>
                <w:color w:val="auto"/>
              </w:rPr>
            </w:pPr>
          </w:p>
        </w:tc>
        <w:tc>
          <w:tcPr>
            <w:tcW w:w="20" w:type="dxa"/>
            <w:vAlign w:val="bottom"/>
            <w:tcBorders>
              <w:top w:val="single" w:sz="8" w:color="3E5588"/>
            </w:tcBorders>
          </w:tcPr>
          <w:p>
            <w:pPr>
              <w:spacing w:after="0"/>
              <w:rPr>
                <w:sz w:val="5"/>
                <w:szCs w:val="5"/>
                <w:color w:val="auto"/>
              </w:rPr>
            </w:pPr>
          </w:p>
        </w:tc>
        <w:tc>
          <w:tcPr>
            <w:tcW w:w="120" w:type="dxa"/>
            <w:vAlign w:val="bottom"/>
            <w:tcBorders>
              <w:top w:val="single" w:sz="8" w:color="3E5588"/>
            </w:tcBorders>
          </w:tcPr>
          <w:p>
            <w:pPr>
              <w:spacing w:after="0"/>
              <w:rPr>
                <w:sz w:val="5"/>
                <w:szCs w:val="5"/>
                <w:color w:val="auto"/>
              </w:rPr>
            </w:pPr>
          </w:p>
        </w:tc>
        <w:tc>
          <w:tcPr>
            <w:tcW w:w="420" w:type="dxa"/>
            <w:vAlign w:val="bottom"/>
            <w:tcBorders>
              <w:top w:val="single" w:sz="8" w:color="3E5588"/>
            </w:tcBorders>
          </w:tcPr>
          <w:p>
            <w:pPr>
              <w:spacing w:after="0"/>
              <w:rPr>
                <w:sz w:val="5"/>
                <w:szCs w:val="5"/>
                <w:color w:val="auto"/>
              </w:rPr>
            </w:pPr>
          </w:p>
        </w:tc>
        <w:tc>
          <w:tcPr>
            <w:tcW w:w="140" w:type="dxa"/>
            <w:vAlign w:val="bottom"/>
            <w:tcBorders>
              <w:right w:val="single" w:sz="8" w:color="3E5588"/>
            </w:tcBorders>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top w:val="single" w:sz="8" w:color="3E5588"/>
            </w:tcBorders>
          </w:tcPr>
          <w:p>
            <w:pPr>
              <w:spacing w:after="0"/>
              <w:rPr>
                <w:sz w:val="5"/>
                <w:szCs w:val="5"/>
                <w:color w:val="auto"/>
              </w:rPr>
            </w:pPr>
          </w:p>
        </w:tc>
        <w:tc>
          <w:tcPr>
            <w:tcW w:w="80" w:type="dxa"/>
            <w:vAlign w:val="bottom"/>
            <w:tcBorders>
              <w:top w:val="single" w:sz="8" w:color="3E5588"/>
            </w:tcBorders>
          </w:tcPr>
          <w:p>
            <w:pPr>
              <w:spacing w:after="0"/>
              <w:rPr>
                <w:sz w:val="5"/>
                <w:szCs w:val="5"/>
                <w:color w:val="auto"/>
              </w:rPr>
            </w:pPr>
          </w:p>
        </w:tc>
        <w:tc>
          <w:tcPr>
            <w:tcW w:w="360" w:type="dxa"/>
            <w:vAlign w:val="bottom"/>
            <w:tcBorders>
              <w:top w:val="single" w:sz="8" w:color="3E5588"/>
            </w:tcBorders>
          </w:tcPr>
          <w:p>
            <w:pPr>
              <w:spacing w:after="0"/>
              <w:rPr>
                <w:sz w:val="5"/>
                <w:szCs w:val="5"/>
                <w:color w:val="auto"/>
              </w:rPr>
            </w:pPr>
          </w:p>
        </w:tc>
        <w:tc>
          <w:tcPr>
            <w:tcW w:w="200" w:type="dxa"/>
            <w:vAlign w:val="bottom"/>
            <w:tcBorders>
              <w:top w:val="single" w:sz="8" w:color="3E5588"/>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Borders>
              <w:top w:val="single" w:sz="8" w:color="3E5588"/>
            </w:tcBorders>
          </w:tcPr>
          <w:p>
            <w:pPr>
              <w:spacing w:after="0"/>
              <w:rPr>
                <w:sz w:val="5"/>
                <w:szCs w:val="5"/>
                <w:color w:val="auto"/>
              </w:rPr>
            </w:pPr>
          </w:p>
        </w:tc>
        <w:tc>
          <w:tcPr>
            <w:tcW w:w="60" w:type="dxa"/>
            <w:vAlign w:val="bottom"/>
            <w:tcBorders>
              <w:top w:val="single" w:sz="8" w:color="3E5588"/>
            </w:tcBorders>
          </w:tcPr>
          <w:p>
            <w:pPr>
              <w:spacing w:after="0"/>
              <w:rPr>
                <w:sz w:val="5"/>
                <w:szCs w:val="5"/>
                <w:color w:val="auto"/>
              </w:rPr>
            </w:pPr>
          </w:p>
        </w:tc>
        <w:tc>
          <w:tcPr>
            <w:tcW w:w="20" w:type="dxa"/>
            <w:vAlign w:val="bottom"/>
            <w:tcBorders>
              <w:top w:val="single" w:sz="8" w:color="3E5588"/>
            </w:tcBorders>
          </w:tcPr>
          <w:p>
            <w:pPr>
              <w:spacing w:after="0"/>
              <w:rPr>
                <w:sz w:val="5"/>
                <w:szCs w:val="5"/>
                <w:color w:val="auto"/>
              </w:rPr>
            </w:pPr>
          </w:p>
        </w:tc>
        <w:tc>
          <w:tcPr>
            <w:tcW w:w="400" w:type="dxa"/>
            <w:vAlign w:val="bottom"/>
            <w:tcBorders>
              <w:top w:val="single" w:sz="8" w:color="3E5588"/>
            </w:tcBorders>
          </w:tcPr>
          <w:p>
            <w:pPr>
              <w:spacing w:after="0"/>
              <w:rPr>
                <w:sz w:val="5"/>
                <w:szCs w:val="5"/>
                <w:color w:val="auto"/>
              </w:rPr>
            </w:pPr>
          </w:p>
        </w:tc>
        <w:tc>
          <w:tcPr>
            <w:tcW w:w="160" w:type="dxa"/>
            <w:vAlign w:val="bottom"/>
            <w:tcBorders>
              <w:top w:val="single" w:sz="8" w:color="3E5588"/>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E5588"/>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3E5588"/>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E5588"/>
              </w:rPr>
              <w:t>Shares</w:t>
            </w:r>
          </w:p>
        </w:tc>
        <w:tc>
          <w:tcPr>
            <w:tcW w:w="20" w:type="dxa"/>
            <w:vAlign w:val="bottom"/>
          </w:tcPr>
          <w:p>
            <w:pPr>
              <w:spacing w:after="0"/>
              <w:rPr>
                <w:sz w:val="14"/>
                <w:szCs w:val="14"/>
                <w:color w:val="auto"/>
              </w:rPr>
            </w:pPr>
          </w:p>
        </w:tc>
        <w:tc>
          <w:tcPr>
            <w:tcW w:w="680" w:type="dxa"/>
            <w:vAlign w:val="bottom"/>
            <w:tcBorders>
              <w:right w:val="single" w:sz="8" w:color="3E5588"/>
            </w:tcBorders>
            <w:gridSpan w:val="3"/>
          </w:tcPr>
          <w:p>
            <w:pPr>
              <w:jc w:val="right"/>
              <w:ind w:right="180"/>
              <w:spacing w:after="0"/>
              <w:rPr>
                <w:sz w:val="20"/>
                <w:szCs w:val="20"/>
                <w:color w:val="auto"/>
              </w:rPr>
            </w:pPr>
            <w:r>
              <w:rPr>
                <w:rFonts w:ascii="Arial" w:cs="Arial" w:eastAsia="Arial" w:hAnsi="Arial"/>
                <w:sz w:val="14"/>
                <w:szCs w:val="14"/>
                <w:b w:val="1"/>
                <w:bCs w:val="1"/>
                <w:color w:val="3E5588"/>
                <w:w w:val="90"/>
              </w:rPr>
              <w:t>Amount</w:t>
            </w:r>
          </w:p>
        </w:tc>
        <w:tc>
          <w:tcPr>
            <w:tcW w:w="60" w:type="dxa"/>
            <w:vAlign w:val="bottom"/>
          </w:tcPr>
          <w:p>
            <w:pPr>
              <w:spacing w:after="0"/>
              <w:rPr>
                <w:sz w:val="14"/>
                <w:szCs w:val="14"/>
                <w:color w:val="auto"/>
              </w:rPr>
            </w:pPr>
          </w:p>
        </w:tc>
        <w:tc>
          <w:tcPr>
            <w:tcW w:w="700" w:type="dxa"/>
            <w:vAlign w:val="bottom"/>
          </w:tcPr>
          <w:p>
            <w:pPr>
              <w:jc w:val="right"/>
              <w:ind w:right="92"/>
              <w:spacing w:after="0"/>
              <w:rPr>
                <w:sz w:val="20"/>
                <w:szCs w:val="20"/>
                <w:color w:val="auto"/>
              </w:rPr>
            </w:pPr>
            <w:r>
              <w:rPr>
                <w:rFonts w:ascii="Arial" w:cs="Arial" w:eastAsia="Arial" w:hAnsi="Arial"/>
                <w:sz w:val="14"/>
                <w:szCs w:val="14"/>
                <w:b w:val="1"/>
                <w:bCs w:val="1"/>
                <w:color w:val="3E5588"/>
              </w:rPr>
              <w:t>Shares</w:t>
            </w:r>
          </w:p>
        </w:tc>
        <w:tc>
          <w:tcPr>
            <w:tcW w:w="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3E5588"/>
                <w:w w:val="90"/>
              </w:rPr>
              <w:t>Amount</w:t>
            </w:r>
          </w:p>
        </w:tc>
        <w:tc>
          <w:tcPr>
            <w:tcW w:w="6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3E5588"/>
                <w:w w:val="94"/>
              </w:rPr>
              <w:t>Shares</w:t>
            </w: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3E5588"/>
              </w:rPr>
              <w:t>Amount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3E5588"/>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3E5588"/>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E5588"/>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3E5588"/>
              </w:rPr>
              <w:t>Balance at</w:t>
            </w:r>
          </w:p>
        </w:tc>
        <w:tc>
          <w:tcPr>
            <w:tcW w:w="7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3E5588"/>
            </w:tcBorders>
            <w:shd w:val="clear" w:color="auto" w:fill="CCEEFF"/>
          </w:tcPr>
          <w:p>
            <w:pPr>
              <w:spacing w:after="0"/>
              <w:rPr>
                <w:sz w:val="11"/>
                <w:szCs w:val="11"/>
                <w:color w:val="auto"/>
              </w:rPr>
            </w:pPr>
          </w:p>
        </w:tc>
        <w:tc>
          <w:tcPr>
            <w:tcW w:w="4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3E5588"/>
            </w:tcBorders>
            <w:shd w:val="clear" w:color="auto" w:fill="CCEEFF"/>
          </w:tcPr>
          <w:p>
            <w:pPr>
              <w:spacing w:after="0"/>
              <w:rPr>
                <w:sz w:val="11"/>
                <w:szCs w:val="11"/>
                <w:color w:val="auto"/>
              </w:rPr>
            </w:pPr>
          </w:p>
        </w:tc>
        <w:tc>
          <w:tcPr>
            <w:tcW w:w="420" w:type="dxa"/>
            <w:vAlign w:val="bottom"/>
            <w:tcBorders>
              <w:top w:val="single" w:sz="8" w:color="3E5588"/>
            </w:tcBorders>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3E5588"/>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3E5588"/>
            </w:tcBorders>
            <w:shd w:val="clear" w:color="auto" w:fill="CCEEFF"/>
          </w:tcPr>
          <w:p>
            <w:pPr>
              <w:spacing w:after="0"/>
              <w:rPr>
                <w:sz w:val="11"/>
                <w:szCs w:val="11"/>
                <w:color w:val="auto"/>
              </w:rPr>
            </w:pPr>
          </w:p>
        </w:tc>
        <w:tc>
          <w:tcPr>
            <w:tcW w:w="2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3E5588"/>
            </w:tcBorders>
            <w:shd w:val="clear" w:color="auto" w:fill="CCEEFF"/>
          </w:tcPr>
          <w:p>
            <w:pPr>
              <w:spacing w:after="0"/>
              <w:rPr>
                <w:sz w:val="11"/>
                <w:szCs w:val="11"/>
                <w:color w:val="auto"/>
              </w:rPr>
            </w:pPr>
          </w:p>
        </w:tc>
        <w:tc>
          <w:tcPr>
            <w:tcW w:w="16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6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6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December 31,</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3E5588"/>
              </w:rPr>
              <w:t>2016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17,000,000</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3"/>
              </w:rPr>
              <w:t>16,962</w:t>
            </w:r>
          </w:p>
        </w:tc>
        <w:tc>
          <w:tcPr>
            <w:tcW w:w="6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3E5588"/>
              </w:rPr>
              <w:t>— $</w:t>
            </w:r>
          </w:p>
        </w:tc>
        <w:tc>
          <w:tcPr>
            <w:tcW w:w="56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508,488</w:t>
            </w:r>
          </w:p>
        </w:tc>
        <w:tc>
          <w:tcPr>
            <w:tcW w:w="440" w:type="dxa"/>
            <w:vAlign w:val="bottom"/>
            <w:gridSpan w:val="2"/>
            <w:shd w:val="clear" w:color="auto" w:fill="CCEEFF"/>
          </w:tcPr>
          <w:p>
            <w:pPr>
              <w:jc w:val="right"/>
              <w:ind w:right="232"/>
              <w:spacing w:after="0" w:line="159" w:lineRule="exact"/>
              <w:rPr>
                <w:sz w:val="20"/>
                <w:szCs w:val="20"/>
                <w:color w:val="auto"/>
              </w:rPr>
            </w:pPr>
            <w:r>
              <w:rPr>
                <w:rFonts w:ascii="Arial" w:cs="Arial" w:eastAsia="Arial" w:hAnsi="Arial"/>
                <w:sz w:val="14"/>
                <w:szCs w:val="14"/>
                <w:color w:val="3E5588"/>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3E5588"/>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890</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(12,572)</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(11,681)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Series A</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preferred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89"/>
              </w:rPr>
              <w:t>stock at $1.00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90"/>
              </w:rPr>
              <w:t>per share, net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of issuance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costs of $42</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3E5588"/>
                <w:w w:val="99"/>
              </w:rPr>
              <w:t>17,666,666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3E5588"/>
                <w:w w:val="93"/>
              </w:rPr>
              <w:t>17,625</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common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stock</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463,778</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w w:val="98"/>
              </w:rPr>
              <w:t>Repurchase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unvested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restricted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w w:val="95"/>
              </w:rPr>
              <w:t>stock awards</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3E5588"/>
              </w:rPr>
              <w:t>8,036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Stock-based</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w w:val="89"/>
              </w:rPr>
              <w:t>compensation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expense</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1,371</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1,371</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Net loss</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3E5588"/>
            </w:tcBorders>
            <w:gridSpan w:val="2"/>
          </w:tcPr>
          <w:p>
            <w:pPr>
              <w:jc w:val="right"/>
              <w:ind w:right="140"/>
              <w:spacing w:after="0" w:line="14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E5588"/>
              </w:rPr>
              <w:t>(22,964)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3E5588"/>
              </w:rPr>
              <w:t>(22,964)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3E5588"/>
              </w:rPr>
              <w:t>Balance at</w:t>
            </w:r>
          </w:p>
        </w:tc>
        <w:tc>
          <w:tcPr>
            <w:tcW w:w="7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3E5588"/>
            </w:tcBorders>
            <w:shd w:val="clear" w:color="auto" w:fill="CCEEFF"/>
          </w:tcPr>
          <w:p>
            <w:pPr>
              <w:spacing w:after="0"/>
              <w:rPr>
                <w:sz w:val="11"/>
                <w:szCs w:val="11"/>
                <w:color w:val="auto"/>
              </w:rPr>
            </w:pPr>
          </w:p>
        </w:tc>
        <w:tc>
          <w:tcPr>
            <w:tcW w:w="4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3E5588"/>
            </w:tcBorders>
            <w:shd w:val="clear" w:color="auto" w:fill="CCEEFF"/>
          </w:tcPr>
          <w:p>
            <w:pPr>
              <w:spacing w:after="0"/>
              <w:rPr>
                <w:sz w:val="11"/>
                <w:szCs w:val="11"/>
                <w:color w:val="auto"/>
              </w:rPr>
            </w:pPr>
          </w:p>
        </w:tc>
        <w:tc>
          <w:tcPr>
            <w:tcW w:w="420" w:type="dxa"/>
            <w:vAlign w:val="bottom"/>
            <w:tcBorders>
              <w:top w:val="single" w:sz="8" w:color="3E5588"/>
            </w:tcBorders>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3E5588"/>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3E5588"/>
            </w:tcBorders>
            <w:shd w:val="clear" w:color="auto" w:fill="CCEEFF"/>
          </w:tcPr>
          <w:p>
            <w:pPr>
              <w:spacing w:after="0"/>
              <w:rPr>
                <w:sz w:val="11"/>
                <w:szCs w:val="11"/>
                <w:color w:val="auto"/>
              </w:rPr>
            </w:pPr>
          </w:p>
        </w:tc>
        <w:tc>
          <w:tcPr>
            <w:tcW w:w="2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3E5588"/>
            </w:tcBorders>
            <w:shd w:val="clear" w:color="auto" w:fill="CCEEFF"/>
          </w:tcPr>
          <w:p>
            <w:pPr>
              <w:spacing w:after="0"/>
              <w:rPr>
                <w:sz w:val="11"/>
                <w:szCs w:val="11"/>
                <w:color w:val="auto"/>
              </w:rPr>
            </w:pPr>
          </w:p>
        </w:tc>
        <w:tc>
          <w:tcPr>
            <w:tcW w:w="16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6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6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December 31,</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3E5588"/>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34,666,666</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3"/>
              </w:rPr>
              <w:t>34,587</w:t>
            </w:r>
          </w:p>
        </w:tc>
        <w:tc>
          <w:tcPr>
            <w:tcW w:w="60" w:type="dxa"/>
            <w:vAlign w:val="bottom"/>
            <w:shd w:val="clear" w:color="auto" w:fill="CCEEFF"/>
          </w:tcPr>
          <w:p>
            <w:pPr>
              <w:spacing w:after="0"/>
              <w:rPr>
                <w:sz w:val="13"/>
                <w:szCs w:val="13"/>
                <w:color w:val="auto"/>
              </w:rPr>
            </w:pPr>
          </w:p>
        </w:tc>
        <w:tc>
          <w:tcPr>
            <w:tcW w:w="92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3E5588"/>
              </w:rPr>
              <w:t>— $</w:t>
            </w:r>
          </w:p>
        </w:tc>
        <w:tc>
          <w:tcPr>
            <w:tcW w:w="56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972,266</w:t>
            </w:r>
          </w:p>
        </w:tc>
        <w:tc>
          <w:tcPr>
            <w:tcW w:w="440" w:type="dxa"/>
            <w:vAlign w:val="bottom"/>
            <w:gridSpan w:val="2"/>
            <w:shd w:val="clear" w:color="auto" w:fill="CCEEFF"/>
          </w:tcPr>
          <w:p>
            <w:pPr>
              <w:jc w:val="right"/>
              <w:ind w:right="232"/>
              <w:spacing w:after="0" w:line="159" w:lineRule="exact"/>
              <w:rPr>
                <w:sz w:val="20"/>
                <w:szCs w:val="20"/>
                <w:color w:val="auto"/>
              </w:rPr>
            </w:pPr>
            <w:r>
              <w:rPr>
                <w:rFonts w:ascii="Arial" w:cs="Arial" w:eastAsia="Arial" w:hAnsi="Arial"/>
                <w:sz w:val="14"/>
                <w:szCs w:val="14"/>
                <w:color w:val="3E5588"/>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rPr>
              <w:t>8,036</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3E5588"/>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2,270</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(35,536)</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(33,265)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vMerge w:val="restart"/>
          </w:tcPr>
          <w:p>
            <w:pPr>
              <w:ind w:left="120"/>
              <w:spacing w:after="0" w:line="158" w:lineRule="exact"/>
              <w:rPr>
                <w:sz w:val="20"/>
                <w:szCs w:val="20"/>
                <w:color w:val="auto"/>
              </w:rPr>
            </w:pPr>
            <w:r>
              <w:rPr>
                <w:rFonts w:ascii="Arial" w:cs="Arial" w:eastAsia="Arial" w:hAnsi="Arial"/>
                <w:sz w:val="14"/>
                <w:szCs w:val="14"/>
                <w:color w:val="3E5588"/>
              </w:rPr>
              <w:t>Issuance of</w:t>
            </w: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4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3E5588"/>
              <w:bottom w:val="single" w:sz="8" w:color="3E5588"/>
            </w:tcBorders>
          </w:tcPr>
          <w:p>
            <w:pPr>
              <w:spacing w:after="0" w:line="20" w:lineRule="exact"/>
              <w:rPr>
                <w:sz w:val="1"/>
                <w:szCs w:val="1"/>
                <w:color w:val="auto"/>
              </w:rPr>
            </w:pPr>
          </w:p>
        </w:tc>
        <w:tc>
          <w:tcPr>
            <w:tcW w:w="420" w:type="dxa"/>
            <w:vAlign w:val="bottom"/>
            <w:tcBorders>
              <w:top w:val="single" w:sz="8" w:color="3E5588"/>
              <w:bottom w:val="single" w:sz="8" w:color="3E5588"/>
            </w:tcBorders>
          </w:tcPr>
          <w:p>
            <w:pPr>
              <w:spacing w:after="0" w:line="20" w:lineRule="exact"/>
              <w:rPr>
                <w:sz w:val="1"/>
                <w:szCs w:val="1"/>
                <w:color w:val="auto"/>
              </w:rPr>
            </w:pPr>
          </w:p>
        </w:tc>
        <w:tc>
          <w:tcPr>
            <w:tcW w:w="140" w:type="dxa"/>
            <w:vAlign w:val="bottom"/>
            <w:tcBorders>
              <w:right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3E5588"/>
              <w:bottom w:val="single" w:sz="8" w:color="3E5588"/>
            </w:tcBorders>
          </w:tcPr>
          <w:p>
            <w:pPr>
              <w:spacing w:after="0" w:line="20" w:lineRule="exact"/>
              <w:rPr>
                <w:sz w:val="1"/>
                <w:szCs w:val="1"/>
                <w:color w:val="auto"/>
              </w:rPr>
            </w:pPr>
          </w:p>
        </w:tc>
        <w:tc>
          <w:tcPr>
            <w:tcW w:w="2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3E5588"/>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Series A</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preferred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89"/>
              </w:rPr>
              <w:t>stock at $1.00</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90"/>
              </w:rPr>
              <w:t>per share, net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of issuance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costs of $11</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3E5588"/>
                <w:w w:val="99"/>
              </w:rPr>
              <w:t>25,333,334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3E5588"/>
                <w:w w:val="93"/>
              </w:rPr>
              <w:t>25,322</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Series B</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preferred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w w:val="89"/>
              </w:rPr>
              <w:t>stock at $2.00</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w w:val="90"/>
              </w:rPr>
              <w:t>per share, net</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of issuance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w w:val="93"/>
              </w:rPr>
              <w:t>costs of $239</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40,000,000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3"/>
              </w:rPr>
              <w:t>79,761</w:t>
            </w:r>
          </w:p>
        </w:tc>
        <w:tc>
          <w:tcPr>
            <w:tcW w:w="140" w:type="dxa"/>
            <w:vAlign w:val="bottom"/>
            <w:tcBorders>
              <w:right w:val="single" w:sz="8" w:color="3E5588"/>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common</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stock</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3E5588"/>
              </w:rPr>
              <w:t>615,687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3E5588"/>
              </w:rPr>
              <w:t>1</w:t>
            </w:r>
          </w:p>
        </w:tc>
        <w:tc>
          <w:tcPr>
            <w:tcW w:w="60" w:type="dxa"/>
            <w:vAlign w:val="bottom"/>
          </w:tcPr>
          <w:p>
            <w:pPr>
              <w:spacing w:after="0"/>
              <w:rPr>
                <w:sz w:val="13"/>
                <w:szCs w:val="13"/>
                <w:color w:val="auto"/>
              </w:rPr>
            </w:pPr>
          </w:p>
        </w:tc>
        <w:tc>
          <w:tcPr>
            <w:tcW w:w="6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23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3E5588"/>
              </w:rPr>
              <w:t>24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w w:val="98"/>
              </w:rPr>
              <w:t>Repurchase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unvested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restricted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w w:val="95"/>
              </w:rPr>
              <w:t>stock awards</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rPr>
              <w:t>93,711</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rPr>
              <w:t>Retirement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treasury</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shares</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6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3E5588"/>
              </w:rPr>
              <w:t>(34,723)</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Stock-based</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w w:val="89"/>
              </w:rPr>
              <w:t>compensation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expense</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2,159</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2,159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Net loss</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right w:val="single" w:sz="8" w:color="3E5588"/>
            </w:tcBorders>
            <w:gridSpan w:val="2"/>
          </w:tcPr>
          <w:p>
            <w:pPr>
              <w:jc w:val="right"/>
              <w:ind w:right="140"/>
              <w:spacing w:after="0" w:line="14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3E5588"/>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gridSpan w:val="3"/>
          </w:tcPr>
          <w:p>
            <w:pPr>
              <w:ind w:left="20"/>
              <w:spacing w:after="0" w:line="14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3E5588"/>
              </w:rPr>
              <w:t>(32,588)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3E5588"/>
              </w:rPr>
              <w:t>(32,588)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3E5588"/>
              </w:rPr>
              <w:t>Balance at</w:t>
            </w:r>
          </w:p>
        </w:tc>
        <w:tc>
          <w:tcPr>
            <w:tcW w:w="7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top w:val="single" w:sz="8" w:color="3E5588"/>
            </w:tcBorders>
            <w:shd w:val="clear" w:color="auto" w:fill="CCEEFF"/>
          </w:tcPr>
          <w:p>
            <w:pPr>
              <w:spacing w:after="0"/>
              <w:rPr>
                <w:sz w:val="11"/>
                <w:szCs w:val="11"/>
                <w:color w:val="auto"/>
              </w:rPr>
            </w:pPr>
          </w:p>
        </w:tc>
        <w:tc>
          <w:tcPr>
            <w:tcW w:w="4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3E5588"/>
            </w:tcBorders>
            <w:shd w:val="clear" w:color="auto" w:fill="CCEEFF"/>
          </w:tcPr>
          <w:p>
            <w:pPr>
              <w:spacing w:after="0"/>
              <w:rPr>
                <w:sz w:val="11"/>
                <w:szCs w:val="11"/>
                <w:color w:val="auto"/>
              </w:rPr>
            </w:pPr>
          </w:p>
        </w:tc>
        <w:tc>
          <w:tcPr>
            <w:tcW w:w="420" w:type="dxa"/>
            <w:vAlign w:val="bottom"/>
            <w:tcBorders>
              <w:top w:val="single" w:sz="8" w:color="3E5588"/>
            </w:tcBorders>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top w:val="single" w:sz="8" w:color="3E5588"/>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tcBorders>
              <w:top w:val="single" w:sz="8" w:color="3E5588"/>
            </w:tcBorders>
            <w:shd w:val="clear" w:color="auto" w:fill="CCEEFF"/>
          </w:tcPr>
          <w:p>
            <w:pPr>
              <w:spacing w:after="0"/>
              <w:rPr>
                <w:sz w:val="11"/>
                <w:szCs w:val="11"/>
                <w:color w:val="auto"/>
              </w:rPr>
            </w:pPr>
          </w:p>
        </w:tc>
        <w:tc>
          <w:tcPr>
            <w:tcW w:w="2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3E5588"/>
            </w:tcBorders>
            <w:shd w:val="clear" w:color="auto" w:fill="CCEEFF"/>
          </w:tcPr>
          <w:p>
            <w:pPr>
              <w:spacing w:after="0"/>
              <w:rPr>
                <w:sz w:val="11"/>
                <w:szCs w:val="11"/>
                <w:color w:val="auto"/>
              </w:rPr>
            </w:pPr>
          </w:p>
        </w:tc>
        <w:tc>
          <w:tcPr>
            <w:tcW w:w="16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6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6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December 31,</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3E5588"/>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60,000,000</w:t>
            </w:r>
          </w:p>
        </w:tc>
        <w:tc>
          <w:tcPr>
            <w:tcW w:w="6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3"/>
              </w:rPr>
              <w:t>59,909</w:t>
            </w: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40,000,000</w:t>
            </w:r>
          </w:p>
        </w:tc>
        <w:tc>
          <w:tcPr>
            <w:tcW w:w="4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76"/>
              </w:rPr>
              <w:t>$</w:t>
            </w: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3"/>
              </w:rPr>
              <w:t>79,761</w:t>
            </w:r>
          </w:p>
        </w:tc>
        <w:tc>
          <w:tcPr>
            <w:tcW w:w="140" w:type="dxa"/>
            <w:vAlign w:val="bottom"/>
            <w:tcBorders>
              <w:right w:val="single" w:sz="8" w:color="3E5588"/>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1,587,953</w:t>
            </w:r>
          </w:p>
        </w:tc>
        <w:tc>
          <w:tcPr>
            <w:tcW w:w="440" w:type="dxa"/>
            <w:vAlign w:val="bottom"/>
            <w:gridSpan w:val="2"/>
            <w:shd w:val="clear" w:color="auto" w:fill="CCEEFF"/>
          </w:tcPr>
          <w:p>
            <w:pPr>
              <w:jc w:val="right"/>
              <w:ind w:right="232"/>
              <w:spacing w:after="0" w:line="159" w:lineRule="exact"/>
              <w:rPr>
                <w:sz w:val="20"/>
                <w:szCs w:val="20"/>
                <w:color w:val="auto"/>
              </w:rPr>
            </w:pPr>
            <w:r>
              <w:rPr>
                <w:rFonts w:ascii="Arial" w:cs="Arial" w:eastAsia="Arial" w:hAnsi="Arial"/>
                <w:sz w:val="14"/>
                <w:szCs w:val="14"/>
                <w:color w:val="3E5588"/>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2</w:t>
            </w:r>
          </w:p>
        </w:tc>
        <w:tc>
          <w:tcPr>
            <w:tcW w:w="6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rPr>
              <w:t>67,024</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3E5588"/>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4,452</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(68,124)</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(63,670)</w:t>
            </w: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line="158" w:lineRule="exact"/>
              <w:rPr>
                <w:sz w:val="20"/>
                <w:szCs w:val="20"/>
                <w:color w:val="auto"/>
              </w:rPr>
            </w:pPr>
            <w:r>
              <w:rPr>
                <w:rFonts w:ascii="Arial" w:cs="Arial" w:eastAsia="Arial" w:hAnsi="Arial"/>
                <w:sz w:val="14"/>
                <w:szCs w:val="14"/>
                <w:color w:val="3E5588"/>
              </w:rPr>
              <w:t>Pro forma</w:t>
            </w: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4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3E5588"/>
              <w:bottom w:val="single" w:sz="8" w:color="3E5588"/>
            </w:tcBorders>
          </w:tcPr>
          <w:p>
            <w:pPr>
              <w:spacing w:after="0" w:line="20" w:lineRule="exact"/>
              <w:rPr>
                <w:sz w:val="1"/>
                <w:szCs w:val="1"/>
                <w:color w:val="auto"/>
              </w:rPr>
            </w:pPr>
          </w:p>
        </w:tc>
        <w:tc>
          <w:tcPr>
            <w:tcW w:w="420" w:type="dxa"/>
            <w:vAlign w:val="bottom"/>
            <w:tcBorders>
              <w:top w:val="single" w:sz="8" w:color="3E5588"/>
              <w:bottom w:val="single" w:sz="8" w:color="3E5588"/>
            </w:tcBorders>
          </w:tcPr>
          <w:p>
            <w:pPr>
              <w:spacing w:after="0" w:line="20" w:lineRule="exact"/>
              <w:rPr>
                <w:sz w:val="1"/>
                <w:szCs w:val="1"/>
                <w:color w:val="auto"/>
              </w:rPr>
            </w:pPr>
          </w:p>
        </w:tc>
        <w:tc>
          <w:tcPr>
            <w:tcW w:w="140" w:type="dxa"/>
            <w:vAlign w:val="bottom"/>
            <w:tcBorders>
              <w:right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3E5588"/>
              <w:bottom w:val="single" w:sz="8" w:color="3E5588"/>
            </w:tcBorders>
          </w:tcPr>
          <w:p>
            <w:pPr>
              <w:spacing w:after="0" w:line="20" w:lineRule="exact"/>
              <w:rPr>
                <w:sz w:val="1"/>
                <w:szCs w:val="1"/>
                <w:color w:val="auto"/>
              </w:rPr>
            </w:pPr>
          </w:p>
        </w:tc>
        <w:tc>
          <w:tcPr>
            <w:tcW w:w="2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06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right w:val="single" w:sz="8" w:color="3E5588"/>
            </w:tcBorders>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w w:val="96"/>
              </w:rPr>
              <w:t>preferred 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and</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stockholders'</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equity</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3E5588"/>
              </w:rPr>
              <w:t>(unaudited):</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right w:val="single" w:sz="8" w:color="3E5588"/>
            </w:tcBorders>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Conversion of</w:t>
            </w: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preferred</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stock into</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common</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stock</w:t>
            </w: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(unaudited)</w:t>
            </w: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w w:val="93"/>
              </w:rPr>
              <w:t>(60,000,000)</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w w:val="84"/>
              </w:rPr>
              <w:t>(59,909)</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95"/>
              </w:rPr>
              <w:t>(40,000,000)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tcBorders>
              <w:right w:val="single" w:sz="8" w:color="3E5588"/>
            </w:tcBorders>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3E5588"/>
                <w:w w:val="84"/>
              </w:rPr>
              <w:t>(79,761)</w:t>
            </w:r>
          </w:p>
        </w:tc>
        <w:tc>
          <w:tcPr>
            <w:tcW w:w="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6"/>
              </w:rPr>
              <w:t>14,285,704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14</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139,656</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139,670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3E5588"/>
                <w:w w:val="90"/>
              </w:rPr>
              <w:t>Pro forma balance</w:t>
            </w:r>
          </w:p>
        </w:tc>
        <w:tc>
          <w:tcPr>
            <w:tcW w:w="72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3E5588"/>
            </w:tcBorders>
          </w:tcPr>
          <w:p>
            <w:pPr>
              <w:spacing w:after="0"/>
              <w:rPr>
                <w:sz w:val="11"/>
                <w:szCs w:val="11"/>
                <w:color w:val="auto"/>
              </w:rPr>
            </w:pPr>
          </w:p>
        </w:tc>
        <w:tc>
          <w:tcPr>
            <w:tcW w:w="42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3E5588"/>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3E5588"/>
            </w:tcBorders>
          </w:tcPr>
          <w:p>
            <w:pPr>
              <w:spacing w:after="0"/>
              <w:rPr>
                <w:sz w:val="11"/>
                <w:szCs w:val="11"/>
                <w:color w:val="auto"/>
              </w:rPr>
            </w:pPr>
          </w:p>
        </w:tc>
        <w:tc>
          <w:tcPr>
            <w:tcW w:w="420" w:type="dxa"/>
            <w:vAlign w:val="bottom"/>
            <w:tcBorders>
              <w:top w:val="single" w:sz="8" w:color="3E5588"/>
            </w:tcBorders>
          </w:tcPr>
          <w:p>
            <w:pPr>
              <w:spacing w:after="0"/>
              <w:rPr>
                <w:sz w:val="11"/>
                <w:szCs w:val="11"/>
                <w:color w:val="auto"/>
              </w:rPr>
            </w:pPr>
          </w:p>
        </w:tc>
        <w:tc>
          <w:tcPr>
            <w:tcW w:w="14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top w:val="single" w:sz="8" w:color="3E5588"/>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3E5588"/>
            </w:tcBorders>
          </w:tcPr>
          <w:p>
            <w:pPr>
              <w:spacing w:after="0"/>
              <w:rPr>
                <w:sz w:val="11"/>
                <w:szCs w:val="11"/>
                <w:color w:val="auto"/>
              </w:rPr>
            </w:pPr>
          </w:p>
        </w:tc>
        <w:tc>
          <w:tcPr>
            <w:tcW w:w="20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3E5588"/>
            </w:tcBorders>
          </w:tcPr>
          <w:p>
            <w:pPr>
              <w:spacing w:after="0"/>
              <w:rPr>
                <w:sz w:val="11"/>
                <w:szCs w:val="11"/>
                <w:color w:val="auto"/>
              </w:rPr>
            </w:pPr>
          </w:p>
        </w:tc>
        <w:tc>
          <w:tcPr>
            <w:tcW w:w="16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3E5588"/>
            </w:tcBorders>
          </w:tcPr>
          <w:p>
            <w:pPr>
              <w:spacing w:after="0"/>
              <w:rPr>
                <w:sz w:val="11"/>
                <w:szCs w:val="11"/>
                <w:color w:val="auto"/>
              </w:rPr>
            </w:pPr>
          </w:p>
        </w:tc>
        <w:tc>
          <w:tcPr>
            <w:tcW w:w="60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3E5588"/>
            </w:tcBorders>
          </w:tcPr>
          <w:p>
            <w:pPr>
              <w:spacing w:after="0"/>
              <w:rPr>
                <w:sz w:val="11"/>
                <w:szCs w:val="11"/>
                <w:color w:val="auto"/>
              </w:rPr>
            </w:pPr>
          </w:p>
        </w:tc>
        <w:tc>
          <w:tcPr>
            <w:tcW w:w="68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3E5588"/>
            </w:tcBorders>
          </w:tcPr>
          <w:p>
            <w:pPr>
              <w:spacing w:after="0"/>
              <w:rPr>
                <w:sz w:val="11"/>
                <w:szCs w:val="11"/>
                <w:color w:val="auto"/>
              </w:rPr>
            </w:pPr>
          </w:p>
        </w:tc>
        <w:tc>
          <w:tcPr>
            <w:tcW w:w="740" w:type="dxa"/>
            <w:vAlign w:val="bottom"/>
            <w:tcBorders>
              <w:top w:val="single" w:sz="8" w:color="3E5588"/>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at</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December 31,</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60" w:type="dxa"/>
            <w:vAlign w:val="bottom"/>
            <w:gridSpan w:val="2"/>
          </w:tcPr>
          <w:p>
            <w:pPr>
              <w:ind w:left="140"/>
              <w:spacing w:after="0" w:line="149" w:lineRule="exact"/>
              <w:rPr>
                <w:sz w:val="20"/>
                <w:szCs w:val="20"/>
                <w:color w:val="auto"/>
              </w:rPr>
            </w:pPr>
            <w:r>
              <w:rPr>
                <w:rFonts w:ascii="Arial" w:cs="Arial" w:eastAsia="Arial" w:hAnsi="Arial"/>
                <w:sz w:val="14"/>
                <w:szCs w:val="14"/>
                <w:color w:val="3E5588"/>
              </w:rPr>
              <w:t>2018</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3E5588"/>
              </w:rPr>
              <w:t>(unaudited)</w:t>
            </w:r>
          </w:p>
        </w:tc>
        <w:tc>
          <w:tcPr>
            <w:tcW w:w="900" w:type="dxa"/>
            <w:vAlign w:val="bottom"/>
            <w:gridSpan w:val="4"/>
          </w:tcPr>
          <w:p>
            <w:pPr>
              <w:jc w:val="right"/>
              <w:spacing w:after="0" w:line="159" w:lineRule="exact"/>
              <w:rPr>
                <w:sz w:val="20"/>
                <w:szCs w:val="20"/>
                <w:color w:val="auto"/>
              </w:rPr>
            </w:pPr>
            <w:r>
              <w:rPr>
                <w:rFonts w:ascii="Arial" w:cs="Arial" w:eastAsia="Arial" w:hAnsi="Arial"/>
                <w:sz w:val="14"/>
                <w:szCs w:val="14"/>
                <w:color w:val="3E5588"/>
              </w:rPr>
              <w:t>— $</w:t>
            </w:r>
          </w:p>
        </w:tc>
        <w:tc>
          <w:tcPr>
            <w:tcW w:w="4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920" w:type="dxa"/>
            <w:vAlign w:val="bottom"/>
            <w:gridSpan w:val="4"/>
          </w:tcPr>
          <w:p>
            <w:pPr>
              <w:jc w:val="right"/>
              <w:spacing w:after="0" w:line="159" w:lineRule="exact"/>
              <w:rPr>
                <w:sz w:val="20"/>
                <w:szCs w:val="20"/>
                <w:color w:val="auto"/>
              </w:rPr>
            </w:pPr>
            <w:r>
              <w:rPr>
                <w:rFonts w:ascii="Arial" w:cs="Arial" w:eastAsia="Arial" w:hAnsi="Arial"/>
                <w:sz w:val="14"/>
                <w:szCs w:val="14"/>
                <w:color w:val="3E5588"/>
              </w:rPr>
              <w:t>— $</w:t>
            </w:r>
          </w:p>
        </w:tc>
        <w:tc>
          <w:tcPr>
            <w:tcW w:w="56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3E5588"/>
                <w:w w:val="96"/>
              </w:rPr>
              <w:t>15,873,657</w:t>
            </w:r>
          </w:p>
        </w:tc>
        <w:tc>
          <w:tcPr>
            <w:tcW w:w="440" w:type="dxa"/>
            <w:vAlign w:val="bottom"/>
            <w:gridSpan w:val="2"/>
          </w:tcPr>
          <w:p>
            <w:pPr>
              <w:jc w:val="right"/>
              <w:ind w:right="232"/>
              <w:spacing w:after="0" w:line="159" w:lineRule="exact"/>
              <w:rPr>
                <w:sz w:val="20"/>
                <w:szCs w:val="20"/>
                <w:color w:val="auto"/>
              </w:rPr>
            </w:pPr>
            <w:r>
              <w:rPr>
                <w:rFonts w:ascii="Arial" w:cs="Arial" w:eastAsia="Arial" w:hAnsi="Arial"/>
                <w:sz w:val="14"/>
                <w:szCs w:val="14"/>
                <w:color w:val="3E5588"/>
              </w:rPr>
              <w:t>$</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3E5588"/>
              </w:rPr>
              <w:t>16</w:t>
            </w:r>
          </w:p>
        </w:tc>
        <w:tc>
          <w:tcPr>
            <w:tcW w:w="600" w:type="dxa"/>
            <w:vAlign w:val="bottom"/>
            <w:gridSpan w:val="2"/>
          </w:tcPr>
          <w:p>
            <w:pPr>
              <w:jc w:val="right"/>
              <w:spacing w:after="0" w:line="159" w:lineRule="exact"/>
              <w:rPr>
                <w:sz w:val="20"/>
                <w:szCs w:val="20"/>
                <w:color w:val="auto"/>
              </w:rPr>
            </w:pPr>
            <w:r>
              <w:rPr>
                <w:rFonts w:ascii="Arial" w:cs="Arial" w:eastAsia="Arial" w:hAnsi="Arial"/>
                <w:sz w:val="14"/>
                <w:szCs w:val="14"/>
                <w:color w:val="3E5588"/>
              </w:rPr>
              <w:t>67,024</w:t>
            </w:r>
          </w:p>
        </w:tc>
        <w:tc>
          <w:tcPr>
            <w:tcW w:w="60" w:type="dxa"/>
            <w:vAlign w:val="bottom"/>
          </w:tcPr>
          <w:p>
            <w:pPr>
              <w:spacing w:after="0"/>
              <w:rPr>
                <w:sz w:val="13"/>
                <w:szCs w:val="13"/>
                <w:color w:val="auto"/>
              </w:rPr>
            </w:pPr>
          </w:p>
        </w:tc>
        <w:tc>
          <w:tcPr>
            <w:tcW w:w="420" w:type="dxa"/>
            <w:vAlign w:val="bottom"/>
            <w:gridSpan w:val="2"/>
          </w:tcPr>
          <w:p>
            <w:pPr>
              <w:jc w:val="right"/>
              <w:ind w:right="272"/>
              <w:spacing w:after="0" w:line="159" w:lineRule="exact"/>
              <w:rPr>
                <w:sz w:val="20"/>
                <w:szCs w:val="20"/>
                <w:color w:val="auto"/>
              </w:rPr>
            </w:pPr>
            <w:r>
              <w:rPr>
                <w:rFonts w:ascii="Arial" w:cs="Arial" w:eastAsia="Arial" w:hAnsi="Arial"/>
                <w:sz w:val="14"/>
                <w:szCs w:val="14"/>
                <w:color w:val="3E5588"/>
                <w:w w:val="76"/>
              </w:rPr>
              <w:t>$</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144,108</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3E5588"/>
              </w:rPr>
              <w:t>(68,124)</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3E5588"/>
              </w:rPr>
              <w:t>76,000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4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3E5588"/>
              <w:bottom w:val="single" w:sz="8" w:color="3E5588"/>
            </w:tcBorders>
          </w:tcPr>
          <w:p>
            <w:pPr>
              <w:spacing w:after="0" w:line="20" w:lineRule="exact"/>
              <w:rPr>
                <w:sz w:val="1"/>
                <w:szCs w:val="1"/>
                <w:color w:val="auto"/>
              </w:rPr>
            </w:pPr>
          </w:p>
        </w:tc>
        <w:tc>
          <w:tcPr>
            <w:tcW w:w="420" w:type="dxa"/>
            <w:vAlign w:val="bottom"/>
            <w:tcBorders>
              <w:top w:val="single" w:sz="8" w:color="3E5588"/>
              <w:bottom w:val="single" w:sz="8" w:color="3E5588"/>
            </w:tcBorders>
          </w:tcPr>
          <w:p>
            <w:pPr>
              <w:spacing w:after="0" w:line="20" w:lineRule="exact"/>
              <w:rPr>
                <w:sz w:val="1"/>
                <w:szCs w:val="1"/>
                <w:color w:val="auto"/>
              </w:rPr>
            </w:pPr>
          </w:p>
        </w:tc>
        <w:tc>
          <w:tcPr>
            <w:tcW w:w="140" w:type="dxa"/>
            <w:vAlign w:val="bottom"/>
            <w:tcBorders>
              <w:right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3E5588"/>
              <w:bottom w:val="single" w:sz="8" w:color="3E5588"/>
            </w:tcBorders>
          </w:tcPr>
          <w:p>
            <w:pPr>
              <w:spacing w:after="0" w:line="20" w:lineRule="exact"/>
              <w:rPr>
                <w:sz w:val="1"/>
                <w:szCs w:val="1"/>
                <w:color w:val="auto"/>
              </w:rPr>
            </w:pPr>
          </w:p>
        </w:tc>
        <w:tc>
          <w:tcPr>
            <w:tcW w:w="2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3E5588"/>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147"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3E5588"/>
        </w:rPr>
        <w:t>Consolidated Statements of Cash Flows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3E5588"/>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3E5588"/>
              </w:rPr>
              <w:t>Year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3E5588"/>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5"/>
              <w:spacing w:after="0" w:line="142" w:lineRule="exact"/>
              <w:rPr>
                <w:sz w:val="20"/>
                <w:szCs w:val="20"/>
                <w:color w:val="auto"/>
              </w:rPr>
            </w:pPr>
            <w:r>
              <w:rPr>
                <w:rFonts w:ascii="Arial" w:cs="Arial" w:eastAsia="Arial" w:hAnsi="Arial"/>
                <w:sz w:val="14"/>
                <w:szCs w:val="14"/>
                <w:b w:val="1"/>
                <w:bCs w:val="1"/>
                <w:color w:val="3E5588"/>
              </w:rPr>
              <w:t>2017</w:t>
            </w:r>
          </w:p>
        </w:tc>
        <w:tc>
          <w:tcPr>
            <w:tcW w:w="100" w:type="dxa"/>
            <w:vAlign w:val="bottom"/>
            <w:tcBorders>
              <w:top w:val="single" w:sz="8" w:color="3E5588"/>
            </w:tcBorders>
          </w:tcPr>
          <w:p>
            <w:pPr>
              <w:spacing w:after="0"/>
              <w:rPr>
                <w:sz w:val="12"/>
                <w:szCs w:val="12"/>
                <w:color w:val="auto"/>
              </w:rPr>
            </w:pPr>
          </w:p>
        </w:tc>
        <w:tc>
          <w:tcPr>
            <w:tcW w:w="60" w:type="dxa"/>
            <w:vAlign w:val="bottom"/>
            <w:tcBorders>
              <w:top w:val="single" w:sz="8" w:color="3E5588"/>
            </w:tcBorders>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640" w:type="dxa"/>
            <w:vAlign w:val="bottom"/>
            <w:tcBorders>
              <w:top w:val="single" w:sz="8" w:color="3E5588"/>
              <w:bottom w:val="single" w:sz="8" w:color="3E5588"/>
            </w:tcBorders>
          </w:tcPr>
          <w:p>
            <w:pPr>
              <w:jc w:val="right"/>
              <w:ind w:right="173"/>
              <w:spacing w:after="0" w:line="142" w:lineRule="exact"/>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3E5588"/>
              </w:rPr>
              <w:t>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3E5588"/>
              </w:rPr>
              <w:t>Net loss</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3E5588"/>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E5588"/>
                <w:w w:val="95"/>
              </w:rPr>
              <w:t>(22,964)</w:t>
            </w: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3E5588"/>
              </w:rPr>
              <w:t>(32,588)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3E5588"/>
              </w:rPr>
              <w:t>Adjustments to reconcile net loss to net cash used in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3E5588"/>
              </w:rPr>
              <w:t>Depreciation expense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1,345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Stock-based compensation expense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2,159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60"/>
              <w:spacing w:after="0"/>
              <w:rPr>
                <w:sz w:val="20"/>
                <w:szCs w:val="20"/>
                <w:color w:val="auto"/>
              </w:rPr>
            </w:pPr>
            <w:r>
              <w:rPr>
                <w:rFonts w:ascii="Arial" w:cs="Arial" w:eastAsia="Arial" w:hAnsi="Arial"/>
                <w:sz w:val="18"/>
                <w:szCs w:val="18"/>
                <w:color w:val="3E5588"/>
              </w:rPr>
              <w:t>Changes in operating assets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3E5588"/>
              </w:rPr>
              <w:t>Prepaid expenses and other 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(334)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3E5588"/>
              </w:rPr>
              <w:t>Other assets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3E5588"/>
              </w:rPr>
              <w:t>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340"/>
              <w:spacing w:after="0"/>
              <w:rPr>
                <w:sz w:val="20"/>
                <w:szCs w:val="20"/>
                <w:color w:val="auto"/>
              </w:rPr>
            </w:pPr>
            <w:r>
              <w:rPr>
                <w:rFonts w:ascii="Arial" w:cs="Arial" w:eastAsia="Arial" w:hAnsi="Arial"/>
                <w:sz w:val="18"/>
                <w:szCs w:val="18"/>
                <w:color w:val="3E5588"/>
              </w:rPr>
              <w:t>Accrued expenses and 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713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1,223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340"/>
              <w:spacing w:after="0"/>
              <w:rPr>
                <w:sz w:val="20"/>
                <w:szCs w:val="20"/>
                <w:color w:val="auto"/>
              </w:rPr>
            </w:pPr>
            <w:r>
              <w:rPr>
                <w:rFonts w:ascii="Arial" w:cs="Arial" w:eastAsia="Arial" w:hAnsi="Arial"/>
                <w:sz w:val="18"/>
                <w:szCs w:val="18"/>
                <w:color w:val="3E5588"/>
              </w:rPr>
              <w:t>Deferred rent and deferred lease incentive</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5,337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3E5588"/>
              </w:rPr>
              <w:t>Net cash used in operating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w w:val="89"/>
              </w:rPr>
              <w:t>(20,074)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w w:val="92"/>
              </w:rPr>
              <w:t>(22,562)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3E5588"/>
              </w:rPr>
              <w:t>Investing activities</w:t>
            </w: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3E5588"/>
              </w:rPr>
              <w:t>Purchases of property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3E5588"/>
              </w:rPr>
              <w:t>(1,908)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3E5588"/>
              </w:rPr>
              <w:t>(8,981)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62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6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3E5588"/>
              </w:rPr>
              <w:t>Net cash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(1,908)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(8,981)</w:t>
            </w: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b w:val="1"/>
                <w:bCs w:val="1"/>
                <w:color w:val="3E5588"/>
              </w:rPr>
              <w:t>Financing activities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3E5588"/>
                <w:w w:val="96"/>
              </w:rPr>
              <w:t>Proceeds from issuance of Series A convertible preferred stock, net of issuance costs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17,621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25,322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3E5588"/>
                <w:w w:val="96"/>
              </w:rPr>
              <w:t>Proceeds from issuance of Series B convertible preferred stock, net of issuance costs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79,761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3E5588"/>
              </w:rPr>
              <w:t>Principal payments on capital lease obligations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3E5588"/>
              </w:rPr>
              <w:t>Proceeds from issuance of common stock</w:t>
            </w:r>
          </w:p>
        </w:tc>
        <w:tc>
          <w:tcPr>
            <w:tcW w:w="660" w:type="dxa"/>
            <w:vAlign w:val="bottom"/>
          </w:tcPr>
          <w:p>
            <w:pPr>
              <w:spacing w:after="0"/>
              <w:rPr>
                <w:sz w:val="18"/>
                <w:szCs w:val="18"/>
                <w:color w:val="auto"/>
              </w:rPr>
            </w:pPr>
          </w:p>
        </w:tc>
        <w:tc>
          <w:tcPr>
            <w:tcW w:w="16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4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3E5588"/>
              </w:rPr>
              <w:t>Net cash provided by financing activities</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w w:val="95"/>
              </w:rPr>
              <w:t>105,025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3E5588"/>
              </w:rPr>
              <w:t>Net increase (decrease) in cash, cash equivalents and restricted cash</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3E5588"/>
              </w:rPr>
              <w:t>(4,320)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3E5588"/>
              </w:rPr>
              <w:t>73,482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3E5588"/>
              </w:rPr>
              <w:t>Cash, cash equivalents, and restricted cash, beginning of period</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4,727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407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color w:val="3E5588"/>
              </w:rPr>
              <w:t>Cash, cash equivalents, and restricted cash, end of period</w:t>
            </w:r>
          </w:p>
        </w:tc>
        <w:tc>
          <w:tcPr>
            <w:tcW w:w="660" w:type="dxa"/>
            <w:vAlign w:val="bottom"/>
          </w:tcPr>
          <w:p>
            <w:pPr>
              <w:spacing w:after="0"/>
              <w:rPr>
                <w:sz w:val="18"/>
                <w:szCs w:val="18"/>
                <w:color w:val="auto"/>
              </w:rPr>
            </w:pPr>
          </w:p>
        </w:tc>
        <w:tc>
          <w:tcPr>
            <w:tcW w:w="160" w:type="dxa"/>
            <w:vAlign w:val="bottom"/>
            <w:tcBorders>
              <w:bottom w:val="single" w:sz="8" w:color="3E5588"/>
            </w:tcBorders>
          </w:tcPr>
          <w:p>
            <w:pPr>
              <w:jc w:val="right"/>
              <w:ind w:right="3"/>
              <w:spacing w:after="0"/>
              <w:rPr>
                <w:sz w:val="20"/>
                <w:szCs w:val="20"/>
                <w:color w:val="auto"/>
              </w:rPr>
            </w:pPr>
            <w:r>
              <w:rPr>
                <w:rFonts w:ascii="Arial" w:cs="Arial" w:eastAsia="Arial" w:hAnsi="Arial"/>
                <w:sz w:val="15"/>
                <w:szCs w:val="15"/>
                <w:color w:val="3E5588"/>
                <w:w w:val="71"/>
              </w:rPr>
              <w:t>$</w:t>
            </w: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407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4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73,889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4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E5588"/>
              </w:rPr>
              <w:t>Supplemental cash flow information</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600" w:type="dxa"/>
            <w:vAlign w:val="bottom"/>
            <w:gridSpan w:val="2"/>
          </w:tcPr>
          <w:p>
            <w:pPr>
              <w:spacing w:after="0"/>
              <w:rPr>
                <w:sz w:val="20"/>
                <w:szCs w:val="20"/>
                <w:color w:val="auto"/>
              </w:rPr>
            </w:pPr>
            <w:r>
              <w:rPr>
                <w:rFonts w:ascii="Arial" w:cs="Arial" w:eastAsia="Arial" w:hAnsi="Arial"/>
                <w:sz w:val="18"/>
                <w:szCs w:val="18"/>
                <w:color w:val="3E5588"/>
              </w:rPr>
              <w:t>Cash paid for interest</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3E5588"/>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3E5588"/>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40" w:type="dxa"/>
            <w:vAlign w:val="bottom"/>
          </w:tcPr>
          <w:p>
            <w:pPr>
              <w:jc w:val="right"/>
              <w:spacing w:after="0"/>
              <w:rPr>
                <w:sz w:val="20"/>
                <w:szCs w:val="20"/>
                <w:color w:val="auto"/>
              </w:rPr>
            </w:pPr>
            <w:r>
              <w:rPr>
                <w:rFonts w:ascii="Arial" w:cs="Arial" w:eastAsia="Arial" w:hAnsi="Arial"/>
                <w:sz w:val="18"/>
                <w:szCs w:val="18"/>
                <w:color w:val="3E5588"/>
              </w:rPr>
              <w:t>10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3E5588"/>
              </w:rPr>
              <w:t>Non-cash investing and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3E5588"/>
              </w:rPr>
              <w:t>Property and equipment purchases unpaid at end of period</w:t>
            </w:r>
          </w:p>
        </w:tc>
        <w:tc>
          <w:tcPr>
            <w:tcW w:w="820" w:type="dxa"/>
            <w:vAlign w:val="bottom"/>
            <w:gridSpan w:val="2"/>
          </w:tcPr>
          <w:p>
            <w:pPr>
              <w:jc w:val="right"/>
              <w:ind w:right="3"/>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390</w:t>
            </w: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40" w:type="dxa"/>
            <w:vAlign w:val="bottom"/>
          </w:tcPr>
          <w:p>
            <w:pPr>
              <w:jc w:val="right"/>
              <w:spacing w:after="0"/>
              <w:rPr>
                <w:sz w:val="20"/>
                <w:szCs w:val="20"/>
                <w:color w:val="auto"/>
              </w:rPr>
            </w:pPr>
            <w:r>
              <w:rPr>
                <w:rFonts w:ascii="Arial" w:cs="Arial" w:eastAsia="Arial" w:hAnsi="Arial"/>
                <w:sz w:val="18"/>
                <w:szCs w:val="18"/>
                <w:color w:val="3E5588"/>
              </w:rPr>
              <w:t>174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3E5588"/>
        </w:rPr>
        <w:t>The following table provides a reconciliation of the cash, cash equivalents, and restricted cash balances as of each of the periods shown above:</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ind w:left="280"/>
              <w:spacing w:after="0"/>
              <w:rPr>
                <w:sz w:val="20"/>
                <w:szCs w:val="20"/>
                <w:color w:val="auto"/>
              </w:rPr>
            </w:pPr>
            <w:r>
              <w:rPr>
                <w:rFonts w:ascii="Arial" w:cs="Arial" w:eastAsia="Arial" w:hAnsi="Arial"/>
                <w:sz w:val="14"/>
                <w:szCs w:val="14"/>
                <w:b w:val="1"/>
                <w:bCs w:val="1"/>
                <w:color w:val="3E5588"/>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3E5588"/>
              <w:bottom w:val="single" w:sz="8" w:color="3E5588"/>
            </w:tcBorders>
          </w:tcPr>
          <w:p>
            <w:pPr>
              <w:spacing w:after="0"/>
              <w:rPr>
                <w:sz w:val="12"/>
                <w:szCs w:val="12"/>
                <w:color w:val="auto"/>
              </w:rPr>
            </w:pPr>
          </w:p>
        </w:tc>
        <w:tc>
          <w:tcPr>
            <w:tcW w:w="600" w:type="dxa"/>
            <w:vAlign w:val="bottom"/>
            <w:tcBorders>
              <w:top w:val="single" w:sz="8" w:color="3E5588"/>
              <w:bottom w:val="single" w:sz="8" w:color="3E5588"/>
            </w:tcBorders>
          </w:tcPr>
          <w:p>
            <w:pPr>
              <w:jc w:val="right"/>
              <w:ind w:right="180"/>
              <w:spacing w:after="0" w:line="142" w:lineRule="exact"/>
              <w:rPr>
                <w:sz w:val="20"/>
                <w:szCs w:val="20"/>
                <w:color w:val="auto"/>
              </w:rPr>
            </w:pPr>
            <w:r>
              <w:rPr>
                <w:rFonts w:ascii="Arial" w:cs="Arial" w:eastAsia="Arial" w:hAnsi="Arial"/>
                <w:sz w:val="14"/>
                <w:szCs w:val="14"/>
                <w:b w:val="1"/>
                <w:bCs w:val="1"/>
                <w:color w:val="3E5588"/>
              </w:rPr>
              <w:t>2017</w:t>
            </w:r>
          </w:p>
        </w:tc>
        <w:tc>
          <w:tcPr>
            <w:tcW w:w="160" w:type="dxa"/>
            <w:vAlign w:val="bottom"/>
            <w:tcBorders>
              <w:top w:val="single" w:sz="8" w:color="3E5588"/>
            </w:tcBorders>
          </w:tcPr>
          <w:p>
            <w:pPr>
              <w:spacing w:after="0"/>
              <w:rPr>
                <w:sz w:val="12"/>
                <w:szCs w:val="12"/>
                <w:color w:val="auto"/>
              </w:rPr>
            </w:pPr>
          </w:p>
        </w:tc>
        <w:tc>
          <w:tcPr>
            <w:tcW w:w="16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7"/>
              <w:spacing w:after="0" w:line="142" w:lineRule="exact"/>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3E5588"/>
              </w:rPr>
              <w:t>Cash and cash equivalents</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72,797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3E5588"/>
              </w:rPr>
              <w:t>Restricted cash</w:t>
            </w:r>
          </w:p>
        </w:tc>
        <w:tc>
          <w:tcPr>
            <w:tcW w:w="1940" w:type="dxa"/>
            <w:vAlign w:val="bottom"/>
          </w:tcPr>
          <w:p>
            <w:pPr>
              <w:spacing w:after="0"/>
              <w:rPr>
                <w:sz w:val="18"/>
                <w:szCs w:val="18"/>
                <w:color w:val="auto"/>
              </w:rPr>
            </w:pPr>
          </w:p>
        </w:tc>
        <w:tc>
          <w:tcPr>
            <w:tcW w:w="180" w:type="dxa"/>
            <w:vAlign w:val="bottom"/>
            <w:tcBorders>
              <w:bottom w:val="single" w:sz="8" w:color="3E5588"/>
            </w:tcBorders>
          </w:tcPr>
          <w:p>
            <w:pPr>
              <w:spacing w:after="0"/>
              <w:rPr>
                <w:sz w:val="18"/>
                <w:szCs w:val="18"/>
                <w:color w:val="auto"/>
              </w:rPr>
            </w:pPr>
          </w:p>
        </w:tc>
        <w:tc>
          <w:tcPr>
            <w:tcW w:w="6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16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3E5588"/>
              </w:rPr>
              <w:t>Total cash, cash equivalents, and restricted cash</w:t>
            </w:r>
          </w:p>
        </w:tc>
        <w:tc>
          <w:tcPr>
            <w:tcW w:w="2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407</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73,889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3E5588"/>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E5588"/>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3E5588"/>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3E5588"/>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3E5588"/>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3E5588"/>
        </w:rPr>
        <w:t>The Company has incurred recurring losses and negative cash flows from operations since inception and has primarily funded its operations with proceeds from the issuance of convertible notes and convertible preferred stock. As of December 31, 2018, the Company had an accumulated deficit of $68.1 million. The Company expects its operating losses and negative operating cash flows to continue into the foreseeable future as it continues to expand its research and development efforts. As of May 1, 2019, the issuance date of the consolidated financial statements for the year ended December 31, 2018, the Company expected that its cash and cash equivalents as of December 31, 2018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91" w:lineRule="auto"/>
        <w:rPr>
          <w:sz w:val="20"/>
          <w:szCs w:val="20"/>
          <w:color w:val="auto"/>
        </w:rPr>
      </w:pPr>
      <w:r>
        <w:rPr>
          <w:rFonts w:ascii="Arial" w:cs="Arial" w:eastAsia="Arial" w:hAnsi="Arial"/>
          <w:sz w:val="16"/>
          <w:szCs w:val="16"/>
          <w:color w:val="3E5588"/>
        </w:rPr>
        <w:t>If the Company is unable to obtain additional funding, the Company could be forced to delay, reduce or eliminate some or all of its research and development programs, product portfolio expansion, or 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 Nature of the Business and Basis of Presentation (Continued)</w:t>
      </w:r>
    </w:p>
    <w:p>
      <w:pPr>
        <w:spacing w:after="0" w:line="231"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3E5588"/>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for the year ended December 31, 2018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3E5588"/>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3E5588"/>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3E5588"/>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Unaudited Pro Forma Financial Information</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3E5588"/>
        </w:rPr>
        <w:t>The accompanying unaudited pro forma balance sheet and statement of stockholders' (deficit) equity as of December 31, 2018 has been prepared to give effect, upon the closing of a qualified IPO, to the automatic conversion of all shares of convertible preferred stock outstanding as of December 31, 2018 into 14,285,704 shares of Common Stock. In the accompanying consolidated statements of operations and comprehensive loss, the unaudited pro forma basic and diluted net loss per share attributable to common stockholders for the year ended December 31, 2018 have been prepared to give effect, upon the closing of a qualified IPO, to the automatic conversion of all outstanding shares of convertible preferred stock as if the proposed IPO had occurred on the later of January 1, 2018 or the issuance date of the convertible preferred stock (see Note 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Cash and Cash Equivalents</w:t>
      </w:r>
    </w:p>
    <w:p>
      <w:pPr>
        <w:spacing w:after="0" w:line="225"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3E5588"/>
        </w:rPr>
        <w:t>Cash equivalents are highly liquid investments that are readily convertible into cash with original maturities of three months or less when purchased. These assets include investments in money market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funds that invest in U.S. Treasury obligations. The Company maintains its bank accounts at major financial institutions. The Company had no cash equivalents as of December 31,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Restricted cash represents the cash held to secure a letter of credit associated with the Company's 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Fair Value of Financial Instruments</w:t>
      </w:r>
    </w:p>
    <w:p>
      <w:pPr>
        <w:spacing w:after="0" w:line="225" w:lineRule="exact"/>
        <w:rPr>
          <w:sz w:val="20"/>
          <w:szCs w:val="20"/>
          <w:color w:val="auto"/>
        </w:rPr>
      </w:pPr>
    </w:p>
    <w:p>
      <w:pPr>
        <w:jc w:val="both"/>
        <w:ind w:firstLine="358"/>
        <w:spacing w:after="0" w:line="254" w:lineRule="auto"/>
        <w:rPr>
          <w:sz w:val="20"/>
          <w:szCs w:val="20"/>
          <w:color w:val="auto"/>
        </w:rPr>
      </w:pPr>
      <w:r>
        <w:rPr>
          <w:rFonts w:ascii="Arial" w:cs="Arial" w:eastAsia="Arial" w:hAnsi="Arial"/>
          <w:sz w:val="18"/>
          <w:szCs w:val="18"/>
          <w:color w:val="3E5588"/>
        </w:rPr>
        <w:t>The fair value of the Company's financial assets and liabilities reflects the Company's estimate of amounts that it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sources independent from the Company) and to minimize the use of unobservable inputs (the Company's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8" w:lineRule="exact"/>
        <w:rPr>
          <w:sz w:val="20"/>
          <w:szCs w:val="20"/>
          <w:color w:val="auto"/>
        </w:rPr>
      </w:pPr>
    </w:p>
    <w:p>
      <w:pPr>
        <w:ind w:left="540" w:firstLine="390"/>
        <w:spacing w:after="0" w:line="268" w:lineRule="auto"/>
        <w:rPr>
          <w:sz w:val="20"/>
          <w:szCs w:val="20"/>
          <w:color w:val="auto"/>
        </w:rPr>
      </w:pPr>
      <w:r>
        <w:rPr>
          <w:rFonts w:ascii="Arial" w:cs="Arial" w:eastAsia="Arial" w:hAnsi="Arial"/>
          <w:sz w:val="18"/>
          <w:szCs w:val="18"/>
          <w:color w:val="3E5588"/>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86" w:lineRule="exact"/>
        <w:rPr>
          <w:sz w:val="20"/>
          <w:szCs w:val="20"/>
          <w:color w:val="auto"/>
        </w:rPr>
      </w:pPr>
    </w:p>
    <w:p>
      <w:pPr>
        <w:ind w:left="540" w:right="20" w:firstLine="501"/>
        <w:spacing w:after="0" w:line="268" w:lineRule="auto"/>
        <w:rPr>
          <w:sz w:val="20"/>
          <w:szCs w:val="20"/>
          <w:color w:val="auto"/>
        </w:rPr>
      </w:pPr>
      <w:r>
        <w:rPr>
          <w:rFonts w:ascii="Arial" w:cs="Arial" w:eastAsia="Arial" w:hAnsi="Arial"/>
          <w:sz w:val="18"/>
          <w:szCs w:val="18"/>
          <w:color w:val="3E5588"/>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186" w:lineRule="exact"/>
        <w:rPr>
          <w:sz w:val="20"/>
          <w:szCs w:val="20"/>
          <w:color w:val="auto"/>
        </w:rPr>
      </w:pPr>
    </w:p>
    <w:p>
      <w:pPr>
        <w:ind w:left="540" w:right="20" w:firstLine="485"/>
        <w:spacing w:after="0" w:line="268" w:lineRule="auto"/>
        <w:rPr>
          <w:sz w:val="20"/>
          <w:szCs w:val="20"/>
          <w:color w:val="auto"/>
        </w:rPr>
      </w:pPr>
      <w:r>
        <w:rPr>
          <w:rFonts w:ascii="Arial" w:cs="Arial" w:eastAsia="Arial" w:hAnsi="Arial"/>
          <w:sz w:val="18"/>
          <w:szCs w:val="18"/>
          <w:color w:val="3E5588"/>
        </w:rPr>
        <w:t>Level 3: Unobservable inputs based on the Company's assessment of the assumptions that market participants would use in pricing the asset or liability.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Company's cash equivalents are carried at fair value, determined according to the fair value hierarchy described above (see Note 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Property and Equipment</w:t>
      </w:r>
    </w:p>
    <w:p>
      <w:pPr>
        <w:spacing w:after="0" w:line="225" w:lineRule="exact"/>
        <w:rPr>
          <w:sz w:val="20"/>
          <w:szCs w:val="20"/>
          <w:color w:val="auto"/>
        </w:rPr>
      </w:pPr>
    </w:p>
    <w:p>
      <w:pPr>
        <w:ind w:firstLine="390"/>
        <w:spacing w:after="0" w:line="332" w:lineRule="auto"/>
        <w:rPr>
          <w:sz w:val="20"/>
          <w:szCs w:val="20"/>
          <w:color w:val="auto"/>
        </w:rPr>
      </w:pPr>
      <w:r>
        <w:rPr>
          <w:rFonts w:ascii="Arial" w:cs="Arial" w:eastAsia="Arial" w:hAnsi="Arial"/>
          <w:sz w:val="16"/>
          <w:szCs w:val="16"/>
          <w:color w:val="3E5588"/>
        </w:rPr>
        <w:t>Property and equipment are recorded at cost, net of accumulated depreciation. Maintenance and repairs to an asset that do not improve or extend its life are charged to operations. Depreciation expense is recorded using the straight-line method over the estimated useful life of the related asset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500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8"/>
              </w:rPr>
              <w:t>Estimated Useful Life (in years)</w:t>
            </w:r>
          </w:p>
        </w:tc>
      </w:tr>
      <w:tr>
        <w:trPr>
          <w:trHeight w:val="210"/>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3E5588"/>
              </w:rPr>
              <w:t>Lab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79"/>
              </w:rPr>
              <w:t>5</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3E5588"/>
              </w:rPr>
              <w:t>Furniture and fixtures</w:t>
            </w:r>
          </w:p>
        </w:tc>
        <w:tc>
          <w:tcPr>
            <w:tcW w:w="5000" w:type="dxa"/>
            <w:vAlign w:val="bottom"/>
          </w:tcPr>
          <w:p>
            <w:pPr>
              <w:jc w:val="center"/>
              <w:spacing w:after="0"/>
              <w:rPr>
                <w:sz w:val="20"/>
                <w:szCs w:val="20"/>
                <w:color w:val="auto"/>
              </w:rPr>
            </w:pPr>
            <w:r>
              <w:rPr>
                <w:rFonts w:ascii="Arial" w:cs="Arial" w:eastAsia="Arial" w:hAnsi="Arial"/>
                <w:sz w:val="18"/>
                <w:szCs w:val="18"/>
                <w:color w:val="3E5588"/>
                <w:w w:val="79"/>
              </w:rPr>
              <w:t>4</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3E5588"/>
              </w:rPr>
              <w:t>Computer equipment</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79"/>
              </w:rPr>
              <w:t>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3E5588"/>
              </w:rPr>
              <w:t>Software</w:t>
            </w:r>
          </w:p>
        </w:tc>
        <w:tc>
          <w:tcPr>
            <w:tcW w:w="5000" w:type="dxa"/>
            <w:vAlign w:val="bottom"/>
          </w:tcPr>
          <w:p>
            <w:pPr>
              <w:jc w:val="center"/>
              <w:spacing w:after="0"/>
              <w:rPr>
                <w:sz w:val="20"/>
                <w:szCs w:val="20"/>
                <w:color w:val="auto"/>
              </w:rPr>
            </w:pPr>
            <w:r>
              <w:rPr>
                <w:rFonts w:ascii="Arial" w:cs="Arial" w:eastAsia="Arial" w:hAnsi="Arial"/>
                <w:sz w:val="18"/>
                <w:szCs w:val="18"/>
                <w:color w:val="3E5588"/>
                <w:w w:val="79"/>
              </w:rPr>
              <w:t>3</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3E5588"/>
              </w:rPr>
              <w:t>Leasehold improvements</w:t>
            </w:r>
          </w:p>
        </w:tc>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3E5588"/>
                <w:w w:val="89"/>
              </w:rPr>
              <w:t>Shorter of useful life or remaining lease term</w:t>
            </w: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3E5588"/>
        </w:rPr>
        <w:t>Construction-in-progress is stated at cost, which includes direct costs attributable to the setup or construction of the related asset. Depreciation expense is not recorded on construction-in-progress until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3E5588"/>
        </w:rPr>
        <w:t>the relevant assets are completed and put into use. When assets are retired or otherwise disposed of, the assets and related accumulated depreciation are eliminated from the accounts and any resulting gain or loss is reflected in the Company's consolidated statements of operations and comprehensive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Impairment of Long-Lived Assets</w:t>
      </w:r>
    </w:p>
    <w:p>
      <w:pPr>
        <w:spacing w:after="0" w:line="225" w:lineRule="exact"/>
        <w:rPr>
          <w:sz w:val="20"/>
          <w:szCs w:val="20"/>
          <w:color w:val="auto"/>
        </w:rPr>
      </w:pPr>
    </w:p>
    <w:p>
      <w:pPr>
        <w:jc w:val="both"/>
        <w:ind w:firstLine="403"/>
        <w:spacing w:after="0" w:line="294" w:lineRule="auto"/>
        <w:rPr>
          <w:sz w:val="20"/>
          <w:szCs w:val="20"/>
          <w:color w:val="auto"/>
        </w:rPr>
      </w:pPr>
      <w:r>
        <w:rPr>
          <w:rFonts w:ascii="Arial" w:cs="Arial" w:eastAsia="Arial" w:hAnsi="Arial"/>
          <w:sz w:val="16"/>
          <w:szCs w:val="16"/>
          <w:color w:val="3E5588"/>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be impaired. An impairment loss would be recognized when estimated undiscounted future cash flows expected to result from the use or disposition of an asset group are less than its carrying amount. The impairment loss would be based on the excess of the carrying value of the impaired asset group over its fair value, determined based on discounted cash flows. The Company did not record any impairment losses on long-lived assets during the years ended December 31, 2017 or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3E5588"/>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were less than $0.1 million. No deferred issuance costs were capitalized as of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Leases</w:t>
      </w:r>
    </w:p>
    <w:p>
      <w:pPr>
        <w:spacing w:after="0" w:line="225" w:lineRule="exact"/>
        <w:rPr>
          <w:sz w:val="20"/>
          <w:szCs w:val="20"/>
          <w:color w:val="auto"/>
        </w:rPr>
      </w:pPr>
    </w:p>
    <w:p>
      <w:pPr>
        <w:jc w:val="both"/>
        <w:ind w:firstLine="375"/>
        <w:spacing w:after="0" w:line="323" w:lineRule="auto"/>
        <w:rPr>
          <w:sz w:val="20"/>
          <w:szCs w:val="20"/>
          <w:color w:val="auto"/>
        </w:rPr>
      </w:pPr>
      <w:r>
        <w:rPr>
          <w:rFonts w:ascii="Arial" w:cs="Arial" w:eastAsia="Arial" w:hAnsi="Arial"/>
          <w:sz w:val="15"/>
          <w:szCs w:val="15"/>
          <w:color w:val="3E5588"/>
        </w:rPr>
        <w:t>Leases are classified at their inception as either operating or capital leases. The Company recognizes rent expense for its facility lease, which is classified as an operating lease, on a straight-line basis over the respective lease term, inclusive of rent escalation provisions and rent holidays. The difference between rent payments made and straight-line rent expense is recorded as deferred rent. Additionally, the Company recognizes tenant improvement allowances for its operating leases as a deferred lease incentive and amortizes the lease incentive as a reduction to rent expense on a straight-line basis over the respective lease term.</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3E5588"/>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Research Contract Costs and Accruals</w:t>
      </w:r>
    </w:p>
    <w:p>
      <w:pPr>
        <w:spacing w:after="0" w:line="225" w:lineRule="exact"/>
        <w:rPr>
          <w:sz w:val="20"/>
          <w:szCs w:val="20"/>
          <w:color w:val="auto"/>
        </w:rPr>
      </w:pPr>
    </w:p>
    <w:p>
      <w:pPr>
        <w:jc w:val="both"/>
        <w:ind w:firstLine="412"/>
        <w:spacing w:after="0" w:line="256" w:lineRule="auto"/>
        <w:rPr>
          <w:sz w:val="20"/>
          <w:szCs w:val="20"/>
          <w:color w:val="auto"/>
        </w:rPr>
      </w:pPr>
      <w:r>
        <w:rPr>
          <w:rFonts w:ascii="Arial" w:cs="Arial" w:eastAsia="Arial" w:hAnsi="Arial"/>
          <w:sz w:val="18"/>
          <w:szCs w:val="18"/>
          <w:color w:val="3E5588"/>
        </w:rPr>
        <w:t>The Company has entered into various research and development contracts with research institutions and other companies. The Company records accruals for estimated ongoing research costs. When evaluating the adequacy of the accrued liabilities, the Company analyzes progress of the studies or trials, including invoices received and contracted costs. Significant judgments and estimates are made in determining the accrued balances at each reporting period. Actual results could differ from the Company's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Patent-Related Costs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3E5588"/>
        </w:rPr>
        <w:t>Patent-related costs incurred in connection with patent applications are expensed as incurred due to the uncertainty about the recovery of the expenditure.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E5588"/>
        </w:rPr>
        <w:t>Amounts incurred are classified as general and administrative expenses in the accompanying statements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Fair Value of Common Stock and Series B Convertible Preferred Stock</w:t>
      </w:r>
    </w:p>
    <w:p>
      <w:pPr>
        <w:spacing w:after="0" w:line="225"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6"/>
          <w:szCs w:val="16"/>
          <w:color w:val="3E5588"/>
        </w:rPr>
        <w:t>The Company determined the estimated fair value of Common Stock and Series B convertible preferred stock (the "Series B Preferred Stock") based on a number of objective and subjective factors, including, but not limited to, external market conditions affecting the biotechnology industry sector, the prices at which the Company sold shares of convertible preferred stock and the superior rights and preferences of securities senior to the Company's Common Stock at the time, and the likelihood and potential timing of achieving a liquidity event, such as an IPO, in light of prevailing market conditions. The Company utilized valuation methodologies in accordance with the guidance outlined in the American Institute of Certified Public Accountants' Accounting and Valuation Guide, Valuation of Privately-Held-Company Equity Securities Issued as Compensation, to estimate the fair value of Common Stock and the Series B Preferred Stock. The methodologies utilized to estimate the fair value of Common Stock included the guideline public company method and/or the precedent transaction method to estimate the equity value, and the option-pricing method ("OPM") or the hybrid method, which is a probability-weighted expected return method ("PWERM"), to allocate equity value to the Common Stock and Preferred Stock. The Company utilized the hybrid method to estimate the fair value of the Series B Preferred Stock. Significant changes to the key assumptions used in the valuations could result in different fair values of Common Stock and the Series B Preferred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Stock-Based Compensation</w:t>
      </w:r>
    </w:p>
    <w:p>
      <w:pPr>
        <w:spacing w:after="0" w:line="225" w:lineRule="exact"/>
        <w:rPr>
          <w:sz w:val="20"/>
          <w:szCs w:val="20"/>
          <w:color w:val="auto"/>
        </w:rPr>
      </w:pPr>
    </w:p>
    <w:p>
      <w:pPr>
        <w:jc w:val="both"/>
        <w:ind w:firstLine="467"/>
        <w:spacing w:after="0" w:line="314" w:lineRule="auto"/>
        <w:rPr>
          <w:sz w:val="20"/>
          <w:szCs w:val="20"/>
          <w:color w:val="auto"/>
        </w:rPr>
      </w:pPr>
      <w:r>
        <w:rPr>
          <w:rFonts w:ascii="Arial" w:cs="Arial" w:eastAsia="Arial" w:hAnsi="Arial"/>
          <w:sz w:val="15"/>
          <w:szCs w:val="15"/>
          <w:color w:val="3E5588"/>
        </w:rPr>
        <w:t>The Company measures stock-based awards based on the fair value on the date of grant. Compensation expense of those awards is recognized over the requisite service period, which is generally the vesting period of the respective award. Generally, the Company issues awards with only service-based vesting conditions and records the expense for these awards using the straight-line method. The Company has also granted certain stock-based awards with performance-based vesting conditions. The Company records the expense for stock-based awards with performance-based vesting conditions over the remaining service period using an accelerated attribution method when management determines that achievement of the performance condition is probable. At each reporting date, the Company evaluates if the achievement of a performance-based milestone is probable based on the expected satisfaction of the performance conditions.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jc w:val="both"/>
        <w:ind w:firstLine="447"/>
        <w:spacing w:after="0" w:line="288" w:lineRule="auto"/>
        <w:rPr>
          <w:sz w:val="20"/>
          <w:szCs w:val="20"/>
          <w:color w:val="auto"/>
        </w:rPr>
      </w:pPr>
      <w:r>
        <w:rPr>
          <w:rFonts w:ascii="Arial" w:cs="Arial" w:eastAsia="Arial" w:hAnsi="Arial"/>
          <w:sz w:val="16"/>
          <w:szCs w:val="16"/>
          <w:color w:val="3E5588"/>
        </w:rPr>
        <w:t>The fair value of each restricted stock award is based on the fair value of the Company's Common Stock on the grant date, less any applicable purchase price. The fair value of each stock option is estimated on the grant date using the Black-Scholes option-pricing model, which requires inputs based on certain subjective assumptions, including the fair value of the Company's Common Stock, the expected stock price volatility, the expected term of the award, the risk-free interest rate, and expected dividends. Expected volatility is calculated based on reported volatility data for a representative group of publicly traded companies for which historical information is available. The historical volatility is calculated based on a period of time commensurate with the assumption used for the expected term. The risk-free interest rate is based on the U.S. Treasury yield curve in effect at the time of grant commensurate with the expected term assumption. The Company uses the simplified method, under which the expected term is presumed to be the midpoint between the vesting date and the end of the contractual term. The Company utilizes this method due to the lack of historical exercise data and the plain nature of its stock-based awards. The expected dividend yield is assumed to be zero as the Company has never paid dividends and has no current plans to pay any dividends on Common Stock.</w:t>
      </w:r>
    </w:p>
    <w:p>
      <w:pPr>
        <w:spacing w:after="0" w:line="174" w:lineRule="exact"/>
        <w:rPr>
          <w:sz w:val="20"/>
          <w:szCs w:val="20"/>
          <w:color w:val="auto"/>
        </w:rPr>
      </w:pPr>
    </w:p>
    <w:p>
      <w:pPr>
        <w:jc w:val="both"/>
        <w:ind w:firstLine="412"/>
        <w:spacing w:after="0" w:line="332" w:lineRule="auto"/>
        <w:rPr>
          <w:sz w:val="20"/>
          <w:szCs w:val="20"/>
          <w:color w:val="auto"/>
        </w:rPr>
      </w:pPr>
      <w:r>
        <w:rPr>
          <w:rFonts w:ascii="Arial" w:cs="Arial" w:eastAsia="Arial" w:hAnsi="Arial"/>
          <w:sz w:val="16"/>
          <w:szCs w:val="16"/>
          <w:color w:val="3E5588"/>
        </w:rPr>
        <w:t>The Company accounts for forfeitures as they occur (refer to the "Recently Adopted Accounting Pronouncements" below). The Company classifies stock-based compensation expense in its statements of operations in the same manner in which the award recipient's payroll or service costs are classified.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Income Taxes</w:t>
      </w:r>
    </w:p>
    <w:p>
      <w:pPr>
        <w:spacing w:after="0" w:line="225" w:lineRule="exact"/>
        <w:rPr>
          <w:sz w:val="20"/>
          <w:szCs w:val="20"/>
          <w:color w:val="auto"/>
        </w:rPr>
      </w:pPr>
    </w:p>
    <w:p>
      <w:pPr>
        <w:jc w:val="both"/>
        <w:ind w:firstLine="453"/>
        <w:spacing w:after="0" w:line="290" w:lineRule="auto"/>
        <w:rPr>
          <w:sz w:val="20"/>
          <w:szCs w:val="20"/>
          <w:color w:val="auto"/>
        </w:rPr>
      </w:pPr>
      <w:r>
        <w:rPr>
          <w:rFonts w:ascii="Arial" w:cs="Arial" w:eastAsia="Arial" w:hAnsi="Arial"/>
          <w:sz w:val="16"/>
          <w:szCs w:val="16"/>
          <w:color w:val="3E5588"/>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Potential for recovery of deferred tax assets is evaluated by considering several factors, including estimating the future taxable profits expected, estimating future reversals of existing taxable temporary differences, considering taxable profits in carryback periods, and considering prudent and feasible tax planning strategies.</w:t>
      </w:r>
    </w:p>
    <w:p>
      <w:pPr>
        <w:spacing w:after="0" w:line="172" w:lineRule="exact"/>
        <w:rPr>
          <w:sz w:val="20"/>
          <w:szCs w:val="20"/>
          <w:color w:val="auto"/>
        </w:rPr>
      </w:pPr>
    </w:p>
    <w:p>
      <w:pPr>
        <w:jc w:val="both"/>
        <w:ind w:firstLine="552"/>
        <w:spacing w:after="0" w:line="306" w:lineRule="auto"/>
        <w:rPr>
          <w:sz w:val="20"/>
          <w:szCs w:val="20"/>
          <w:color w:val="auto"/>
        </w:rPr>
      </w:pPr>
      <w:r>
        <w:rPr>
          <w:rFonts w:ascii="Arial" w:cs="Arial" w:eastAsia="Arial" w:hAnsi="Arial"/>
          <w:sz w:val="16"/>
          <w:szCs w:val="16"/>
          <w:color w:val="3E5588"/>
        </w:rPr>
        <w:t>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Comprehensive Loss</w:t>
      </w:r>
    </w:p>
    <w:p>
      <w:pPr>
        <w:spacing w:after="0" w:line="225"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3E5588"/>
        </w:rPr>
        <w:t>Comprehensive loss is defined as the change in equity of a business enterprise during a period from transactions and other events and circumstances from non-owner sources. For the years ended December 31, 2017 and 2018, comprehensive loss was equal to net loss.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Net Income (Loss) Per Share</w:t>
      </w:r>
    </w:p>
    <w:p>
      <w:pPr>
        <w:spacing w:after="0" w:line="225" w:lineRule="exact"/>
        <w:rPr>
          <w:sz w:val="20"/>
          <w:szCs w:val="20"/>
          <w:color w:val="auto"/>
        </w:rPr>
      </w:pPr>
    </w:p>
    <w:p>
      <w:pPr>
        <w:jc w:val="both"/>
        <w:ind w:firstLine="358"/>
        <w:spacing w:after="0" w:line="290" w:lineRule="auto"/>
        <w:rPr>
          <w:sz w:val="20"/>
          <w:szCs w:val="20"/>
          <w:color w:val="auto"/>
        </w:rPr>
      </w:pPr>
      <w:r>
        <w:rPr>
          <w:rFonts w:ascii="Arial" w:cs="Arial" w:eastAsia="Arial" w:hAnsi="Arial"/>
          <w:sz w:val="16"/>
          <w:szCs w:val="16"/>
          <w:color w:val="3E5588"/>
        </w:rPr>
        <w:t>The Company applies the two-class method to compute basic and diluted net income (loss) per share attributable to common stockholders when it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the earnings as if all income (loss) for the period had been distributed. The Company's convertible preferred stock participates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72" w:lineRule="exact"/>
        <w:rPr>
          <w:sz w:val="20"/>
          <w:szCs w:val="20"/>
          <w:color w:val="auto"/>
        </w:rPr>
      </w:pPr>
    </w:p>
    <w:p>
      <w:pPr>
        <w:jc w:val="both"/>
        <w:ind w:firstLine="358"/>
        <w:spacing w:after="0" w:line="289" w:lineRule="auto"/>
        <w:rPr>
          <w:sz w:val="20"/>
          <w:szCs w:val="20"/>
          <w:color w:val="auto"/>
        </w:rPr>
      </w:pPr>
      <w:r>
        <w:rPr>
          <w:rFonts w:ascii="Arial" w:cs="Arial" w:eastAsia="Arial" w:hAnsi="Arial"/>
          <w:sz w:val="16"/>
          <w:szCs w:val="16"/>
          <w:color w:val="3E5588"/>
        </w:rPr>
        <w:t>Basic net income (loss) per share attributable to common stockholders is computed by dividing the net income (loss) attributable to common stockholders by the weighted average number of shares of common stock outstanding for the period. Diluted net income (loss) attributable to common stockholders is computed by adjusting net income (loss) per share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 average number of shares of common stock outstanding for the period, including potential dilutive common shares. For purpose of this calculation, outstanding options to purchase Common Stock, unvested restricted stock awards, and shares of convertible preferred stock are considered potential dilutive common shares. The Company has generated a net loss in all periods presented, and therefore the basic and diluted net loss per share attributable to common stockholders are the same as the inclusion of the potentially dilutive securities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3E5588"/>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Segment Information</w:t>
      </w:r>
    </w:p>
    <w:p>
      <w:pPr>
        <w:spacing w:after="0" w:line="225" w:lineRule="exact"/>
        <w:rPr>
          <w:sz w:val="20"/>
          <w:szCs w:val="20"/>
          <w:color w:val="auto"/>
        </w:rPr>
      </w:pPr>
    </w:p>
    <w:p>
      <w:pPr>
        <w:jc w:val="both"/>
        <w:ind w:firstLine="415"/>
        <w:spacing w:after="0" w:line="306" w:lineRule="auto"/>
        <w:rPr>
          <w:sz w:val="20"/>
          <w:szCs w:val="20"/>
          <w:color w:val="auto"/>
        </w:rPr>
      </w:pPr>
      <w:r>
        <w:rPr>
          <w:rFonts w:ascii="Arial" w:cs="Arial" w:eastAsia="Arial" w:hAnsi="Arial"/>
          <w:sz w:val="16"/>
          <w:szCs w:val="16"/>
          <w:color w:val="3E5588"/>
        </w:rPr>
        <w:t>Operating segments are defined as components of an enterprise about which separate discrete financial information is available for evaluation by the chief operating decision-maker in making decisions regarding resource allocation and assessing performance. The Company and the Company's chief operating decision-maker, the Company's chief executive officer, view the Company's operations and manage its business as a single operating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Emerging Growth Company Status</w:t>
      </w:r>
    </w:p>
    <w:p>
      <w:pPr>
        <w:spacing w:after="0" w:line="225" w:lineRule="exact"/>
        <w:rPr>
          <w:sz w:val="20"/>
          <w:szCs w:val="20"/>
          <w:color w:val="auto"/>
        </w:rPr>
      </w:pPr>
    </w:p>
    <w:p>
      <w:pPr>
        <w:jc w:val="both"/>
        <w:ind w:firstLine="393"/>
        <w:spacing w:after="0" w:line="290" w:lineRule="auto"/>
        <w:rPr>
          <w:sz w:val="20"/>
          <w:szCs w:val="20"/>
          <w:color w:val="auto"/>
        </w:rPr>
      </w:pPr>
      <w:r>
        <w:rPr>
          <w:rFonts w:ascii="Arial" w:cs="Arial" w:eastAsia="Arial" w:hAnsi="Arial"/>
          <w:sz w:val="16"/>
          <w:szCs w:val="16"/>
          <w:color w:val="3E5588"/>
        </w:rPr>
        <w:t>The Company is an emerging growth company ("EGC"), as defined in the Jumpstart Our Business Startups Act (the "JOBS Act"), and may take advantage of certain exemptions from various reporting requirements that are applicable to other public companies that are not EGCs. The Company may take advantage of these exemptions until it is no longer an EGC under Section 107 of the JOBS Act, which provides that an EGC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for ASUs. The Company may take advantage of these exemptions up until the last day of the fiscal year following the fifth anniversary of an offering or such earlier time that it is no longer an EGC.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Recently Adopted Accounting Pronouncements</w:t>
      </w:r>
    </w:p>
    <w:p>
      <w:pPr>
        <w:spacing w:after="0" w:line="225" w:lineRule="exact"/>
        <w:rPr>
          <w:sz w:val="20"/>
          <w:szCs w:val="20"/>
          <w:color w:val="auto"/>
        </w:rPr>
      </w:pPr>
    </w:p>
    <w:p>
      <w:pPr>
        <w:jc w:val="both"/>
        <w:ind w:firstLine="427"/>
        <w:spacing w:after="0" w:line="291" w:lineRule="auto"/>
        <w:rPr>
          <w:sz w:val="20"/>
          <w:szCs w:val="20"/>
          <w:color w:val="auto"/>
        </w:rPr>
      </w:pPr>
      <w:r>
        <w:rPr>
          <w:rFonts w:ascii="Arial" w:cs="Arial" w:eastAsia="Arial" w:hAnsi="Arial"/>
          <w:sz w:val="16"/>
          <w:szCs w:val="16"/>
          <w:color w:val="3E5588"/>
        </w:rPr>
        <w:t xml:space="preserve">In May 2014, the FASB issued ASU No. 2014-09, </w:t>
      </w:r>
      <w:r>
        <w:rPr>
          <w:rFonts w:ascii="Arial" w:cs="Arial" w:eastAsia="Arial" w:hAnsi="Arial"/>
          <w:sz w:val="16"/>
          <w:szCs w:val="16"/>
          <w:i w:val="1"/>
          <w:iCs w:val="1"/>
          <w:color w:val="3E5588"/>
        </w:rPr>
        <w:t>Revenue from Contracts with Customers (Topic 606)</w:t>
      </w:r>
      <w:r>
        <w:rPr>
          <w:rFonts w:ascii="Arial" w:cs="Arial" w:eastAsia="Arial" w:hAnsi="Arial"/>
          <w:sz w:val="16"/>
          <w:szCs w:val="16"/>
          <w:color w:val="3E5588"/>
        </w:rPr>
        <w:t xml:space="preserve"> ("ASU 2014-09"). The standard replaces existing revenue recognition standards and significantly expands the disclosure requirements for revenue arrangements. The standard must be adopted using either a modified retrospective approach or a full retrospective approach for all periods presented. The Company adopted the standard as of January 1, 2017 under the full retrospective method. The Company does not have and has never had any contracts that are within the scope of ASU 2014-09 or its predecessor guidance, ASC 605, </w:t>
      </w:r>
      <w:r>
        <w:rPr>
          <w:rFonts w:ascii="Arial" w:cs="Arial" w:eastAsia="Arial" w:hAnsi="Arial"/>
          <w:sz w:val="16"/>
          <w:szCs w:val="16"/>
          <w:i w:val="1"/>
          <w:iCs w:val="1"/>
          <w:color w:val="3E5588"/>
        </w:rPr>
        <w:t>Revenue Recognition</w:t>
      </w:r>
      <w:r>
        <w:rPr>
          <w:rFonts w:ascii="Arial" w:cs="Arial" w:eastAsia="Arial" w:hAnsi="Arial"/>
          <w:sz w:val="16"/>
          <w:szCs w:val="16"/>
          <w:color w:val="3E5588"/>
        </w:rPr>
        <w:t>. Accordingly, adoption of the standard did not have an impact on the Company's financial position, results of operations or cash flows. However, the adoption of this standard will impact the accounting for potential future revenue transactions.</w:t>
      </w:r>
    </w:p>
    <w:p>
      <w:pPr>
        <w:spacing w:after="0" w:line="174" w:lineRule="exact"/>
        <w:rPr>
          <w:sz w:val="20"/>
          <w:szCs w:val="20"/>
          <w:color w:val="auto"/>
        </w:rPr>
      </w:pPr>
    </w:p>
    <w:p>
      <w:pPr>
        <w:jc w:val="both"/>
        <w:ind w:firstLine="370"/>
        <w:spacing w:after="0" w:line="291" w:lineRule="auto"/>
        <w:rPr>
          <w:sz w:val="20"/>
          <w:szCs w:val="20"/>
          <w:color w:val="auto"/>
        </w:rPr>
      </w:pPr>
      <w:r>
        <w:rPr>
          <w:rFonts w:ascii="Arial" w:cs="Arial" w:eastAsia="Arial" w:hAnsi="Arial"/>
          <w:sz w:val="16"/>
          <w:szCs w:val="16"/>
          <w:color w:val="3E5588"/>
        </w:rPr>
        <w:t xml:space="preserve">In March 2016, the FASB issued ASU No. 2016-09, </w:t>
      </w:r>
      <w:r>
        <w:rPr>
          <w:rFonts w:ascii="Arial" w:cs="Arial" w:eastAsia="Arial" w:hAnsi="Arial"/>
          <w:sz w:val="16"/>
          <w:szCs w:val="16"/>
          <w:i w:val="1"/>
          <w:iCs w:val="1"/>
          <w:color w:val="3E5588"/>
        </w:rPr>
        <w:t>Compensation—Stock Compensation</w:t>
      </w:r>
      <w:r>
        <w:rPr>
          <w:rFonts w:ascii="Arial" w:cs="Arial" w:eastAsia="Arial" w:hAnsi="Arial"/>
          <w:sz w:val="16"/>
          <w:szCs w:val="16"/>
          <w:color w:val="3E5588"/>
        </w:rPr>
        <w:t xml:space="preserve"> ("ASU 2016-09"), which amends ASC Topic 718, Compensation —Stock Compensation ("Topic 718"). The standard is intended to simplify various aspects of the accounting for share-based payments, including the income tax consequences, classification of awards as either equity or liabilities, an option to recognize gross share compensation expense with actual forfeitures recognized as they occur, as well as certain classifications on the statement of cash flows. The Company adopted ASU 2016-09 effective as of January 1, 2016. The Company elected to account prospectively for forfeitures as they occur rather than apply an estimated forfeiture rate to stock-based compensation expense. The adoption of the standard did not have a material impact on the Company's consolidated financial statements or footnote disclosures.</w:t>
      </w:r>
    </w:p>
    <w:p>
      <w:pPr>
        <w:spacing w:after="0" w:line="174" w:lineRule="exact"/>
        <w:rPr>
          <w:sz w:val="20"/>
          <w:szCs w:val="20"/>
          <w:color w:val="auto"/>
        </w:rPr>
      </w:pPr>
    </w:p>
    <w:p>
      <w:pPr>
        <w:jc w:val="both"/>
        <w:ind w:firstLine="453"/>
        <w:spacing w:after="0" w:line="256" w:lineRule="auto"/>
        <w:rPr>
          <w:sz w:val="20"/>
          <w:szCs w:val="20"/>
          <w:color w:val="auto"/>
        </w:rPr>
      </w:pPr>
      <w:r>
        <w:rPr>
          <w:rFonts w:ascii="Arial" w:cs="Arial" w:eastAsia="Arial" w:hAnsi="Arial"/>
          <w:sz w:val="18"/>
          <w:szCs w:val="18"/>
          <w:color w:val="3E5588"/>
        </w:rPr>
        <w:t xml:space="preserve">In August 2016, the FASB issued ASU No. 2016-15, </w:t>
      </w:r>
      <w:r>
        <w:rPr>
          <w:rFonts w:ascii="Arial" w:cs="Arial" w:eastAsia="Arial" w:hAnsi="Arial"/>
          <w:sz w:val="18"/>
          <w:szCs w:val="18"/>
          <w:i w:val="1"/>
          <w:iCs w:val="1"/>
          <w:color w:val="3E5588"/>
        </w:rPr>
        <w:t>Statement of Cash Flows (Topic 230): Classification of Certain Cash Receipts and Cash Payments</w:t>
      </w:r>
      <w:r>
        <w:rPr>
          <w:rFonts w:ascii="Arial" w:cs="Arial" w:eastAsia="Arial" w:hAnsi="Arial"/>
          <w:sz w:val="18"/>
          <w:szCs w:val="18"/>
          <w:color w:val="3E5588"/>
        </w:rPr>
        <w:t xml:space="preserve"> ("ASU 2016-15"), which simplifies certain elements of cash flow classification. The standard is intended to reduce diversity in practice in how certain transactions are classified in the statement of cash flows. The Company adopted the standard effective as of January 1, 2016. The adoption of the standard did not have a material impact on the Company's consolidated financial statements or footnote disclosures.</w:t>
      </w:r>
    </w:p>
    <w:p>
      <w:pPr>
        <w:spacing w:after="0" w:line="197" w:lineRule="exact"/>
        <w:rPr>
          <w:sz w:val="20"/>
          <w:szCs w:val="20"/>
          <w:color w:val="auto"/>
        </w:rPr>
      </w:pPr>
    </w:p>
    <w:p>
      <w:pPr>
        <w:jc w:val="both"/>
        <w:ind w:firstLine="446"/>
        <w:spacing w:after="0" w:line="306" w:lineRule="auto"/>
        <w:rPr>
          <w:sz w:val="20"/>
          <w:szCs w:val="20"/>
          <w:color w:val="auto"/>
        </w:rPr>
      </w:pPr>
      <w:r>
        <w:rPr>
          <w:rFonts w:ascii="Arial" w:cs="Arial" w:eastAsia="Arial" w:hAnsi="Arial"/>
          <w:sz w:val="16"/>
          <w:szCs w:val="16"/>
          <w:color w:val="3E5588"/>
        </w:rPr>
        <w:t xml:space="preserve">In November 2016, the FASB issued ASU 2016-18, </w:t>
      </w:r>
      <w:r>
        <w:rPr>
          <w:rFonts w:ascii="Arial" w:cs="Arial" w:eastAsia="Arial" w:hAnsi="Arial"/>
          <w:sz w:val="16"/>
          <w:szCs w:val="16"/>
          <w:i w:val="1"/>
          <w:iCs w:val="1"/>
          <w:color w:val="3E5588"/>
        </w:rPr>
        <w:t>Statement of Cash Flows (Topic 230): Restricted Cash</w:t>
      </w:r>
      <w:r>
        <w:rPr>
          <w:rFonts w:ascii="Arial" w:cs="Arial" w:eastAsia="Arial" w:hAnsi="Arial"/>
          <w:sz w:val="16"/>
          <w:szCs w:val="16"/>
          <w:color w:val="3E5588"/>
        </w:rPr>
        <w:t xml:space="preserve"> ("ASU 2016-18"). The standard requires that amounts generally described as restricted cash be included within cash and cash equivalents when reconciling the beginning-of-period and end-of-period total amounts shown on the statement of cash flows. The Company adopted ASU 2016-18 effective as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January 1, 2016 using a full retrospective approach. The adoption of the standard did not have a material impact on the Company's consolidated financial statements or footnote disclosures.</w:t>
      </w:r>
    </w:p>
    <w:p>
      <w:pPr>
        <w:spacing w:after="0" w:line="186" w:lineRule="exact"/>
        <w:rPr>
          <w:sz w:val="20"/>
          <w:szCs w:val="20"/>
          <w:color w:val="auto"/>
        </w:rPr>
      </w:pPr>
    </w:p>
    <w:p>
      <w:pPr>
        <w:jc w:val="both"/>
        <w:ind w:firstLine="527"/>
        <w:spacing w:after="0" w:line="253" w:lineRule="auto"/>
        <w:rPr>
          <w:sz w:val="20"/>
          <w:szCs w:val="20"/>
          <w:color w:val="auto"/>
        </w:rPr>
      </w:pPr>
      <w:r>
        <w:rPr>
          <w:rFonts w:ascii="Arial" w:cs="Arial" w:eastAsia="Arial" w:hAnsi="Arial"/>
          <w:sz w:val="18"/>
          <w:szCs w:val="18"/>
          <w:color w:val="3E5588"/>
        </w:rPr>
        <w:t xml:space="preserve">In January 2017, the FASB issued ASU 2017-01, </w:t>
      </w:r>
      <w:r>
        <w:rPr>
          <w:rFonts w:ascii="Arial" w:cs="Arial" w:eastAsia="Arial" w:hAnsi="Arial"/>
          <w:sz w:val="18"/>
          <w:szCs w:val="18"/>
          <w:i w:val="1"/>
          <w:iCs w:val="1"/>
          <w:color w:val="3E5588"/>
        </w:rPr>
        <w:t>Business Combinations (Topic 805): Clarifying the Definition of a Business</w:t>
      </w:r>
      <w:r>
        <w:rPr>
          <w:rFonts w:ascii="Arial" w:cs="Arial" w:eastAsia="Arial" w:hAnsi="Arial"/>
          <w:sz w:val="18"/>
          <w:szCs w:val="18"/>
          <w:color w:val="3E5588"/>
        </w:rPr>
        <w:t xml:space="preserve"> ("ASU 2017-01"). The standard clarifies the framework for determining whether an integrated set of assets and activities meets the definition of a business. The revised framework establishes a screen for determining whether an integrated set of assets and activities is a business and narrows the definition of a business. The screen requires that when substantially all of the fair value of the gross assets acquired (or disposed of) is concentrated in a single identifiable asset or a group of similar identifiable assets, the set is not a business. This screen reduces the number of transactions that need to be further evaluated. The Company adopted ASU 2017-01 effective as of January 1, 2018. The adoption of this standard did not have a material impact on the Company's consolidated financial statements or footnote disclosures.</w:t>
      </w:r>
    </w:p>
    <w:p>
      <w:pPr>
        <w:spacing w:after="0" w:line="201" w:lineRule="exact"/>
        <w:rPr>
          <w:sz w:val="20"/>
          <w:szCs w:val="20"/>
          <w:color w:val="auto"/>
        </w:rPr>
      </w:pPr>
    </w:p>
    <w:p>
      <w:pPr>
        <w:jc w:val="both"/>
        <w:ind w:firstLine="408"/>
        <w:spacing w:after="0" w:line="294" w:lineRule="auto"/>
        <w:rPr>
          <w:sz w:val="20"/>
          <w:szCs w:val="20"/>
          <w:color w:val="auto"/>
        </w:rPr>
      </w:pPr>
      <w:r>
        <w:rPr>
          <w:rFonts w:ascii="Arial" w:cs="Arial" w:eastAsia="Arial" w:hAnsi="Arial"/>
          <w:sz w:val="16"/>
          <w:szCs w:val="16"/>
          <w:color w:val="3E5588"/>
        </w:rPr>
        <w:t xml:space="preserve">In May 2017, the FASB issued ASU No. 2017-09, </w:t>
      </w:r>
      <w:r>
        <w:rPr>
          <w:rFonts w:ascii="Arial" w:cs="Arial" w:eastAsia="Arial" w:hAnsi="Arial"/>
          <w:sz w:val="16"/>
          <w:szCs w:val="16"/>
          <w:i w:val="1"/>
          <w:iCs w:val="1"/>
          <w:color w:val="3E5588"/>
        </w:rPr>
        <w:t>Compensation—Stock Compensation (Topic 718): Scope of Modification Accounting</w:t>
      </w:r>
      <w:r>
        <w:rPr>
          <w:rFonts w:ascii="Arial" w:cs="Arial" w:eastAsia="Arial" w:hAnsi="Arial"/>
          <w:sz w:val="16"/>
          <w:szCs w:val="16"/>
          <w:color w:val="3E5588"/>
        </w:rPr>
        <w:t xml:space="preserve"> ("ASU 2017-09"). The standard is intended to reduce the diversity in practice and cost and complexity when applying the guidance in Topic 718 to a change to the terms or conditions of a share-based payment award. Under the guidance, modification accounting is required only if the fair value, the vesting conditions or the classification of the award (as equity or liability) changes as a result of the change in terms or conditions. The Company adopted ASU 2017-09 effective as of January 1, 2016.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3E5588"/>
        </w:rPr>
        <w:t xml:space="preserve">In June 2018, the FASB issued ASU No. 2018-07, </w:t>
      </w:r>
      <w:r>
        <w:rPr>
          <w:rFonts w:ascii="Arial" w:cs="Arial" w:eastAsia="Arial" w:hAnsi="Arial"/>
          <w:sz w:val="16"/>
          <w:szCs w:val="16"/>
          <w:i w:val="1"/>
          <w:iCs w:val="1"/>
          <w:color w:val="3E5588"/>
        </w:rPr>
        <w:t>Compensation—Stock Compensation (Topic 718): Improvements to Nonemployee Share-Based Payment</w:t>
      </w:r>
      <w:r>
        <w:rPr>
          <w:rFonts w:ascii="Arial" w:cs="Arial" w:eastAsia="Arial" w:hAnsi="Arial"/>
          <w:sz w:val="16"/>
          <w:szCs w:val="16"/>
          <w:color w:val="3E5588"/>
        </w:rPr>
        <w:t xml:space="preserve"> ("ASU 2018-07"). The standard is intended to simplify the accounting for share-based payments to non-employees by aligning it with the accounting for share-based payments to employees, with certain exceptions. Under the guidance, the measurement of equity-classified non-employee awards will be fixed at the grant date, which may lower their cost and reduce volatility in the income statement. The Company adopted ASU 2018-07 as of January 1, 2017. The adoption of this standard did not have a material impact on the Company's consolidated financial statements or footnote disclosures.</w:t>
      </w:r>
    </w:p>
    <w:p>
      <w:pPr>
        <w:spacing w:after="0" w:line="170" w:lineRule="exact"/>
        <w:rPr>
          <w:sz w:val="20"/>
          <w:szCs w:val="20"/>
          <w:color w:val="auto"/>
        </w:rPr>
      </w:pPr>
    </w:p>
    <w:p>
      <w:pPr>
        <w:jc w:val="both"/>
        <w:ind w:firstLine="650"/>
        <w:spacing w:after="0" w:line="256" w:lineRule="auto"/>
        <w:rPr>
          <w:sz w:val="20"/>
          <w:szCs w:val="20"/>
          <w:color w:val="auto"/>
        </w:rPr>
      </w:pPr>
      <w:r>
        <w:rPr>
          <w:rFonts w:ascii="Arial" w:cs="Arial" w:eastAsia="Arial" w:hAnsi="Arial"/>
          <w:sz w:val="18"/>
          <w:szCs w:val="18"/>
          <w:color w:val="3E5588"/>
        </w:rPr>
        <w:t xml:space="preserve">In August 2018, the FASB issued ASU No. 2018-13, </w:t>
      </w:r>
      <w:r>
        <w:rPr>
          <w:rFonts w:ascii="Arial" w:cs="Arial" w:eastAsia="Arial" w:hAnsi="Arial"/>
          <w:sz w:val="18"/>
          <w:szCs w:val="18"/>
          <w:i w:val="1"/>
          <w:iCs w:val="1"/>
          <w:color w:val="3E5588"/>
        </w:rPr>
        <w:t>Fair Value Measurement (Topic 820): Disclosure Framework—Changes to the Disclosure</w:t>
      </w:r>
      <w:r>
        <w:rPr>
          <w:rFonts w:ascii="Arial" w:cs="Arial" w:eastAsia="Arial" w:hAnsi="Arial"/>
          <w:sz w:val="18"/>
          <w:szCs w:val="18"/>
          <w:color w:val="3E5588"/>
        </w:rPr>
        <w:t xml:space="preserve"> </w:t>
      </w:r>
      <w:r>
        <w:rPr>
          <w:rFonts w:ascii="Arial" w:cs="Arial" w:eastAsia="Arial" w:hAnsi="Arial"/>
          <w:sz w:val="18"/>
          <w:szCs w:val="18"/>
          <w:i w:val="1"/>
          <w:iCs w:val="1"/>
          <w:color w:val="3E5588"/>
        </w:rPr>
        <w:t xml:space="preserve">Requirements for Fair Value Measurement </w:t>
      </w:r>
      <w:r>
        <w:rPr>
          <w:rFonts w:ascii="Arial" w:cs="Arial" w:eastAsia="Arial" w:hAnsi="Arial"/>
          <w:sz w:val="18"/>
          <w:szCs w:val="18"/>
          <w:color w:val="3E5588"/>
        </w:rPr>
        <w:t>("ASU 2018-13"). The standard eliminates, adds and modifies certain disclosure requirements for fair value</w:t>
      </w:r>
      <w:r>
        <w:rPr>
          <w:rFonts w:ascii="Arial" w:cs="Arial" w:eastAsia="Arial" w:hAnsi="Arial"/>
          <w:sz w:val="18"/>
          <w:szCs w:val="18"/>
          <w:i w:val="1"/>
          <w:iCs w:val="1"/>
          <w:color w:val="3E5588"/>
        </w:rPr>
        <w:t xml:space="preserve"> </w:t>
      </w:r>
      <w:r>
        <w:rPr>
          <w:rFonts w:ascii="Arial" w:cs="Arial" w:eastAsia="Arial" w:hAnsi="Arial"/>
          <w:sz w:val="18"/>
          <w:szCs w:val="18"/>
          <w:color w:val="3E5588"/>
        </w:rPr>
        <w:t>measurements. The Company adopted ASU 2018-13 as of January 1, 2018. The adoption of this standard did not have a material impact on the Company's consolidated financial statements or footnote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Recent Accounting Pronouncements—To Be Adopted</w:t>
      </w:r>
    </w:p>
    <w:p>
      <w:pPr>
        <w:spacing w:after="0" w:line="225" w:lineRule="exact"/>
        <w:rPr>
          <w:sz w:val="20"/>
          <w:szCs w:val="20"/>
          <w:color w:val="auto"/>
        </w:rPr>
      </w:pPr>
    </w:p>
    <w:p>
      <w:pPr>
        <w:jc w:val="both"/>
        <w:ind w:firstLine="516"/>
        <w:spacing w:after="0" w:line="254" w:lineRule="auto"/>
        <w:rPr>
          <w:sz w:val="20"/>
          <w:szCs w:val="20"/>
          <w:color w:val="auto"/>
        </w:rPr>
      </w:pPr>
      <w:r>
        <w:rPr>
          <w:rFonts w:ascii="Arial" w:cs="Arial" w:eastAsia="Arial" w:hAnsi="Arial"/>
          <w:sz w:val="18"/>
          <w:szCs w:val="18"/>
          <w:color w:val="3E5588"/>
        </w:rPr>
        <w:t xml:space="preserve">In February 2016, the FASB issued ASU No. 2016-02, </w:t>
      </w:r>
      <w:r>
        <w:rPr>
          <w:rFonts w:ascii="Arial" w:cs="Arial" w:eastAsia="Arial" w:hAnsi="Arial"/>
          <w:sz w:val="18"/>
          <w:szCs w:val="18"/>
          <w:i w:val="1"/>
          <w:iCs w:val="1"/>
          <w:color w:val="3E5588"/>
        </w:rPr>
        <w:t>Leases (Topic 842)</w:t>
      </w:r>
      <w:r>
        <w:rPr>
          <w:rFonts w:ascii="Arial" w:cs="Arial" w:eastAsia="Arial" w:hAnsi="Arial"/>
          <w:sz w:val="18"/>
          <w:szCs w:val="18"/>
          <w:color w:val="3E5588"/>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8"/>
          <w:szCs w:val="18"/>
          <w:i w:val="1"/>
          <w:iCs w:val="1"/>
          <w:color w:val="3E5588"/>
        </w:rPr>
        <w:t>Leases (Topic 842):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3E5588"/>
        </w:rPr>
        <w:t xml:space="preserve">Targeted Improvements </w:t>
      </w:r>
      <w:r>
        <w:rPr>
          <w:rFonts w:ascii="Arial" w:cs="Arial" w:eastAsia="Arial" w:hAnsi="Arial"/>
          <w:sz w:val="16"/>
          <w:szCs w:val="16"/>
          <w:color w:val="3E5588"/>
        </w:rPr>
        <w:t>("ASU 2018-11"), which permits entities to continue applying legacy guidance in ASC 840,</w:t>
      </w:r>
      <w:r>
        <w:rPr>
          <w:rFonts w:ascii="Arial" w:cs="Arial" w:eastAsia="Arial" w:hAnsi="Arial"/>
          <w:sz w:val="16"/>
          <w:szCs w:val="16"/>
          <w:i w:val="1"/>
          <w:iCs w:val="1"/>
          <w:color w:val="3E5588"/>
        </w:rPr>
        <w:t xml:space="preserve"> Leases</w:t>
      </w:r>
      <w:r>
        <w:rPr>
          <w:rFonts w:ascii="Arial" w:cs="Arial" w:eastAsia="Arial" w:hAnsi="Arial"/>
          <w:sz w:val="16"/>
          <w:szCs w:val="16"/>
          <w:color w:val="3E5588"/>
        </w:rPr>
        <w:t>, including its disclosure requirements,</w:t>
      </w:r>
      <w:r>
        <w:rPr>
          <w:rFonts w:ascii="Arial" w:cs="Arial" w:eastAsia="Arial" w:hAnsi="Arial"/>
          <w:sz w:val="16"/>
          <w:szCs w:val="16"/>
          <w:i w:val="1"/>
          <w:iCs w:val="1"/>
          <w:color w:val="3E5588"/>
        </w:rPr>
        <w:t xml:space="preserve"> </w:t>
      </w:r>
      <w:r>
        <w:rPr>
          <w:rFonts w:ascii="Arial" w:cs="Arial" w:eastAsia="Arial" w:hAnsi="Arial"/>
          <w:sz w:val="16"/>
          <w:szCs w:val="16"/>
          <w:color w:val="3E5588"/>
        </w:rPr>
        <w:t>in the comparative periods presented in the year that the entity adopts the new leasing standard. The new standard will be effective for the Company on January 1, 2020 (refer to previous discussion under "Emerging Growth Company Status").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2"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3E5588"/>
        </w:rPr>
        <w:t xml:space="preserve">In June 2016, the FASB issued ASU No. 2016-13, </w:t>
      </w:r>
      <w:r>
        <w:rPr>
          <w:rFonts w:ascii="Arial" w:cs="Arial" w:eastAsia="Arial" w:hAnsi="Arial"/>
          <w:sz w:val="16"/>
          <w:szCs w:val="16"/>
          <w:i w:val="1"/>
          <w:iCs w:val="1"/>
          <w:color w:val="3E5588"/>
        </w:rPr>
        <w:t>Financial Instruments—Credit Losses (Topic 326): Measurement of Credit Losses on Financial</w:t>
      </w:r>
      <w:r>
        <w:rPr>
          <w:rFonts w:ascii="Arial" w:cs="Arial" w:eastAsia="Arial" w:hAnsi="Arial"/>
          <w:sz w:val="16"/>
          <w:szCs w:val="16"/>
          <w:color w:val="3E5588"/>
        </w:rPr>
        <w:t xml:space="preserve"> </w:t>
      </w:r>
      <w:r>
        <w:rPr>
          <w:rFonts w:ascii="Arial" w:cs="Arial" w:eastAsia="Arial" w:hAnsi="Arial"/>
          <w:sz w:val="16"/>
          <w:szCs w:val="16"/>
          <w:i w:val="1"/>
          <w:iCs w:val="1"/>
          <w:color w:val="3E5588"/>
        </w:rPr>
        <w:t xml:space="preserve">Instruments </w:t>
      </w:r>
      <w:r>
        <w:rPr>
          <w:rFonts w:ascii="Arial" w:cs="Arial" w:eastAsia="Arial" w:hAnsi="Arial"/>
          <w:sz w:val="16"/>
          <w:szCs w:val="16"/>
          <w:color w:val="3E5588"/>
        </w:rPr>
        <w:t>("ASU 2016-13"). The standard requires that credit losses be reported using an expected losses model rather than the incurred losses model that is</w:t>
      </w:r>
      <w:r>
        <w:rPr>
          <w:rFonts w:ascii="Arial" w:cs="Arial" w:eastAsia="Arial" w:hAnsi="Arial"/>
          <w:sz w:val="16"/>
          <w:szCs w:val="16"/>
          <w:i w:val="1"/>
          <w:iCs w:val="1"/>
          <w:color w:val="3E5588"/>
        </w:rPr>
        <w:t xml:space="preserve"> </w:t>
      </w:r>
      <w:r>
        <w:rPr>
          <w:rFonts w:ascii="Arial" w:cs="Arial" w:eastAsia="Arial" w:hAnsi="Arial"/>
          <w:sz w:val="16"/>
          <w:szCs w:val="16"/>
          <w:color w:val="3E5588"/>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3E5588"/>
        </w:rPr>
        <w:t xml:space="preserve">In July 2017, the FASB issued ASU No. 2017-11, </w:t>
      </w:r>
      <w:r>
        <w:rPr>
          <w:rFonts w:ascii="Arial" w:cs="Arial" w:eastAsia="Arial" w:hAnsi="Arial"/>
          <w:sz w:val="16"/>
          <w:szCs w:val="16"/>
          <w:i w:val="1"/>
          <w:iCs w:val="1"/>
          <w:color w:val="3E5588"/>
        </w:rPr>
        <w:t>Earnings Per Share (Topic 260), Distinguishing Liabilities from Equity (Topic 480), Derivatives and</w:t>
      </w:r>
      <w:r>
        <w:rPr>
          <w:rFonts w:ascii="Arial" w:cs="Arial" w:eastAsia="Arial" w:hAnsi="Arial"/>
          <w:sz w:val="16"/>
          <w:szCs w:val="16"/>
          <w:color w:val="3E5588"/>
        </w:rPr>
        <w:t xml:space="preserve"> </w:t>
      </w:r>
      <w:r>
        <w:rPr>
          <w:rFonts w:ascii="Arial" w:cs="Arial" w:eastAsia="Arial" w:hAnsi="Arial"/>
          <w:sz w:val="16"/>
          <w:szCs w:val="16"/>
          <w:i w:val="1"/>
          <w:iCs w:val="1"/>
          <w:color w:val="3E5588"/>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3E5588"/>
        </w:rPr>
        <w:t>("ASU</w:t>
      </w:r>
      <w:r>
        <w:rPr>
          <w:rFonts w:ascii="Arial" w:cs="Arial" w:eastAsia="Arial" w:hAnsi="Arial"/>
          <w:sz w:val="16"/>
          <w:szCs w:val="16"/>
          <w:i w:val="1"/>
          <w:iCs w:val="1"/>
          <w:color w:val="3E5588"/>
        </w:rPr>
        <w:t xml:space="preserve"> </w:t>
      </w:r>
      <w:r>
        <w:rPr>
          <w:rFonts w:ascii="Arial" w:cs="Arial" w:eastAsia="Arial" w:hAnsi="Arial"/>
          <w:sz w:val="16"/>
          <w:szCs w:val="16"/>
          <w:color w:val="3E5588"/>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(refer to previous discussion under "Emerging Growth Company Status"). The Company is currently evaluating the impact that the adoption of ASU 2017-11 will have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3. Fair Value Measurements</w:t>
      </w:r>
    </w:p>
    <w:p>
      <w:pPr>
        <w:spacing w:after="0" w:line="231"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3E5588"/>
        </w:rPr>
        <w:t>The following table presents information about the Company's financial assets measured at fair value on a recurring basis and indicate the level of the fair value hierarchy utilized to determine such fair values as of December 31, 2018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3E5588"/>
              </w:rPr>
              <w:t>Total</w:t>
            </w:r>
          </w:p>
        </w:tc>
        <w:tc>
          <w:tcPr>
            <w:tcW w:w="10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3E5588"/>
                <w:w w:val="92"/>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3E5588"/>
              </w:rPr>
              <w:t>Level 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3E5588"/>
              </w:rPr>
              <w:t>Level 3</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3E5588"/>
              </w:rPr>
              <w:t>Cash equivalents:</w:t>
            </w:r>
          </w:p>
        </w:tc>
        <w:tc>
          <w:tcPr>
            <w:tcW w:w="1440" w:type="dxa"/>
            <w:vAlign w:val="bottom"/>
            <w:shd w:val="clear" w:color="auto" w:fill="CCEEFF"/>
          </w:tcPr>
          <w:p>
            <w:pPr>
              <w:spacing w:after="0"/>
              <w:rPr>
                <w:sz w:val="18"/>
                <w:szCs w:val="18"/>
                <w:color w:val="auto"/>
              </w:rPr>
            </w:pPr>
          </w:p>
        </w:tc>
        <w:tc>
          <w:tcPr>
            <w:tcW w:w="160" w:type="dxa"/>
            <w:vAlign w:val="bottom"/>
            <w:tcBorders>
              <w:top w:val="single" w:sz="8" w:color="3E5588"/>
            </w:tcBorders>
            <w:shd w:val="clear" w:color="auto" w:fill="CCEEFF"/>
          </w:tcPr>
          <w:p>
            <w:pPr>
              <w:spacing w:after="0"/>
              <w:rPr>
                <w:sz w:val="18"/>
                <w:szCs w:val="18"/>
                <w:color w:val="auto"/>
              </w:rPr>
            </w:pPr>
          </w:p>
        </w:tc>
        <w:tc>
          <w:tcPr>
            <w:tcW w:w="540" w:type="dxa"/>
            <w:vAlign w:val="bottom"/>
            <w:tcBorders>
              <w:top w:val="single" w:sz="8" w:color="3E5588"/>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3E5588"/>
            </w:tcBorders>
            <w:shd w:val="clear" w:color="auto" w:fill="CCEEFF"/>
          </w:tcPr>
          <w:p>
            <w:pPr>
              <w:spacing w:after="0"/>
              <w:rPr>
                <w:sz w:val="18"/>
                <w:szCs w:val="18"/>
                <w:color w:val="auto"/>
              </w:rPr>
            </w:pPr>
          </w:p>
        </w:tc>
        <w:tc>
          <w:tcPr>
            <w:tcW w:w="60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3E5588"/>
            </w:tcBorders>
            <w:shd w:val="clear" w:color="auto" w:fill="CCEEFF"/>
          </w:tcPr>
          <w:p>
            <w:pPr>
              <w:spacing w:after="0"/>
              <w:rPr>
                <w:sz w:val="18"/>
                <w:szCs w:val="18"/>
                <w:color w:val="auto"/>
              </w:rPr>
            </w:pPr>
          </w:p>
        </w:tc>
        <w:tc>
          <w:tcPr>
            <w:tcW w:w="580" w:type="dxa"/>
            <w:vAlign w:val="bottom"/>
            <w:tcBorders>
              <w:top w:val="single" w:sz="8" w:color="3E5588"/>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3E5588"/>
            </w:tcBorders>
            <w:shd w:val="clear" w:color="auto" w:fill="CCEEFF"/>
          </w:tcPr>
          <w:p>
            <w:pPr>
              <w:spacing w:after="0"/>
              <w:rPr>
                <w:sz w:val="18"/>
                <w:szCs w:val="18"/>
                <w:color w:val="auto"/>
              </w:rPr>
            </w:pPr>
          </w:p>
        </w:tc>
        <w:tc>
          <w:tcPr>
            <w:tcW w:w="58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080" w:type="dxa"/>
            <w:vAlign w:val="bottom"/>
          </w:tcPr>
          <w:p>
            <w:pPr>
              <w:ind w:left="180"/>
              <w:spacing w:after="0"/>
              <w:rPr>
                <w:sz w:val="20"/>
                <w:szCs w:val="20"/>
                <w:color w:val="auto"/>
              </w:rPr>
            </w:pPr>
            <w:r>
              <w:rPr>
                <w:rFonts w:ascii="Arial" w:cs="Arial" w:eastAsia="Arial" w:hAnsi="Arial"/>
                <w:sz w:val="18"/>
                <w:szCs w:val="18"/>
                <w:color w:val="3E5588"/>
              </w:rPr>
              <w:t>Money market funds</w:t>
            </w:r>
          </w:p>
        </w:tc>
        <w:tc>
          <w:tcPr>
            <w:tcW w:w="14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3E5588"/>
                <w:w w:val="79"/>
              </w:rPr>
              <w:t>$</w:t>
            </w:r>
          </w:p>
        </w:tc>
        <w:tc>
          <w:tcPr>
            <w:tcW w:w="720" w:type="dxa"/>
            <w:vAlign w:val="bottom"/>
            <w:gridSpan w:val="2"/>
          </w:tcPr>
          <w:p>
            <w:pPr>
              <w:ind w:left="60"/>
              <w:spacing w:after="0"/>
              <w:rPr>
                <w:sz w:val="20"/>
                <w:szCs w:val="20"/>
                <w:color w:val="auto"/>
              </w:rPr>
            </w:pPr>
            <w:r>
              <w:rPr>
                <w:rFonts w:ascii="Arial" w:cs="Arial" w:eastAsia="Arial" w:hAnsi="Arial"/>
                <w:sz w:val="18"/>
                <w:szCs w:val="18"/>
                <w:color w:val="3E5588"/>
              </w:rPr>
              <w:t>72,797</w:t>
            </w:r>
          </w:p>
        </w:tc>
        <w:tc>
          <w:tcPr>
            <w:tcW w:w="10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600" w:type="dxa"/>
            <w:vAlign w:val="bottom"/>
          </w:tcPr>
          <w:p>
            <w:pPr>
              <w:jc w:val="right"/>
              <w:spacing w:after="0"/>
              <w:rPr>
                <w:sz w:val="20"/>
                <w:szCs w:val="20"/>
                <w:color w:val="auto"/>
              </w:rPr>
            </w:pPr>
            <w:r>
              <w:rPr>
                <w:rFonts w:ascii="Arial" w:cs="Arial" w:eastAsia="Arial" w:hAnsi="Arial"/>
                <w:sz w:val="18"/>
                <w:szCs w:val="18"/>
                <w:color w:val="3E5588"/>
              </w:rPr>
              <w:t>72,797</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660" w:type="dxa"/>
            <w:vAlign w:val="bottom"/>
            <w:gridSpan w:val="2"/>
          </w:tcPr>
          <w:p>
            <w:pPr>
              <w:ind w:left="400"/>
              <w:spacing w:after="0"/>
              <w:rPr>
                <w:sz w:val="20"/>
                <w:szCs w:val="20"/>
                <w:color w:val="auto"/>
              </w:rPr>
            </w:pPr>
            <w:r>
              <w:rPr>
                <w:rFonts w:ascii="Arial" w:cs="Arial" w:eastAsia="Arial" w:hAnsi="Arial"/>
                <w:sz w:val="18"/>
                <w:szCs w:val="18"/>
                <w:color w:val="3E5588"/>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3E5588"/>
              </w:rPr>
              <w:t>$</w:t>
            </w:r>
          </w:p>
        </w:tc>
        <w:tc>
          <w:tcPr>
            <w:tcW w:w="740" w:type="dxa"/>
            <w:vAlign w:val="bottom"/>
            <w:gridSpan w:val="2"/>
          </w:tcPr>
          <w:p>
            <w:pPr>
              <w:ind w:left="400"/>
              <w:spacing w:after="0"/>
              <w:rPr>
                <w:sz w:val="20"/>
                <w:szCs w:val="20"/>
                <w:color w:val="auto"/>
              </w:rPr>
            </w:pPr>
            <w:r>
              <w:rPr>
                <w:rFonts w:ascii="Arial" w:cs="Arial" w:eastAsia="Arial" w:hAnsi="Arial"/>
                <w:sz w:val="18"/>
                <w:szCs w:val="18"/>
                <w:color w:val="3E5588"/>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580" w:type="dxa"/>
            <w:vAlign w:val="bottom"/>
            <w:shd w:val="clear" w:color="auto" w:fill="3E55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5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color w:val="3E5588"/>
              </w:rPr>
              <w:t>Total</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3E5588"/>
              </w:rPr>
              <w:t>72,797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72,797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3E5588"/>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3E5588"/>
              </w:rPr>
              <w:t>—</w:t>
            </w:r>
          </w:p>
        </w:tc>
      </w:tr>
      <w:tr>
        <w:trPr>
          <w:trHeight w:val="20"/>
        </w:trPr>
        <w:tc>
          <w:tcPr>
            <w:tcW w:w="3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540" w:type="dxa"/>
            <w:vAlign w:val="bottom"/>
            <w:tcBorders>
              <w:top w:val="single" w:sz="8" w:color="3E5588"/>
              <w:bottom w:val="single" w:sz="8" w:color="3E5588"/>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3E5588"/>
              <w:bottom w:val="single" w:sz="8" w:color="3E5588"/>
            </w:tcBorders>
          </w:tcPr>
          <w:p>
            <w:pPr>
              <w:spacing w:after="0" w:line="20" w:lineRule="exact"/>
              <w:rPr>
                <w:sz w:val="1"/>
                <w:szCs w:val="1"/>
                <w:color w:val="auto"/>
              </w:rPr>
            </w:pPr>
          </w:p>
        </w:tc>
        <w:tc>
          <w:tcPr>
            <w:tcW w:w="580" w:type="dxa"/>
            <w:vAlign w:val="bottom"/>
            <w:tcBorders>
              <w:top w:val="single" w:sz="8" w:color="3E5588"/>
              <w:bottom w:val="single" w:sz="8" w:color="3E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3E5588"/>
              <w:bottom w:val="single" w:sz="8" w:color="3E5588"/>
            </w:tcBorders>
          </w:tcPr>
          <w:p>
            <w:pPr>
              <w:spacing w:after="0" w:line="20" w:lineRule="exact"/>
              <w:rPr>
                <w:sz w:val="1"/>
                <w:szCs w:val="1"/>
                <w:color w:val="auto"/>
              </w:rPr>
            </w:pPr>
          </w:p>
        </w:tc>
        <w:tc>
          <w:tcPr>
            <w:tcW w:w="5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3E5588"/>
        </w:rPr>
        <w:t>The Company had no cash equivalents as of December 31, 2017. There have been no transfers between fair value levels during the year ended December 31, 2018.</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E5588"/>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E5588"/>
                <w:w w:val="85"/>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56"/>
              <w:spacing w:after="0"/>
              <w:rPr>
                <w:sz w:val="20"/>
                <w:szCs w:val="20"/>
                <w:color w:val="auto"/>
              </w:rPr>
            </w:pPr>
            <w:r>
              <w:rPr>
                <w:rFonts w:ascii="Arial" w:cs="Arial" w:eastAsia="Arial" w:hAnsi="Arial"/>
                <w:sz w:val="14"/>
                <w:szCs w:val="14"/>
                <w:b w:val="1"/>
                <w:bCs w:val="1"/>
                <w:color w:val="3E5588"/>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56"/>
              <w:spacing w:after="0"/>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3,018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$4,847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3E5588"/>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E5588"/>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542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281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517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3E5588"/>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E5588"/>
              </w:rPr>
              <w:t>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90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280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6,174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3E5588"/>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E5588"/>
              </w:rPr>
              <w:t>166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334</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3,835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12,504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3E5588"/>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3E5588"/>
              </w:rPr>
              <w:t>(893)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3E5588"/>
              </w:rPr>
              <w:t>(1,958)</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2,942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10,546</w:t>
            </w: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8"/>
        <w:spacing w:after="0" w:line="335" w:lineRule="auto"/>
        <w:rPr>
          <w:sz w:val="20"/>
          <w:szCs w:val="20"/>
          <w:color w:val="auto"/>
        </w:rPr>
      </w:pPr>
      <w:r>
        <w:rPr>
          <w:rFonts w:ascii="Arial" w:cs="Arial" w:eastAsia="Arial" w:hAnsi="Arial"/>
          <w:sz w:val="15"/>
          <w:szCs w:val="15"/>
          <w:color w:val="3E5588"/>
        </w:rPr>
        <w:t>Depreciation expense for the years ended December 31, 2017 and 2018 was $0.7 million and $1.3 million, respectively. Total property and equipment, gross, as of December 31, 2017 and 2018 included zero and $0.2 million, respectively, of property and equipment recorded under capital leases. Accumulated depreciation, as of December 31, 2017 and 2018, included zero and less than $0.1 million, respectively, for property and equipment recorded under capital leases.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Prepaid expenses and other current assets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E5588"/>
                <w:w w:val="85"/>
              </w:rPr>
              <w:t>December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3E5588"/>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57"/>
              <w:spacing w:after="0"/>
              <w:rPr>
                <w:sz w:val="20"/>
                <w:szCs w:val="20"/>
                <w:color w:val="auto"/>
              </w:rPr>
            </w:pPr>
            <w:r>
              <w:rPr>
                <w:rFonts w:ascii="Arial" w:cs="Arial" w:eastAsia="Arial" w:hAnsi="Arial"/>
                <w:sz w:val="14"/>
                <w:szCs w:val="14"/>
                <w:b w:val="1"/>
                <w:bCs w:val="1"/>
                <w:color w:val="3E5588"/>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57"/>
              <w:spacing w:after="0"/>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3E5588"/>
              </w:rPr>
              <w:t>Prepaid expenses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422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$460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3E5588"/>
                <w:w w:val="88"/>
              </w:rPr>
              <w:t>Prepaid sign-on bonuses subject to vesting provisions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3E5588"/>
              </w:rPr>
              <w:t>222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3E5588"/>
              </w:rPr>
              <w:t>Security deposits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3E5588"/>
              </w:rPr>
              <w:t>Leasehold improvement allowance receivable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3E5588"/>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366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3E5588"/>
              </w:rPr>
              <w:t>Interest income receivable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3E5588"/>
              </w:rPr>
              <w:t>Other</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3E5588"/>
              </w:rPr>
              <w:t>158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238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3E5588"/>
                <w:w w:val="97"/>
              </w:rPr>
              <w:t>Total prepaid expenses and other current assets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3E5588"/>
              </w:rPr>
              <w:t>931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40" w:type="dxa"/>
            <w:vAlign w:val="bottom"/>
            <w:gridSpan w:val="2"/>
          </w:tcPr>
          <w:p>
            <w:pPr>
              <w:jc w:val="right"/>
              <w:ind w:right="1592"/>
              <w:spacing w:after="0"/>
              <w:rPr>
                <w:sz w:val="20"/>
                <w:szCs w:val="20"/>
                <w:color w:val="auto"/>
              </w:rPr>
            </w:pPr>
            <w:r>
              <w:rPr>
                <w:rFonts w:ascii="Arial" w:cs="Arial" w:eastAsia="Arial" w:hAnsi="Arial"/>
                <w:sz w:val="18"/>
                <w:szCs w:val="18"/>
                <w:color w:val="3E5588"/>
                <w:w w:val="91"/>
              </w:rPr>
              <w:t>F-17</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3E5588"/>
            </w:tcBorders>
          </w:tcPr>
          <w:p>
            <w:pPr>
              <w:spacing w:after="0"/>
              <w:rPr>
                <w:sz w:val="19"/>
                <w:szCs w:val="19"/>
                <w:color w:val="auto"/>
              </w:rPr>
            </w:pPr>
          </w:p>
        </w:tc>
        <w:tc>
          <w:tcPr>
            <w:tcW w:w="3800" w:type="dxa"/>
            <w:vAlign w:val="bottom"/>
            <w:tcBorders>
              <w:bottom w:val="single" w:sz="8" w:color="3E5588"/>
            </w:tcBorders>
          </w:tcPr>
          <w:p>
            <w:pPr>
              <w:spacing w:after="0"/>
              <w:rPr>
                <w:sz w:val="19"/>
                <w:szCs w:val="19"/>
                <w:color w:val="auto"/>
              </w:rPr>
            </w:pPr>
          </w:p>
        </w:tc>
        <w:tc>
          <w:tcPr>
            <w:tcW w:w="1940" w:type="dxa"/>
            <w:vAlign w:val="bottom"/>
            <w:tcBorders>
              <w:bottom w:val="single" w:sz="8" w:color="3E5588"/>
            </w:tcBorders>
          </w:tcPr>
          <w:p>
            <w:pPr>
              <w:spacing w:after="0"/>
              <w:rPr>
                <w:sz w:val="19"/>
                <w:szCs w:val="19"/>
                <w:color w:val="auto"/>
              </w:rPr>
            </w:pPr>
          </w:p>
        </w:tc>
        <w:tc>
          <w:tcPr>
            <w:tcW w:w="100" w:type="dxa"/>
            <w:vAlign w:val="bottom"/>
            <w:tcBorders>
              <w:bottom w:val="single" w:sz="8" w:color="3E5588"/>
            </w:tcBorders>
          </w:tcPr>
          <w:p>
            <w:pPr>
              <w:spacing w:after="0"/>
              <w:rPr>
                <w:sz w:val="19"/>
                <w:szCs w:val="19"/>
                <w:color w:val="auto"/>
              </w:rPr>
            </w:pPr>
          </w:p>
        </w:tc>
        <w:tc>
          <w:tcPr>
            <w:tcW w:w="860" w:type="dxa"/>
            <w:vAlign w:val="bottom"/>
            <w:tcBorders>
              <w:bottom w:val="single" w:sz="8" w:color="3E5588"/>
            </w:tcBorders>
          </w:tcPr>
          <w:p>
            <w:pPr>
              <w:spacing w:after="0"/>
              <w:rPr>
                <w:sz w:val="19"/>
                <w:szCs w:val="19"/>
                <w:color w:val="auto"/>
              </w:rPr>
            </w:pPr>
          </w:p>
        </w:tc>
        <w:tc>
          <w:tcPr>
            <w:tcW w:w="80" w:type="dxa"/>
            <w:vAlign w:val="bottom"/>
            <w:tcBorders>
              <w:bottom w:val="single" w:sz="8" w:color="3E5588"/>
            </w:tcBorders>
          </w:tcPr>
          <w:p>
            <w:pPr>
              <w:spacing w:after="0"/>
              <w:rPr>
                <w:sz w:val="19"/>
                <w:szCs w:val="19"/>
                <w:color w:val="auto"/>
              </w:rPr>
            </w:pPr>
          </w:p>
        </w:tc>
        <w:tc>
          <w:tcPr>
            <w:tcW w:w="80" w:type="dxa"/>
            <w:vAlign w:val="bottom"/>
            <w:tcBorders>
              <w:bottom w:val="single" w:sz="8" w:color="3E5588"/>
            </w:tcBorders>
          </w:tcPr>
          <w:p>
            <w:pPr>
              <w:spacing w:after="0"/>
              <w:rPr>
                <w:sz w:val="19"/>
                <w:szCs w:val="19"/>
                <w:color w:val="auto"/>
              </w:rPr>
            </w:pPr>
          </w:p>
        </w:tc>
        <w:tc>
          <w:tcPr>
            <w:tcW w:w="100" w:type="dxa"/>
            <w:vAlign w:val="bottom"/>
            <w:tcBorders>
              <w:bottom w:val="single" w:sz="8" w:color="3E5588"/>
            </w:tcBorders>
          </w:tcPr>
          <w:p>
            <w:pPr>
              <w:spacing w:after="0"/>
              <w:rPr>
                <w:sz w:val="19"/>
                <w:szCs w:val="19"/>
                <w:color w:val="auto"/>
              </w:rPr>
            </w:pPr>
          </w:p>
        </w:tc>
        <w:tc>
          <w:tcPr>
            <w:tcW w:w="86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1720" w:type="dxa"/>
            <w:vAlign w:val="bottom"/>
            <w:tcBorders>
              <w:bottom w:val="single" w:sz="8" w:color="3E558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5. Additional Balance Sheet Detail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3E5588"/>
        </w:rPr>
        <w:t>Accrued expenses and other current liabilities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3E5588"/>
                <w:w w:val="83"/>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3E5588"/>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56"/>
              <w:spacing w:after="0"/>
              <w:rPr>
                <w:sz w:val="20"/>
                <w:szCs w:val="20"/>
                <w:color w:val="auto"/>
              </w:rPr>
            </w:pPr>
            <w:r>
              <w:rPr>
                <w:rFonts w:ascii="Arial" w:cs="Arial" w:eastAsia="Arial" w:hAnsi="Arial"/>
                <w:sz w:val="14"/>
                <w:szCs w:val="14"/>
                <w:b w:val="1"/>
                <w:bCs w:val="1"/>
                <w:color w:val="3E5588"/>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56"/>
              <w:spacing w:after="0"/>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437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3E5588"/>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1,004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1,448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254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3E5588"/>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46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3E5588"/>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3E5588"/>
              </w:rPr>
              <w:t>174</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120</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3E5588"/>
              </w:rPr>
              <w:t>Total accrued expenses and other current liabilities</w:t>
            </w:r>
          </w:p>
        </w:tc>
        <w:tc>
          <w:tcPr>
            <w:tcW w:w="1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8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1,112</w:t>
            </w:r>
          </w:p>
        </w:tc>
        <w:tc>
          <w:tcPr>
            <w:tcW w:w="20" w:type="dxa"/>
            <w:vAlign w:val="bottom"/>
            <w:tcBorders>
              <w:bottom w:val="single" w:sz="8" w:color="3E5588"/>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8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2,497</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3E5588"/>
            </w:tcBorders>
          </w:tcPr>
          <w:p>
            <w:pPr>
              <w:spacing w:after="0" w:line="20" w:lineRule="exact"/>
              <w:rPr>
                <w:sz w:val="1"/>
                <w:szCs w:val="1"/>
                <w:color w:val="auto"/>
              </w:rPr>
            </w:pPr>
          </w:p>
        </w:tc>
        <w:tc>
          <w:tcPr>
            <w:tcW w:w="860" w:type="dxa"/>
            <w:vAlign w:val="bottom"/>
            <w:tcBorders>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3E5588"/>
            </w:tcBorders>
          </w:tcPr>
          <w:p>
            <w:pPr>
              <w:spacing w:after="0" w:line="20" w:lineRule="exact"/>
              <w:rPr>
                <w:sz w:val="1"/>
                <w:szCs w:val="1"/>
                <w:color w:val="auto"/>
              </w:rPr>
            </w:pPr>
          </w:p>
        </w:tc>
        <w:tc>
          <w:tcPr>
            <w:tcW w:w="86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5"/>
        <w:spacing w:after="0" w:line="332" w:lineRule="auto"/>
        <w:rPr>
          <w:sz w:val="20"/>
          <w:szCs w:val="20"/>
          <w:color w:val="auto"/>
        </w:rPr>
      </w:pPr>
      <w:r>
        <w:rPr>
          <w:rFonts w:ascii="Arial" w:cs="Arial" w:eastAsia="Arial" w:hAnsi="Arial"/>
          <w:sz w:val="16"/>
          <w:szCs w:val="16"/>
          <w:color w:val="3E5588"/>
        </w:rPr>
        <w:t>Future minimum lease payments associated with the Company's capital lease obligations are less than $0.1 million in each of the years ending December 31, 2019, 2020 and 2021. No minimum lease payments associated with the Company's capital lease obligations are due after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6. Convertible Preferred Stock</w:t>
      </w:r>
    </w:p>
    <w:p>
      <w:pPr>
        <w:spacing w:after="0" w:line="231"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3E5588"/>
        </w:rPr>
        <w:t>In July 2016, the Company entered into a Series A convertible preferred stock purchase agreement (the "2016 Stock Purchase Agreement"), which provided for the issuance and sale of up to 55,000,000 shares of Series A convertible preferred stock (the "Series A Preferred Stock") at a price of $1.00 per share in three tranches, each of which could occur in multiple closings. Included in the terms of the Series A Preferred Stock purchase agreement were tranche rights. The tranche rights obligated the investors in the Series A Preferred Stock to purchase, and the Company to sell, shares of Series A Preferred Stock at $1.00 per share, subject to the achievement of certain milestones related to the Company's research platform and organizational development. The specified milestones were waivable with the consent of the holders of a majority of the shares of Series A Preferred Stock.</w:t>
      </w:r>
    </w:p>
    <w:p>
      <w:pPr>
        <w:spacing w:after="0" w:line="174" w:lineRule="exact"/>
        <w:rPr>
          <w:sz w:val="20"/>
          <w:szCs w:val="20"/>
          <w:color w:val="auto"/>
        </w:rPr>
      </w:pPr>
    </w:p>
    <w:p>
      <w:pPr>
        <w:jc w:val="both"/>
        <w:ind w:right="20" w:firstLine="383"/>
        <w:spacing w:after="0" w:line="306" w:lineRule="auto"/>
        <w:rPr>
          <w:sz w:val="20"/>
          <w:szCs w:val="20"/>
          <w:color w:val="auto"/>
        </w:rPr>
      </w:pPr>
      <w:r>
        <w:rPr>
          <w:rFonts w:ascii="Arial" w:cs="Arial" w:eastAsia="Arial" w:hAnsi="Arial"/>
          <w:sz w:val="16"/>
          <w:szCs w:val="16"/>
          <w:color w:val="3E5588"/>
        </w:rPr>
        <w:t>During the year ended December 31, 2017, the Company sold 12,666,666 shares of Series A Preferred Stock under the 2016 Stock Purchase Agreement for aggregate proceeds of approximately $12.7 million. During the year ended December 31, 2018, the Company sold the remaining 25,333,334 shares of Series A Preferred Stock under the 2016 Stock Purchase Agreement for aggregate proceeds of approximately $25.3 million.</w:t>
      </w:r>
    </w:p>
    <w:p>
      <w:pPr>
        <w:spacing w:after="0" w:line="161" w:lineRule="exact"/>
        <w:rPr>
          <w:sz w:val="20"/>
          <w:szCs w:val="20"/>
          <w:color w:val="auto"/>
        </w:rPr>
      </w:pPr>
    </w:p>
    <w:p>
      <w:pPr>
        <w:jc w:val="both"/>
        <w:ind w:firstLine="436"/>
        <w:spacing w:after="0" w:line="255" w:lineRule="auto"/>
        <w:rPr>
          <w:sz w:val="20"/>
          <w:szCs w:val="20"/>
          <w:color w:val="auto"/>
        </w:rPr>
      </w:pPr>
      <w:r>
        <w:rPr>
          <w:rFonts w:ascii="Arial" w:cs="Arial" w:eastAsia="Arial" w:hAnsi="Arial"/>
          <w:sz w:val="18"/>
          <w:szCs w:val="18"/>
          <w:color w:val="3E5588"/>
        </w:rPr>
        <w:t>In April 2017, the Company increased the number of shares of Series A Preferred Stock authorized for issuance to 60,000,000 shares and entered into an additional Series A Preferred Stock purchase agreement (the "2017 Stock Purchase Agreement", and together with the 2016 Stock Purchase Agreement, the "Stock Purchase Agreements"), pursuant to which the Company sold 5,000,000 shares of Series A Preferred Stock for aggregate proceeds of $5.0 million. The Company incurred issuance costs associated with the Stock Purchase Agreements of less than $0.1 million during each of the years ended December 31, 2017 and 2018.</w:t>
      </w:r>
    </w:p>
    <w:p>
      <w:pPr>
        <w:spacing w:after="0" w:line="197"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3E5588"/>
        </w:rPr>
        <w:t>The Company determined that the tranche rights did not meet the definition of a freestanding financial instrument because, while separately exercisable, they were not legally detachable. Further, the Company determined that the embedded future tranche rights did not require bifurcation as they were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6. Convertible Preferred Stock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clearly and closely related to the economic characteristics and risks of the Series A Preferred Stock and did not meet the definition of a derivative on a standalone basis.</w:t>
      </w:r>
    </w:p>
    <w:p>
      <w:pPr>
        <w:spacing w:after="0" w:line="186" w:lineRule="exact"/>
        <w:rPr>
          <w:sz w:val="20"/>
          <w:szCs w:val="20"/>
          <w:color w:val="auto"/>
        </w:rPr>
      </w:pPr>
    </w:p>
    <w:p>
      <w:pPr>
        <w:jc w:val="both"/>
        <w:ind w:firstLine="388"/>
        <w:spacing w:after="0" w:line="323" w:lineRule="auto"/>
        <w:rPr>
          <w:sz w:val="20"/>
          <w:szCs w:val="20"/>
          <w:color w:val="auto"/>
        </w:rPr>
      </w:pPr>
      <w:r>
        <w:rPr>
          <w:rFonts w:ascii="Arial" w:cs="Arial" w:eastAsia="Arial" w:hAnsi="Arial"/>
          <w:sz w:val="15"/>
          <w:szCs w:val="15"/>
          <w:color w:val="3E5588"/>
        </w:rPr>
        <w:t>In August 2018, the Company entered into a Series B convertible preferred stock purchase agreement (the "Series B Stock Purchase Agreement"), pursuant to which the Company sold 40,000,000 shares of Series B Preferred Stock at a purchase price of $2.00 per share for gross proceeds of $80,000,000. In connection with the Series B Stock Purchase Agreement, the Company's Certificate of Incorporation was amended and restated to authorize the Company to issue 40,000,000 shares of Series B Preferred Stock. Refer to Note 14 for information regarding the issuance of Series B Preferred Stock subsequent to December 31, 2018.</w:t>
      </w:r>
    </w:p>
    <w:p>
      <w:pPr>
        <w:spacing w:after="0" w:line="152"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3E5588"/>
        </w:rPr>
        <w:t>The Company assessed the Series A Preferred Stock and the Series B Preferred Stock (together, the "Preferred Stock") for any beneficial conversion features or embedded derivatives, including the conversion option, that would require bifurcation from the Preferred Stock and receive separate accounting treatment. Based on the Company's determination that the Preferred Stock is an "equity host," the Company determined that all features of the Preferred Stock were either clearly and closely related to the equity host or did not meet the definition of a derivative, and therefore do not require bifurcation as a derivative liability. On the date of issuance, the estimated fair value of Common Stock into which the Preferred Stock was convertible was less than the effective conversion price of the Preferred Stock, and as such, there was no beneficial conversion feature at the commitment dates.</w:t>
      </w:r>
    </w:p>
    <w:p>
      <w:pPr>
        <w:spacing w:after="0" w:line="174"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3E5588"/>
        </w:rPr>
        <w:t>As the Preferred Stock may become redeemable upon the occurrence of a Deemed Liquidation Event (as defined below), the Preferred Stock has been classified outside of stockholders' deficit. Since the Preferred Stock is not initially redeemable and the Company has determined that it is not probable that it will become redeemable, the carrying value of the Preferred Stock has not been adjusted.</w:t>
      </w:r>
    </w:p>
    <w:p>
      <w:pPr>
        <w:spacing w:after="0" w:line="194"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3E5588"/>
        </w:rPr>
        <w:t>No dividends have been declared since inception. Aggregate cumulative dividends associated with the Series A Preferred Stock and the Series B Preferred Stock as of December 31, 2018 were $7.2 million and $2.3 million,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holders of the Preferred Stock have the following rights, privileges, and preferences: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Voting Rights</w:t>
      </w:r>
    </w:p>
    <w:p>
      <w:pPr>
        <w:spacing w:after="0" w:line="225" w:lineRule="exact"/>
        <w:rPr>
          <w:sz w:val="20"/>
          <w:szCs w:val="20"/>
          <w:color w:val="auto"/>
        </w:rPr>
      </w:pPr>
    </w:p>
    <w:p>
      <w:pPr>
        <w:jc w:val="both"/>
        <w:ind w:firstLine="429"/>
        <w:spacing w:after="0" w:line="294" w:lineRule="auto"/>
        <w:rPr>
          <w:sz w:val="20"/>
          <w:szCs w:val="20"/>
          <w:color w:val="auto"/>
        </w:rPr>
      </w:pPr>
      <w:r>
        <w:rPr>
          <w:rFonts w:ascii="Arial" w:cs="Arial" w:eastAsia="Arial" w:hAnsi="Arial"/>
          <w:sz w:val="16"/>
          <w:szCs w:val="16"/>
          <w:color w:val="3E5588"/>
        </w:rPr>
        <w:t>The holders of the Preferred Stock are entitled to vote on all matters submitted to stockholders for a vote and have the right to vote the number of shares equal to the number of shares of Common Stock into which such shares of Preferred Stock could convert on the record date for determination of stockholders entitled to vote. The holders of Preferred Stock will vote together with the holders of Common Stock as a single class, on an as-converted basis, unless otherwise specified by law or the Certificate of Incorporation. For example, the holders of Series A Preferred Stock, exclusively and as a separate class, are entitled to elect one director of the Company and the holders of Series B Preferred Stock, exclusively and as a separate class, are entitled to elect one director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Conversion</w:t>
      </w:r>
    </w:p>
    <w:p>
      <w:pPr>
        <w:spacing w:after="0" w:line="225"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3E5588"/>
        </w:rPr>
        <w:t>Each share of Preferred Stock is convertible, at the option of the holder, at any time, and without the payment of additional consideration by the holder, into such number of fully paid and nonassessable shares of Common Stock as is determined by dividing the Original Issue Price (as defined below) applicable to such series of Preferred Stock by the Conversion Price (as defined below) applicable to such series 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6. Convertible Preferred Stock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Preferred Stock in effect at the time of conversion. The Original Issue Price is $1.00 per share for Series A Preferred Stock and $2.00 per share for Series B Preferred Stock, each subject to appropriate adjustment in the event of any stock dividend, stock split, combination or other similar recapitalization with respect to the Preferred Stock. The Conversion Price is $7.00 per share for Series A Preferred Stock and $14.00 per share for Series B Preferred Stock, each subject to appropriate adjustment in the event of any stock dividend, stock split, combination or other similar recapitalization and other adjustments, as set forth in the Company's Certificate of Incorporation, as amended and/or restated.</w:t>
      </w:r>
    </w:p>
    <w:p>
      <w:pPr>
        <w:spacing w:after="0" w:line="197" w:lineRule="exact"/>
        <w:rPr>
          <w:sz w:val="20"/>
          <w:szCs w:val="20"/>
          <w:color w:val="auto"/>
        </w:rPr>
      </w:pPr>
    </w:p>
    <w:p>
      <w:pPr>
        <w:jc w:val="both"/>
        <w:ind w:firstLine="355"/>
        <w:spacing w:after="0" w:line="289" w:lineRule="auto"/>
        <w:rPr>
          <w:sz w:val="20"/>
          <w:szCs w:val="20"/>
          <w:color w:val="auto"/>
        </w:rPr>
      </w:pPr>
      <w:r>
        <w:rPr>
          <w:rFonts w:ascii="Arial" w:cs="Arial" w:eastAsia="Arial" w:hAnsi="Arial"/>
          <w:sz w:val="16"/>
          <w:szCs w:val="16"/>
          <w:color w:val="3E5588"/>
        </w:rPr>
        <w:t>Each share of Preferred Stock will automatically convert into shares of Common Stock at the then-effective conversion ratio upon either (i) the closing of the sale of shares of Common Stock to the public in a firm-commitment underwritten public offering pursuant to an effective registration statement under the Securities Act of 1933, as amended (the "Securities Act"), provided that such offering results in at least $45 million of gross proceeds to the Company and, following such offering, the Common Stock is listed on the New York Stock Exchange or Nasdaq or (ii) the date and time, or the occurrence of an event, specified by the vote or written consent of the holders of at least 65% of the outstanding shares of Preferred Stock. If the holders of at least 65% of the outstanding shares of Preferred Stock approve such a mandatory conversion in connection with a proposed Deemed Liquidation Event in which the holders of Series B Preferred Stock would receive less than the full liquidation preference applicable to the Series B Preferred Stock (as discussed below), then the mandatory conversion will also require the consent of the holders of a majority of the outstanding shares of Series B Preferred Stock, voting together as a separate class.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Dividends</w:t>
      </w:r>
    </w:p>
    <w:p>
      <w:pPr>
        <w:spacing w:after="0" w:line="225" w:lineRule="exact"/>
        <w:rPr>
          <w:sz w:val="20"/>
          <w:szCs w:val="20"/>
          <w:color w:val="auto"/>
        </w:rPr>
      </w:pPr>
    </w:p>
    <w:p>
      <w:pPr>
        <w:jc w:val="both"/>
        <w:ind w:firstLine="426"/>
        <w:spacing w:after="0" w:line="289" w:lineRule="auto"/>
        <w:rPr>
          <w:sz w:val="20"/>
          <w:szCs w:val="20"/>
          <w:color w:val="auto"/>
        </w:rPr>
      </w:pPr>
      <w:r>
        <w:rPr>
          <w:rFonts w:ascii="Arial" w:cs="Arial" w:eastAsia="Arial" w:hAnsi="Arial"/>
          <w:sz w:val="16"/>
          <w:szCs w:val="16"/>
          <w:color w:val="3E5588"/>
        </w:rPr>
        <w:t>From the date of issuance of the Series B Preferred Stock, dividends at an annual rate of $0.16 per share will accrue on such shares of Series B Preferred Stock, subject to adjustment in the event of any stock split, stock dividend, or other similar recapitalization with respect to the Series B Preferred Stock (the "Series B Accruing Dividends"). From the date of issuance of the Series A Preferred Stock, dividends at an annual rate of $0.08 per share will accrue on such shares of Series A Preferred Stock, subject to adjustment in the event of any stock split, stock dividend, or other similar recapitalization with respect to the Series A Preferred Stock (the "Series A Accruing Dividends", and together with the Series B Accruing Dividends, the "Accruing Dividends"). The Accruing Dividends are cumulative and are payable only when and if declared by the board of directors of the Company or in the event of a liquidation, dissolution or winding up of the Company or a Deemed Liquidation Event. The Company cannot declare dividends on the Common Stock unless the holders of Preferred Stock first receive, or simultaneously receive, a dividend on each outstanding share of Preferred Stock. No dividends have been declared since inception.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Liquidation Preference</w:t>
      </w:r>
    </w:p>
    <w:p>
      <w:pPr>
        <w:spacing w:after="0" w:line="225" w:lineRule="exact"/>
        <w:rPr>
          <w:sz w:val="20"/>
          <w:szCs w:val="20"/>
          <w:color w:val="auto"/>
        </w:rPr>
      </w:pPr>
    </w:p>
    <w:p>
      <w:pPr>
        <w:jc w:val="both"/>
        <w:ind w:firstLine="412"/>
        <w:spacing w:after="0" w:line="283" w:lineRule="auto"/>
        <w:rPr>
          <w:sz w:val="20"/>
          <w:szCs w:val="20"/>
          <w:color w:val="auto"/>
        </w:rPr>
      </w:pPr>
      <w:r>
        <w:rPr>
          <w:rFonts w:ascii="Arial" w:cs="Arial" w:eastAsia="Arial" w:hAnsi="Arial"/>
          <w:sz w:val="16"/>
          <w:szCs w:val="16"/>
          <w:color w:val="3E5588"/>
        </w:rPr>
        <w:t>In the event of any voluntary or involuntary liquidation, dissolution or winding up of the Company or Deemed Liquidation Event, the holders of shares of Preferred Stock then outstanding will be entitled to be paid out of the assets of the Company available for distribution to its stockholders before any payment will be made to the holders of Common Stock by reason of their ownership thereof, an amount per share equal to the greater of (i) the applicable Original Issue Price, plus any applicable Accruing Dividends accrued but unpaid thereon, whether or not declared, together with any other dividends declared but unpaid thereon or</w:t>
      </w:r>
    </w:p>
    <w:p>
      <w:pPr>
        <w:spacing w:after="0" w:line="3" w:lineRule="exact"/>
        <w:rPr>
          <w:sz w:val="20"/>
          <w:szCs w:val="20"/>
          <w:color w:val="auto"/>
        </w:rPr>
      </w:pPr>
    </w:p>
    <w:p>
      <w:pPr>
        <w:ind w:left="5540" w:right="4860" w:hanging="5532"/>
        <w:spacing w:after="0" w:line="605" w:lineRule="auto"/>
        <w:tabs>
          <w:tab w:leader="none" w:pos="258" w:val="left"/>
        </w:tabs>
        <w:numPr>
          <w:ilvl w:val="0"/>
          <w:numId w:val="116"/>
        </w:numPr>
        <w:rPr>
          <w:rFonts w:ascii="Arial" w:cs="Arial" w:eastAsia="Arial" w:hAnsi="Arial"/>
          <w:sz w:val="16"/>
          <w:szCs w:val="16"/>
          <w:color w:val="3E5588"/>
        </w:rPr>
      </w:pPr>
      <w:r>
        <w:rPr>
          <w:rFonts w:ascii="Arial" w:cs="Arial" w:eastAsia="Arial" w:hAnsi="Arial"/>
          <w:sz w:val="16"/>
          <w:szCs w:val="16"/>
          <w:color w:val="3E5588"/>
        </w:rPr>
        <w:t>such amount per share as would have been payable had all shares of Preferred Stock been 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6. Convertible Preferred Stock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3E5588"/>
        </w:rPr>
        <w:t>converted into Common Stock immediately prior to such liquidation, dissolution, winding up or Deemed Liquidation Event.</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3E5588"/>
        </w:rPr>
        <w:t>After the payment of all preferential amounts required to be paid to the holders of shares of Preferred Stock, the remaining assets of the Company available for distribution to its stockholders will be distributed among the holders of the shares of Common Stock, pro rata based on the number of shares held by each such holder.</w:t>
      </w:r>
    </w:p>
    <w:p>
      <w:pPr>
        <w:spacing w:after="0" w:line="194" w:lineRule="exact"/>
        <w:rPr>
          <w:sz w:val="20"/>
          <w:szCs w:val="20"/>
          <w:color w:val="auto"/>
        </w:rPr>
      </w:pPr>
    </w:p>
    <w:p>
      <w:pPr>
        <w:jc w:val="both"/>
        <w:ind w:firstLine="439"/>
        <w:spacing w:after="0" w:line="291" w:lineRule="auto"/>
        <w:rPr>
          <w:sz w:val="20"/>
          <w:szCs w:val="20"/>
          <w:color w:val="auto"/>
        </w:rPr>
      </w:pPr>
      <w:r>
        <w:rPr>
          <w:rFonts w:ascii="Arial" w:cs="Arial" w:eastAsia="Arial" w:hAnsi="Arial"/>
          <w:sz w:val="16"/>
          <w:szCs w:val="16"/>
          <w:color w:val="3E5588"/>
        </w:rPr>
        <w:t>Unless the holders of at least 65% of the outstanding shares of Preferred Stock, voting together as a single class, elect otherwise, a "Deemed Liquidation Event" will include (i) a merger or consolidation (other than one in which stockholders of the Company owning a majority by voting power of the outstanding shares of the Company prior to the merger or consolidation continue to own a majority by voting power of the outstanding shares of the surviving or acquiring corporation) or (ii) a sale, lease, transfer, exclusive license, or other disposition by the Company or its subsidiaries of all or substantially all of the assets of the Company and its subsidiaries, taken as a whole, or the sale or disposition of one or more subsidiaries of the Company if substantially all of the assets of the Company and its subsidiaries, taken as a whole, are held by such subsidiaries.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7. Common Stock</w:t>
      </w:r>
    </w:p>
    <w:p>
      <w:pPr>
        <w:spacing w:after="0" w:line="231" w:lineRule="exact"/>
        <w:rPr>
          <w:sz w:val="20"/>
          <w:szCs w:val="20"/>
          <w:color w:val="auto"/>
        </w:rPr>
      </w:pPr>
    </w:p>
    <w:p>
      <w:pPr>
        <w:jc w:val="both"/>
        <w:ind w:firstLine="476"/>
        <w:spacing w:after="0" w:line="291" w:lineRule="auto"/>
        <w:rPr>
          <w:sz w:val="20"/>
          <w:szCs w:val="20"/>
          <w:color w:val="auto"/>
        </w:rPr>
      </w:pPr>
      <w:r>
        <w:rPr>
          <w:rFonts w:ascii="Arial" w:cs="Arial" w:eastAsia="Arial" w:hAnsi="Arial"/>
          <w:sz w:val="16"/>
          <w:szCs w:val="16"/>
          <w:color w:val="3E5588"/>
        </w:rPr>
        <w:t>Each share of Common Stock entitles the holder to one vote on all matters submitted to a vote of the Company's stockholders provided, however, that, except as otherwise required by law, holders of Common Stock will not be entitled to vote on any amendment to the Company's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Delaware General Corporation Law. Common stockholders are entitled to receive dividends, as may be declared by the Company's board of directors, if any, subject to the preferential dividend rights of the Preferred Stock. No dividends have been declared or paid during the years ended December 31, 2017 or 2018.</w:t>
      </w:r>
    </w:p>
    <w:p>
      <w:pPr>
        <w:spacing w:after="0" w:line="174" w:lineRule="exact"/>
        <w:rPr>
          <w:sz w:val="20"/>
          <w:szCs w:val="20"/>
          <w:color w:val="auto"/>
        </w:rPr>
      </w:pPr>
    </w:p>
    <w:p>
      <w:pPr>
        <w:jc w:val="both"/>
        <w:ind w:firstLine="482"/>
        <w:spacing w:after="0" w:line="268" w:lineRule="auto"/>
        <w:rPr>
          <w:sz w:val="20"/>
          <w:szCs w:val="20"/>
          <w:color w:val="auto"/>
        </w:rPr>
      </w:pPr>
      <w:r>
        <w:rPr>
          <w:rFonts w:ascii="Arial" w:cs="Arial" w:eastAsia="Arial" w:hAnsi="Arial"/>
          <w:sz w:val="18"/>
          <w:szCs w:val="18"/>
          <w:color w:val="3E5588"/>
        </w:rPr>
        <w:t>During the year ended December 31, 2018, the Company's Certificate of Incorporation was amended and restated to increase the number of authorized shares of Common Stock from 80,000,000 to 135,000,000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3E5588"/>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3E5588"/>
                <w:w w:val="94"/>
              </w:rPr>
              <w:t>December 31,</w:t>
            </w:r>
          </w:p>
        </w:tc>
        <w:tc>
          <w:tcPr>
            <w:tcW w:w="2840" w:type="dxa"/>
            <w:vAlign w:val="bottom"/>
            <w:gridSpan w:val="3"/>
          </w:tcPr>
          <w:p>
            <w:pPr>
              <w:ind w:left="100"/>
              <w:spacing w:after="0"/>
              <w:rPr>
                <w:sz w:val="20"/>
                <w:szCs w:val="20"/>
                <w:color w:val="auto"/>
              </w:rPr>
            </w:pPr>
            <w:r>
              <w:rPr>
                <w:rFonts w:ascii="Arial" w:cs="Arial" w:eastAsia="Arial" w:hAnsi="Arial"/>
                <w:sz w:val="14"/>
                <w:szCs w:val="14"/>
                <w:b w:val="1"/>
                <w:bCs w:val="1"/>
                <w:color w:val="3E5588"/>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960" w:type="dxa"/>
            <w:vAlign w:val="bottom"/>
            <w:tcBorders>
              <w:bottom w:val="single" w:sz="8" w:color="3E5588"/>
            </w:tcBorders>
          </w:tcPr>
          <w:p>
            <w:pPr>
              <w:jc w:val="right"/>
              <w:ind w:right="259"/>
              <w:spacing w:after="0"/>
              <w:rPr>
                <w:sz w:val="20"/>
                <w:szCs w:val="20"/>
                <w:color w:val="auto"/>
              </w:rPr>
            </w:pPr>
            <w:r>
              <w:rPr>
                <w:rFonts w:ascii="Arial" w:cs="Arial" w:eastAsia="Arial" w:hAnsi="Arial"/>
                <w:sz w:val="14"/>
                <w:szCs w:val="14"/>
                <w:b w:val="1"/>
                <w:bCs w:val="1"/>
                <w:color w:val="3E5588"/>
              </w:rPr>
              <w:t>2017</w:t>
            </w:r>
          </w:p>
        </w:tc>
        <w:tc>
          <w:tcPr>
            <w:tcW w:w="160" w:type="dxa"/>
            <w:vAlign w:val="bottom"/>
          </w:tcPr>
          <w:p>
            <w:pPr>
              <w:spacing w:after="0"/>
              <w:rPr>
                <w:sz w:val="14"/>
                <w:szCs w:val="14"/>
                <w:color w:val="auto"/>
              </w:rPr>
            </w:pPr>
          </w:p>
        </w:tc>
        <w:tc>
          <w:tcPr>
            <w:tcW w:w="960" w:type="dxa"/>
            <w:vAlign w:val="bottom"/>
            <w:tcBorders>
              <w:bottom w:val="single" w:sz="8" w:color="3E5588"/>
            </w:tcBorders>
          </w:tcPr>
          <w:p>
            <w:pPr>
              <w:jc w:val="right"/>
              <w:ind w:right="259"/>
              <w:spacing w:after="0"/>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rPr>
              <w:t>Shares reserved for conversion of outstanding Series A Preferred Stock</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8,571,427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8,571,427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3E5588"/>
              </w:rPr>
              <w:t>Shares reserved for conversion of outstanding Series B Preferred Stock</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3E5588"/>
              </w:rPr>
              <w:t>5,714,277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3E5588"/>
                <w:w w:val="98"/>
              </w:rPr>
              <w:t>Shares reserved for future issuance under the 2016 Stock Incentive Plan</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220,343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919,030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9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8,791,770</w:t>
            </w:r>
          </w:p>
        </w:tc>
        <w:tc>
          <w:tcPr>
            <w:tcW w:w="160" w:type="dxa"/>
            <w:vAlign w:val="bottom"/>
          </w:tcPr>
          <w:p>
            <w:pPr>
              <w:spacing w:after="0"/>
              <w:rPr>
                <w:sz w:val="18"/>
                <w:szCs w:val="18"/>
                <w:color w:val="auto"/>
              </w:rPr>
            </w:pPr>
          </w:p>
        </w:tc>
        <w:tc>
          <w:tcPr>
            <w:tcW w:w="9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15,204,734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740" w:type="dxa"/>
            <w:vAlign w:val="bottom"/>
            <w:vMerge w:val="restart"/>
          </w:tcPr>
          <w:p>
            <w:pPr>
              <w:ind w:left="3820"/>
              <w:spacing w:after="0"/>
              <w:rPr>
                <w:sz w:val="20"/>
                <w:szCs w:val="20"/>
                <w:color w:val="auto"/>
              </w:rPr>
            </w:pPr>
            <w:r>
              <w:rPr>
                <w:rFonts w:ascii="Arial" w:cs="Arial" w:eastAsia="Arial" w:hAnsi="Arial"/>
                <w:sz w:val="18"/>
                <w:szCs w:val="18"/>
                <w:color w:val="3E5588"/>
              </w:rPr>
              <w:t>F-21</w:t>
            </w:r>
          </w:p>
        </w:tc>
        <w:tc>
          <w:tcPr>
            <w:tcW w:w="96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57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3E5588"/>
            </w:tcBorders>
          </w:tcPr>
          <w:p>
            <w:pPr>
              <w:spacing w:after="0"/>
              <w:rPr>
                <w:sz w:val="19"/>
                <w:szCs w:val="19"/>
                <w:color w:val="auto"/>
              </w:rPr>
            </w:pPr>
          </w:p>
        </w:tc>
        <w:tc>
          <w:tcPr>
            <w:tcW w:w="5740" w:type="dxa"/>
            <w:vAlign w:val="bottom"/>
            <w:tcBorders>
              <w:bottom w:val="single" w:sz="8" w:color="3E5588"/>
            </w:tcBorders>
          </w:tcPr>
          <w:p>
            <w:pPr>
              <w:spacing w:after="0"/>
              <w:rPr>
                <w:sz w:val="19"/>
                <w:szCs w:val="19"/>
                <w:color w:val="auto"/>
              </w:rPr>
            </w:pPr>
          </w:p>
        </w:tc>
        <w:tc>
          <w:tcPr>
            <w:tcW w:w="96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96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1720" w:type="dxa"/>
            <w:vAlign w:val="bottom"/>
            <w:tcBorders>
              <w:bottom w:val="single" w:sz="8" w:color="3E5588"/>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Grants Under the 2016 Stock Incentive Plan</w:t>
      </w:r>
    </w:p>
    <w:p>
      <w:pPr>
        <w:spacing w:after="0" w:line="225"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3E5588"/>
        </w:rPr>
        <w:t>In July 2016, the Company adopted the 2016 Plan, under which it may grant restricted stock awards, restricted stock units, incentive stock options, non-statutory stock options and other stock-based awards to eligible employees, officers, directors, consultants and advisors.</w:t>
      </w:r>
    </w:p>
    <w:p>
      <w:pPr>
        <w:spacing w:after="0" w:line="186" w:lineRule="exact"/>
        <w:rPr>
          <w:sz w:val="20"/>
          <w:szCs w:val="20"/>
          <w:color w:val="auto"/>
        </w:rPr>
      </w:pPr>
    </w:p>
    <w:p>
      <w:pPr>
        <w:jc w:val="both"/>
        <w:ind w:firstLine="462"/>
        <w:spacing w:after="0" w:line="256" w:lineRule="auto"/>
        <w:rPr>
          <w:sz w:val="20"/>
          <w:szCs w:val="20"/>
          <w:color w:val="auto"/>
        </w:rPr>
      </w:pPr>
      <w:r>
        <w:rPr>
          <w:rFonts w:ascii="Arial" w:cs="Arial" w:eastAsia="Arial" w:hAnsi="Arial"/>
          <w:sz w:val="18"/>
          <w:szCs w:val="18"/>
          <w:color w:val="3E5588"/>
        </w:rPr>
        <w:t>The 2016 Plan is administered by the board of directors or, at the discretion of the board of directors, by a subcommittee of the board of directors. The exercise prices, vesting and other restrictions are determined at the discretion of the board of directors, or their subcommittee if so delegated, except that the exercise price per share of the stock options may not be less than 100% of the fair market value of a share of the Company's Common Stock on the date of grant and the term of the stock options may not be greater than ten years.</w:t>
      </w:r>
    </w:p>
    <w:p>
      <w:pPr>
        <w:spacing w:after="0" w:line="197"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color w:val="3E5588"/>
        </w:rPr>
        <w:t>During the year ended December 31, 2018, the Company granted restricted stock awards and stock options. As of December 31, 2017, the Company had only granted restricted stock awards since its inception. The dates of the Company's valuations of Common Stock have not always coincided with the dates of the restricted stock awards. For financial reporting purposes, the Company performed Common Stock valuations with the assistance of a third-party specialist as of November 30, 2018, August 24, 2018, June 1, 2018, December 31, 2017 and December 31, 2016 to determine stock-based compensation expense for restricted stock awards and stock options.</w:t>
      </w:r>
    </w:p>
    <w:p>
      <w:pPr>
        <w:spacing w:after="0" w:line="197"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color w:val="3E5588"/>
        </w:rPr>
        <w:t>The total number of shares of Common Stock that were authorized for issuance under the 2016 Plan was 1,780,714 as of December 31, 2017. In January 2018, the 2016 Plan was amended to increase the number of shares of Common Stock reserved for issuance under the 2016 Plan by 428,571 shares. In August 2018, the 2016 Plan was amended to increase the number of shares of Common Stock reserved for issuance under the 2016 Plan by 1,000,000 shares. The total number of shares of Common Stock that were authorized for issuance under the 2016 Plan was 3,209,285 as of December 31, 2018. Refer to Note 14 for an additional increase to the number of shares issuable under the 2016 Plan that occurred subsequent to December 31, 2018.</w:t>
      </w:r>
    </w:p>
    <w:p>
      <w:pPr>
        <w:spacing w:after="0" w:line="170" w:lineRule="exact"/>
        <w:rPr>
          <w:sz w:val="20"/>
          <w:szCs w:val="20"/>
          <w:color w:val="auto"/>
        </w:rPr>
      </w:pPr>
    </w:p>
    <w:p>
      <w:pPr>
        <w:jc w:val="both"/>
        <w:ind w:firstLine="482"/>
        <w:spacing w:after="0" w:line="255" w:lineRule="auto"/>
        <w:rPr>
          <w:sz w:val="20"/>
          <w:szCs w:val="20"/>
          <w:color w:val="auto"/>
        </w:rPr>
      </w:pPr>
      <w:r>
        <w:rPr>
          <w:rFonts w:ascii="Arial" w:cs="Arial" w:eastAsia="Arial" w:hAnsi="Arial"/>
          <w:sz w:val="18"/>
          <w:szCs w:val="18"/>
          <w:color w:val="3E5588"/>
        </w:rPr>
        <w:t>During the year ended December 31, 2017, the Company issued 518,387 shares and 5,714 shares of Common Stock to employees and non-employees, respectively, under the 2016 Plan. During the year ended December 31, 2018, the Company issued 256,716 shares of Common Stock to employees under the 2016 Plan. The Company may repurchase unvested shares at the original purchase price if employees or non-employees are terminated or cease their employment or service relationship with the Company. The shares typically vest over a one-year or four-year period.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summarizes the Company's restricted stock activity under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E5588"/>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E5588"/>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3E5588"/>
            </w:tcBorders>
          </w:tcPr>
          <w:p>
            <w:pPr>
              <w:jc w:val="right"/>
              <w:ind w:right="156"/>
              <w:spacing w:after="0"/>
              <w:rPr>
                <w:sz w:val="20"/>
                <w:szCs w:val="20"/>
                <w:color w:val="auto"/>
              </w:rPr>
            </w:pPr>
            <w:r>
              <w:rPr>
                <w:rFonts w:ascii="Arial" w:cs="Arial" w:eastAsia="Arial" w:hAnsi="Arial"/>
                <w:sz w:val="14"/>
                <w:szCs w:val="14"/>
                <w:b w:val="1"/>
                <w:bCs w:val="1"/>
                <w:color w:val="3E5588"/>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3E5588"/>
            </w:tcBorders>
          </w:tcPr>
          <w:p>
            <w:pPr>
              <w:spacing w:after="0"/>
              <w:rPr>
                <w:sz w:val="14"/>
                <w:szCs w:val="14"/>
                <w:color w:val="auto"/>
              </w:rPr>
            </w:pPr>
          </w:p>
        </w:tc>
        <w:tc>
          <w:tcPr>
            <w:tcW w:w="1380" w:type="dxa"/>
            <w:vAlign w:val="bottom"/>
            <w:tcBorders>
              <w:bottom w:val="single" w:sz="8" w:color="3E5588"/>
            </w:tcBorders>
          </w:tcPr>
          <w:p>
            <w:pPr>
              <w:jc w:val="center"/>
              <w:ind w:right="134"/>
              <w:spacing w:after="0"/>
              <w:rPr>
                <w:sz w:val="20"/>
                <w:szCs w:val="20"/>
                <w:color w:val="auto"/>
              </w:rPr>
            </w:pPr>
            <w:r>
              <w:rPr>
                <w:rFonts w:ascii="Arial" w:cs="Arial" w:eastAsia="Arial" w:hAnsi="Arial"/>
                <w:sz w:val="14"/>
                <w:szCs w:val="14"/>
                <w:b w:val="1"/>
                <w:bCs w:val="1"/>
                <w:color w:val="3E5588"/>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947,418</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3E5588"/>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E5588"/>
              </w:rPr>
              <w:t>524,101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3.09</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(365,922)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3E5588"/>
              </w:rPr>
              <w:t>Repurchased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3E5588"/>
              </w:rPr>
              <w:t>(8,036)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2.94</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2017</w:t>
            </w:r>
          </w:p>
        </w:tc>
        <w:tc>
          <w:tcPr>
            <w:tcW w:w="840" w:type="dxa"/>
            <w:vAlign w:val="bottom"/>
            <w:tcBorders>
              <w:top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1,097,561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3.01</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3E5588"/>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E5588"/>
              </w:rPr>
              <w:t>256,716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3.33</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(503,544)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3.05</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3E5588"/>
              </w:rPr>
              <w:t>Repurchased</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3E5588"/>
              </w:rPr>
              <w:t>(93,711)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3.24</w:t>
            </w: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2018</w:t>
            </w:r>
          </w:p>
        </w:tc>
        <w:tc>
          <w:tcPr>
            <w:tcW w:w="840" w:type="dxa"/>
            <w:vAlign w:val="bottom"/>
            <w:tcBorders>
              <w:top w:val="single" w:sz="8" w:color="3E5588"/>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757,022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3.07</w:t>
            </w:r>
          </w:p>
        </w:tc>
      </w:tr>
      <w:tr>
        <w:trPr>
          <w:trHeight w:val="20"/>
        </w:trPr>
        <w:tc>
          <w:tcPr>
            <w:tcW w:w="5220" w:type="dxa"/>
            <w:vAlign w:val="bottom"/>
          </w:tcPr>
          <w:p>
            <w:pPr>
              <w:spacing w:after="0" w:line="20" w:lineRule="exact"/>
              <w:rPr>
                <w:sz w:val="1"/>
                <w:szCs w:val="1"/>
                <w:color w:val="auto"/>
              </w:rPr>
            </w:pPr>
          </w:p>
        </w:tc>
        <w:tc>
          <w:tcPr>
            <w:tcW w:w="84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459"/>
        <w:spacing w:after="0" w:line="332" w:lineRule="auto"/>
        <w:rPr>
          <w:sz w:val="20"/>
          <w:szCs w:val="20"/>
          <w:color w:val="auto"/>
        </w:rPr>
      </w:pPr>
      <w:r>
        <w:rPr>
          <w:rFonts w:ascii="Arial" w:cs="Arial" w:eastAsia="Arial" w:hAnsi="Arial"/>
          <w:sz w:val="16"/>
          <w:szCs w:val="16"/>
          <w:color w:val="3E5588"/>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ind w:left="480"/>
        <w:spacing w:after="0"/>
        <w:rPr>
          <w:sz w:val="20"/>
          <w:szCs w:val="20"/>
          <w:color w:val="auto"/>
        </w:rPr>
      </w:pPr>
      <w:r>
        <w:rPr>
          <w:rFonts w:ascii="Arial" w:cs="Arial" w:eastAsia="Arial" w:hAnsi="Arial"/>
          <w:sz w:val="16"/>
          <w:szCs w:val="16"/>
          <w:color w:val="3E5588"/>
        </w:rPr>
        <w:t>Stock options granted by the Company typically vest over a four year period and have a ten year contractual term. The following table summarizes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3E5588"/>
        </w:rPr>
        <w:t>Company's stock option activity under the 2016 Plan since December 31, 2017:</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3E5588"/>
                <w:w w:val="86"/>
              </w:rPr>
              <w:t>Weighted 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84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3E5588"/>
                <w:w w:val="99"/>
              </w:rPr>
              <w:t>Number of</w:t>
            </w: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E5588"/>
                <w:w w:val="90"/>
              </w:rPr>
              <w:t>Weighted Average</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9"/>
              </w:rPr>
              <w:t>Contractual 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3E5588"/>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40" w:type="dxa"/>
            <w:vAlign w:val="bottom"/>
            <w:tcBorders>
              <w:bottom w:val="single" w:sz="8" w:color="3E5588"/>
            </w:tcBorders>
          </w:tcPr>
          <w:p>
            <w:pPr>
              <w:jc w:val="right"/>
              <w:ind w:right="157"/>
              <w:spacing w:after="0"/>
              <w:rPr>
                <w:sz w:val="20"/>
                <w:szCs w:val="20"/>
                <w:color w:val="auto"/>
              </w:rPr>
            </w:pPr>
            <w:r>
              <w:rPr>
                <w:rFonts w:ascii="Arial" w:cs="Arial" w:eastAsia="Arial" w:hAnsi="Arial"/>
                <w:sz w:val="14"/>
                <w:szCs w:val="14"/>
                <w:b w:val="1"/>
                <w:bCs w:val="1"/>
                <w:color w:val="3E5588"/>
              </w:rPr>
              <w:t>Shares</w:t>
            </w:r>
          </w:p>
        </w:tc>
        <w:tc>
          <w:tcPr>
            <w:tcW w:w="160" w:type="dxa"/>
            <w:vAlign w:val="bottom"/>
          </w:tcPr>
          <w:p>
            <w:pPr>
              <w:spacing w:after="0"/>
              <w:rPr>
                <w:sz w:val="14"/>
                <w:szCs w:val="14"/>
                <w:color w:val="auto"/>
              </w:rPr>
            </w:pPr>
          </w:p>
        </w:tc>
        <w:tc>
          <w:tcPr>
            <w:tcW w:w="140" w:type="dxa"/>
            <w:vAlign w:val="bottom"/>
            <w:tcBorders>
              <w:bottom w:val="single" w:sz="8" w:color="3E5588"/>
            </w:tcBorders>
          </w:tcPr>
          <w:p>
            <w:pPr>
              <w:spacing w:after="0"/>
              <w:rPr>
                <w:sz w:val="14"/>
                <w:szCs w:val="14"/>
                <w:color w:val="auto"/>
              </w:rPr>
            </w:pPr>
          </w:p>
        </w:tc>
        <w:tc>
          <w:tcPr>
            <w:tcW w:w="1060" w:type="dxa"/>
            <w:vAlign w:val="bottom"/>
            <w:tcBorders>
              <w:bottom w:val="single" w:sz="8" w:color="3E5588"/>
            </w:tcBorders>
          </w:tcPr>
          <w:p>
            <w:pPr>
              <w:jc w:val="right"/>
              <w:ind w:right="115"/>
              <w:spacing w:after="0"/>
              <w:rPr>
                <w:sz w:val="20"/>
                <w:szCs w:val="20"/>
                <w:color w:val="auto"/>
              </w:rPr>
            </w:pPr>
            <w:r>
              <w:rPr>
                <w:rFonts w:ascii="Arial" w:cs="Arial" w:eastAsia="Arial" w:hAnsi="Arial"/>
                <w:sz w:val="14"/>
                <w:szCs w:val="14"/>
                <w:b w:val="1"/>
                <w:bCs w:val="1"/>
                <w:color w:val="3E5588"/>
                <w:w w:val="87"/>
              </w:rPr>
              <w:t>Exercise Price</w:t>
            </w:r>
          </w:p>
        </w:tc>
        <w:tc>
          <w:tcPr>
            <w:tcW w:w="160" w:type="dxa"/>
            <w:vAlign w:val="bottom"/>
          </w:tcPr>
          <w:p>
            <w:pPr>
              <w:spacing w:after="0"/>
              <w:rPr>
                <w:sz w:val="14"/>
                <w:szCs w:val="14"/>
                <w:color w:val="auto"/>
              </w:rPr>
            </w:pPr>
          </w:p>
        </w:tc>
        <w:tc>
          <w:tcPr>
            <w:tcW w:w="122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6"/>
              </w:rPr>
              <w:t>(in years)</w:t>
            </w:r>
          </w:p>
        </w:tc>
        <w:tc>
          <w:tcPr>
            <w:tcW w:w="1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960" w:type="dxa"/>
            <w:vAlign w:val="bottom"/>
            <w:tcBorders>
              <w:bottom w:val="single" w:sz="8" w:color="3E5588"/>
            </w:tcBorders>
          </w:tcPr>
          <w:p>
            <w:pPr>
              <w:jc w:val="right"/>
              <w:ind w:right="20"/>
              <w:spacing w:after="0"/>
              <w:rPr>
                <w:sz w:val="20"/>
                <w:szCs w:val="20"/>
                <w:color w:val="auto"/>
              </w:rPr>
            </w:pPr>
            <w:r>
              <w:rPr>
                <w:rFonts w:ascii="Arial" w:cs="Arial" w:eastAsia="Arial" w:hAnsi="Arial"/>
                <w:sz w:val="14"/>
                <w:szCs w:val="14"/>
                <w:b w:val="1"/>
                <w:bCs w:val="1"/>
                <w:color w:val="3E5588"/>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3E5588"/>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3E5588"/>
              </w:rPr>
              <w:t>Granted</w:t>
            </w:r>
          </w:p>
        </w:tc>
        <w:tc>
          <w:tcPr>
            <w:tcW w:w="840" w:type="dxa"/>
            <w:vAlign w:val="bottom"/>
          </w:tcPr>
          <w:p>
            <w:pPr>
              <w:jc w:val="right"/>
              <w:spacing w:after="0"/>
              <w:rPr>
                <w:sz w:val="20"/>
                <w:szCs w:val="20"/>
                <w:color w:val="auto"/>
              </w:rPr>
            </w:pPr>
            <w:r>
              <w:rPr>
                <w:rFonts w:ascii="Arial" w:cs="Arial" w:eastAsia="Arial" w:hAnsi="Arial"/>
                <w:sz w:val="18"/>
                <w:szCs w:val="18"/>
                <w:color w:val="3E5588"/>
              </w:rPr>
              <w:t>507,891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3E5588"/>
              </w:rPr>
              <w:t>7.12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3E5588"/>
              </w:rPr>
              <w:t>Cancelled</w:t>
            </w:r>
          </w:p>
        </w:tc>
        <w:tc>
          <w:tcPr>
            <w:tcW w:w="84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3E5588"/>
              </w:rPr>
              <w:t>Outstanding at December 31, 2018</w:t>
            </w:r>
          </w:p>
        </w:tc>
        <w:tc>
          <w:tcPr>
            <w:tcW w:w="84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507,891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3E5588"/>
              </w:rPr>
              <w:t>Exercisable at December 31, 2018</w:t>
            </w:r>
          </w:p>
        </w:tc>
        <w:tc>
          <w:tcPr>
            <w:tcW w:w="840" w:type="dxa"/>
            <w:vAlign w:val="bottom"/>
            <w:tcBorders>
              <w:bottom w:val="single" w:sz="8" w:color="3E5588"/>
            </w:tcBorders>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3E5588"/>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3E5588"/>
              </w:rPr>
              <w:t>4.83</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3E5588"/>
              </w:rPr>
              <w:t>9.48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3E5588"/>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3E5588"/>
              </w:rPr>
              <w:t>44,158</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vMerge w:val="continue"/>
          </w:tcPr>
          <w:p>
            <w:pPr>
              <w:spacing w:after="0"/>
              <w:rPr>
                <w:sz w:val="17"/>
                <w:szCs w:val="17"/>
                <w:color w:val="auto"/>
              </w:rPr>
            </w:pPr>
          </w:p>
        </w:tc>
        <w:tc>
          <w:tcPr>
            <w:tcW w:w="84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14,667</w:t>
            </w:r>
          </w:p>
        </w:tc>
        <w:tc>
          <w:tcPr>
            <w:tcW w:w="300" w:type="dxa"/>
            <w:vAlign w:val="bottom"/>
            <w:gridSpan w:val="2"/>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515"/>
        <w:spacing w:after="0" w:line="332" w:lineRule="auto"/>
        <w:rPr>
          <w:sz w:val="20"/>
          <w:szCs w:val="20"/>
          <w:color w:val="auto"/>
        </w:rPr>
      </w:pPr>
      <w:r>
        <w:rPr>
          <w:rFonts w:ascii="Arial" w:cs="Arial" w:eastAsia="Arial" w:hAnsi="Arial"/>
          <w:sz w:val="16"/>
          <w:szCs w:val="16"/>
          <w:color w:val="3E5588"/>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ind w:firstLine="360"/>
        <w:spacing w:after="0" w:line="268" w:lineRule="auto"/>
        <w:rPr>
          <w:sz w:val="20"/>
          <w:szCs w:val="20"/>
          <w:color w:val="auto"/>
        </w:rPr>
      </w:pPr>
      <w:r>
        <w:rPr>
          <w:rFonts w:ascii="Arial" w:cs="Arial" w:eastAsia="Arial" w:hAnsi="Arial"/>
          <w:sz w:val="18"/>
          <w:szCs w:val="18"/>
          <w:color w:val="3E5588"/>
        </w:rPr>
        <w:t>The weighted average grant date fair value of stock options granted in the year ended December 31, 2018 was $5.06 per share. As of December 31, 2018, no stock options have been exercised since inception.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8. Stock-based Compensation Expense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The fair value of stock options granted during the year ended December 31, 2018 under the 2016 Plan has been calculated on the date of grant using the following weighted average assumptions: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E5588"/>
                <w:w w:val="88"/>
              </w:rPr>
              <w:t>Year Ended</w:t>
            </w:r>
          </w:p>
        </w:tc>
      </w:tr>
      <w:tr>
        <w:trPr>
          <w:trHeight w:val="161"/>
        </w:trPr>
        <w:tc>
          <w:tcPr>
            <w:tcW w:w="6540" w:type="dxa"/>
            <w:vAlign w:val="bottom"/>
          </w:tcPr>
          <w:p>
            <w:pPr>
              <w:spacing w:after="0"/>
              <w:rPr>
                <w:sz w:val="14"/>
                <w:szCs w:val="14"/>
                <w:color w:val="auto"/>
              </w:rPr>
            </w:pPr>
          </w:p>
        </w:tc>
        <w:tc>
          <w:tcPr>
            <w:tcW w:w="128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5"/>
              </w:rPr>
              <w:t>December 31, 2018</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E5588"/>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2.8%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3E5588"/>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3E5588"/>
              </w:rPr>
              <w:t>0.0%</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E5588"/>
              </w:rPr>
              <w:t>Expected term (years)</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6.1</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3E5588"/>
              </w:rPr>
              <w:t>Expected stock price volatility</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3E5588"/>
              </w:rPr>
              <w:t>81.6%</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Grants Outside the 2016 Stock Incentive Plan</w:t>
      </w:r>
    </w:p>
    <w:p>
      <w:pPr>
        <w:spacing w:after="0" w:line="225"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3E5588"/>
        </w:rPr>
        <w:t>During July 2016, the Company issued 724,997 shares and 65,713 shares of Common Stock outside of the Company's 2016 Plan to non-employee founders and certain advisors, respectively. The shares were issued under the terms of restricted stock agreements between the Company and such holders, and the unvested shares are subject to repurchase by the Company upon the termination of the holder's relationship with the Company. Of the total shares issued to non-employee founders, 82,141 vested immediately upon grant; 357,141 vest quarterly over a four-year period based on each holder's continued service relationship with the Company; and 285,715 vest in equal quarterly installments over a period of one year, commencing with the first quarter after the four-year anniversary of the date of the respective non-employee founder's agreement, based on each holder's continued service relationship with the Company. Of the shares issued to non-employee advisors, 34,285 shares vest in equal quarterly installments over four years, 28,571 of the shares vest in equal quarterly installments over a period of two years upon the achievement of certain performance-based milestones, and 2,857 shares vested immediately upon grant. Stock-based compensation expense associated with the performance-based awards is recognized if the performance condition is considered probable of achievement using management's best estimates.</w:t>
      </w:r>
    </w:p>
    <w:p>
      <w:pPr>
        <w:spacing w:after="0" w:line="177" w:lineRule="exact"/>
        <w:rPr>
          <w:sz w:val="20"/>
          <w:szCs w:val="20"/>
          <w:color w:val="auto"/>
        </w:rPr>
      </w:pPr>
    </w:p>
    <w:p>
      <w:pPr>
        <w:jc w:val="both"/>
        <w:ind w:firstLine="411"/>
        <w:spacing w:after="0" w:line="255" w:lineRule="auto"/>
        <w:rPr>
          <w:sz w:val="20"/>
          <w:szCs w:val="20"/>
          <w:color w:val="auto"/>
        </w:rPr>
      </w:pPr>
      <w:r>
        <w:rPr>
          <w:rFonts w:ascii="Arial" w:cs="Arial" w:eastAsia="Arial" w:hAnsi="Arial"/>
          <w:sz w:val="18"/>
          <w:szCs w:val="18"/>
          <w:color w:val="3E5588"/>
        </w:rPr>
        <w:t>During the year ended December 31, 2017, management concluded that the milestone associated with 28,571 shares of performance-based restricted stock was probable of achievement, and therefore the Company began to record stock-based compensation expense using the accelerated attribution method. The milestone was subsequently achieved during the year ended December 31, 2018. The Company recorded $0.1 million and less than $0.1 million of stock-based compensation expense for non-employee performance-based awards during the years ended December 31, 2017 and 2018, respectively. The shares are recorded in stockholders' (deficit) equity as they vest.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summarizes the Company's restricted stock activity outside of the 2016 Plan:</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E5588"/>
                <w:w w:val="97"/>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E5588"/>
                <w:w w:val="88"/>
              </w:rPr>
              <w:t>Weighted Average Grant</w:t>
            </w:r>
          </w:p>
        </w:tc>
      </w:tr>
      <w:tr>
        <w:trPr>
          <w:trHeight w:val="161"/>
        </w:trPr>
        <w:tc>
          <w:tcPr>
            <w:tcW w:w="5280" w:type="dxa"/>
            <w:vAlign w:val="bottom"/>
          </w:tcPr>
          <w:p>
            <w:pPr>
              <w:spacing w:after="0"/>
              <w:rPr>
                <w:sz w:val="14"/>
                <w:szCs w:val="14"/>
                <w:color w:val="auto"/>
              </w:rPr>
            </w:pPr>
          </w:p>
        </w:tc>
        <w:tc>
          <w:tcPr>
            <w:tcW w:w="780" w:type="dxa"/>
            <w:vAlign w:val="bottom"/>
            <w:tcBorders>
              <w:bottom w:val="single" w:sz="8" w:color="3E5588"/>
            </w:tcBorders>
          </w:tcPr>
          <w:p>
            <w:pPr>
              <w:jc w:val="right"/>
              <w:ind w:right="116"/>
              <w:spacing w:after="0"/>
              <w:rPr>
                <w:sz w:val="20"/>
                <w:szCs w:val="20"/>
                <w:color w:val="auto"/>
              </w:rPr>
            </w:pPr>
            <w:r>
              <w:rPr>
                <w:rFonts w:ascii="Arial" w:cs="Arial" w:eastAsia="Arial" w:hAnsi="Arial"/>
                <w:sz w:val="14"/>
                <w:szCs w:val="14"/>
                <w:b w:val="1"/>
                <w:bCs w:val="1"/>
                <w:color w:val="3E5588"/>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3E5588"/>
            </w:tcBorders>
          </w:tcPr>
          <w:p>
            <w:pPr>
              <w:spacing w:after="0"/>
              <w:rPr>
                <w:sz w:val="14"/>
                <w:szCs w:val="14"/>
                <w:color w:val="auto"/>
              </w:rPr>
            </w:pPr>
          </w:p>
        </w:tc>
        <w:tc>
          <w:tcPr>
            <w:tcW w:w="1380" w:type="dxa"/>
            <w:vAlign w:val="bottom"/>
            <w:tcBorders>
              <w:bottom w:val="single" w:sz="8" w:color="3E5588"/>
            </w:tcBorders>
          </w:tcPr>
          <w:p>
            <w:pPr>
              <w:jc w:val="center"/>
              <w:ind w:right="134"/>
              <w:spacing w:after="0"/>
              <w:rPr>
                <w:sz w:val="20"/>
                <w:szCs w:val="20"/>
                <w:color w:val="auto"/>
              </w:rPr>
            </w:pPr>
            <w:r>
              <w:rPr>
                <w:rFonts w:ascii="Arial" w:cs="Arial" w:eastAsia="Arial" w:hAnsi="Arial"/>
                <w:sz w:val="14"/>
                <w:szCs w:val="14"/>
                <w:b w:val="1"/>
                <w:bCs w:val="1"/>
                <w:color w:val="3E5588"/>
                <w:w w:val="90"/>
              </w:rPr>
              <w:t>Date Fair Value</w:t>
            </w:r>
          </w:p>
        </w:tc>
        <w:tc>
          <w:tcPr>
            <w:tcW w:w="16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656,788</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3E5588"/>
              </w:rPr>
              <w:t>Granted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(97,856)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3E5588"/>
              </w:rPr>
              <w:t>Repurchased</w:t>
            </w:r>
          </w:p>
        </w:tc>
        <w:tc>
          <w:tcPr>
            <w:tcW w:w="7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558,932</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3E5588"/>
              </w:rPr>
              <w:t>Granted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(112,143)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3E5588"/>
              </w:rPr>
              <w:t>Repurchased</w:t>
            </w:r>
          </w:p>
        </w:tc>
        <w:tc>
          <w:tcPr>
            <w:tcW w:w="7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446,789</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0"/>
        </w:trPr>
        <w:tc>
          <w:tcPr>
            <w:tcW w:w="5280" w:type="dxa"/>
            <w:vAlign w:val="bottom"/>
          </w:tcPr>
          <w:p>
            <w:pPr>
              <w:spacing w:after="0" w:line="20" w:lineRule="exact"/>
              <w:rPr>
                <w:sz w:val="1"/>
                <w:szCs w:val="1"/>
                <w:color w:val="auto"/>
              </w:rPr>
            </w:pPr>
          </w:p>
        </w:tc>
        <w:tc>
          <w:tcPr>
            <w:tcW w:w="7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575"/>
        <w:spacing w:after="0" w:line="268" w:lineRule="auto"/>
        <w:rPr>
          <w:sz w:val="20"/>
          <w:szCs w:val="20"/>
          <w:color w:val="auto"/>
        </w:rPr>
      </w:pPr>
      <w:r>
        <w:rPr>
          <w:rFonts w:ascii="Arial" w:cs="Arial" w:eastAsia="Arial" w:hAnsi="Arial"/>
          <w:sz w:val="18"/>
          <w:szCs w:val="18"/>
          <w:color w:val="3E5588"/>
        </w:rPr>
        <w:t>The aggregate intrinsic value of all restricted stock awards that vested during the years ended December 31, 2017 and 2018 was $1.5 million and $3.4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3E5588"/>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Arial" w:cs="Arial" w:eastAsia="Arial" w:hAnsi="Arial"/>
                <w:sz w:val="14"/>
                <w:szCs w:val="14"/>
                <w:b w:val="1"/>
                <w:bCs w:val="1"/>
                <w:color w:val="3E5588"/>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3E5588"/>
                <w:w w:val="88"/>
              </w:rPr>
              <w:t>Year Ended</w:t>
            </w:r>
          </w:p>
        </w:tc>
      </w:tr>
      <w:tr>
        <w:trPr>
          <w:trHeight w:val="161"/>
        </w:trPr>
        <w:tc>
          <w:tcPr>
            <w:tcW w:w="3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1200" w:type="dxa"/>
            <w:vAlign w:val="bottom"/>
            <w:tcBorders>
              <w:bottom w:val="single" w:sz="8" w:color="3E5588"/>
            </w:tcBorders>
          </w:tcPr>
          <w:p>
            <w:pPr>
              <w:jc w:val="right"/>
              <w:ind w:right="20"/>
              <w:spacing w:after="0"/>
              <w:rPr>
                <w:sz w:val="20"/>
                <w:szCs w:val="20"/>
                <w:color w:val="auto"/>
              </w:rPr>
            </w:pPr>
            <w:r>
              <w:rPr>
                <w:rFonts w:ascii="Arial" w:cs="Arial" w:eastAsia="Arial" w:hAnsi="Arial"/>
                <w:sz w:val="14"/>
                <w:szCs w:val="14"/>
                <w:b w:val="1"/>
                <w:bCs w:val="1"/>
                <w:color w:val="3E5588"/>
                <w:w w:val="85"/>
              </w:rPr>
              <w:t>December 31, 2017</w:t>
            </w:r>
          </w:p>
        </w:tc>
        <w:tc>
          <w:tcPr>
            <w:tcW w:w="16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1180" w:type="dxa"/>
            <w:vAlign w:val="bottom"/>
            <w:tcBorders>
              <w:bottom w:val="single" w:sz="8" w:color="3E5588"/>
            </w:tcBorders>
          </w:tcPr>
          <w:p>
            <w:pPr>
              <w:jc w:val="center"/>
              <w:ind w:right="20"/>
              <w:spacing w:after="0"/>
              <w:rPr>
                <w:sz w:val="20"/>
                <w:szCs w:val="20"/>
                <w:color w:val="auto"/>
              </w:rPr>
            </w:pPr>
            <w:r>
              <w:rPr>
                <w:rFonts w:ascii="Arial" w:cs="Arial" w:eastAsia="Arial" w:hAnsi="Arial"/>
                <w:sz w:val="14"/>
                <w:szCs w:val="14"/>
                <w:b w:val="1"/>
                <w:bCs w:val="1"/>
                <w:color w:val="3E5588"/>
                <w:w w:val="85"/>
              </w:rPr>
              <w:t>December 31, 2018</w:t>
            </w:r>
          </w:p>
        </w:tc>
        <w:tc>
          <w:tcPr>
            <w:tcW w:w="16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E5588"/>
              </w:rPr>
              <w:t>Research and development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804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1,124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3E5588"/>
              </w:rPr>
              <w:t>General and administrative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3E5588"/>
              </w:rPr>
              <w:t>567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3E5588"/>
              </w:rPr>
              <w:t>1,035</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12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11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3E5588"/>
              </w:rPr>
              <w:t>Total stock-based compensation expense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1,371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2,159</w:t>
            </w: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12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11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1"/>
        <w:spacing w:after="0" w:line="268" w:lineRule="auto"/>
        <w:rPr>
          <w:sz w:val="20"/>
          <w:szCs w:val="20"/>
          <w:color w:val="auto"/>
        </w:rPr>
      </w:pPr>
      <w:r>
        <w:rPr>
          <w:rFonts w:ascii="Arial" w:cs="Arial" w:eastAsia="Arial" w:hAnsi="Arial"/>
          <w:sz w:val="18"/>
          <w:szCs w:val="18"/>
          <w:color w:val="3E5588"/>
        </w:rPr>
        <w:t>As of December 31, 2018, the Company had an aggregate of $5.6 million of unrecognized stock-based compensation expense, which is expected to be recognized over a weighted average period of 2.94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Operating Leases</w:t>
      </w:r>
    </w:p>
    <w:p>
      <w:pPr>
        <w:spacing w:after="0" w:line="225" w:lineRule="exact"/>
        <w:rPr>
          <w:sz w:val="20"/>
          <w:szCs w:val="20"/>
          <w:color w:val="auto"/>
        </w:rPr>
      </w:pPr>
    </w:p>
    <w:p>
      <w:pPr>
        <w:jc w:val="both"/>
        <w:ind w:firstLine="491"/>
        <w:spacing w:after="0" w:line="291" w:lineRule="auto"/>
        <w:rPr>
          <w:sz w:val="20"/>
          <w:szCs w:val="20"/>
          <w:color w:val="auto"/>
        </w:rPr>
      </w:pPr>
      <w:r>
        <w:rPr>
          <w:rFonts w:ascii="Arial" w:cs="Arial" w:eastAsia="Arial" w:hAnsi="Arial"/>
          <w:sz w:val="16"/>
          <w:szCs w:val="16"/>
          <w:color w:val="3E5588"/>
        </w:rPr>
        <w:t>In May 2016, the Company entered into a sublease agreement for approximately 8,143 square feet of office and laboratory space at its prior corporate headquarters in Cambridge, Massachusetts. The sublease commenced during June 2016. The Company had the option to extend the sublease until June 30, 2019, subject to the landlord's own need for the space. During June 2017, the Company exercised its option to extend the sublease through June 30, 2019. During February 2018, the Company amended its sublease agreement to reduce the term of the sublease to June 30, 2018. The Company recorded rent expense for this sublease on a straight-line basis. Rent expense associated with this sublease for the years ended December 31, 2017 and 2018 was $0.5 million and $0.3 million, respectively. The sublease for this space terminated on June 30,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9. Commitments and Contingencies (Continued)</w:t>
      </w:r>
    </w:p>
    <w:p>
      <w:pPr>
        <w:spacing w:after="0" w:line="231" w:lineRule="exact"/>
        <w:rPr>
          <w:sz w:val="20"/>
          <w:szCs w:val="20"/>
          <w:color w:val="auto"/>
        </w:rPr>
      </w:pPr>
    </w:p>
    <w:p>
      <w:pPr>
        <w:jc w:val="both"/>
        <w:ind w:firstLine="430"/>
        <w:spacing w:after="0" w:line="286" w:lineRule="auto"/>
        <w:rPr>
          <w:sz w:val="20"/>
          <w:szCs w:val="20"/>
          <w:color w:val="auto"/>
        </w:rPr>
      </w:pPr>
      <w:r>
        <w:rPr>
          <w:rFonts w:ascii="Arial" w:cs="Arial" w:eastAsia="Arial" w:hAnsi="Arial"/>
          <w:sz w:val="16"/>
          <w:szCs w:val="16"/>
          <w:color w:val="3E5588"/>
        </w:rPr>
        <w:t>In November 2017, the Company entered into a lease agreement for its current corporate headquarters for approximately 28,731 square feet of office and laboratory space in Cambridge, Massachusetts, commencing December 2017. The Company began recognizing rent expense associated with this lease during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Company accounts for leasehold improvement incentives as a reduction to rent expense ratably over the lease term. The balance from the leasehold improvement incentives is classified as a deferred lease incentive on the balance sheet. As of December 31, 2017, the Company had not incurred leasehold improvement costs that are subject to reimbursement by the landlord, and therefore no lease incentive obligation was recorded on the balance sheet. The lease agreement requires the Company to either pay a security deposit or maintain a letter of credit of $1.1 million. The Company obtained a letter of credit for this lease in April 2018 and has recorded the cash held to secure the letter of credit as restricted cash on the consolidated balance sheet as of December 31, 2018. The Company records rent expense for this lease on a straight-line basis. Rent expense associated with this lease for the years ended December 31, 2017 and 2018 was approximately $0.2 million and $1.9 million, respectively.</w:t>
      </w:r>
    </w:p>
    <w:p>
      <w:pPr>
        <w:spacing w:after="0" w:line="175"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3E5588"/>
        </w:rPr>
        <w:t>The future minimum lease payments associated with the lease for the Company's current headquarters as of December 31, 2018 are as follows (in thousands):</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3E5588"/>
              </w:rPr>
              <w:t>2019</w:t>
            </w: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3E5588"/>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2,219</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3E5588"/>
              </w:rPr>
              <w:t>2020</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3E5588"/>
              </w:rPr>
              <w:t>2,285</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3E5588"/>
              </w:rPr>
              <w:t>2021</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2,354</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3E5588"/>
              </w:rPr>
              <w:t>2022</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3E5588"/>
              </w:rPr>
              <w:t>2,424</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3E5588"/>
              </w:rPr>
              <w:t>2023</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2,497</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3E5588"/>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3E5588"/>
                <w:w w:val="94"/>
              </w:rPr>
              <w:t>12,187</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3E5588"/>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3E5588"/>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w w:val="94"/>
              </w:rPr>
              <w:t>23,966</w:t>
            </w:r>
          </w:p>
        </w:tc>
      </w:tr>
      <w:tr>
        <w:trPr>
          <w:trHeight w:val="20"/>
        </w:trPr>
        <w:tc>
          <w:tcPr>
            <w:tcW w:w="4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54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3E5588"/>
        </w:rPr>
        <w:t>The Company has agreements with third parties in the normal course of business under which it can license certain developed technologies. If the Company exercises its rights to license the technologies it may be subject to additional fees and milestone payments. As of December 31, 2018,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Indemnification Agreements</w:t>
      </w:r>
    </w:p>
    <w:p>
      <w:pPr>
        <w:spacing w:after="0" w:line="225"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6"/>
          <w:szCs w:val="16"/>
          <w:color w:val="3E5588"/>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9. Commitments and Contingencies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E5588"/>
        </w:rPr>
        <w:t>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2017 or 2018.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3E5588"/>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for the years ended December 31, 2017 and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10. Income Taxes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3E5588"/>
        </w:rPr>
        <w:t>A reconciliation of the U.S. federal statutory income tax rate to the Company's effective income tax rate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3E5588"/>
              </w:rPr>
              <w:t>Year Ended</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E5588"/>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3E5588"/>
            </w:tcBorders>
          </w:tcPr>
          <w:p>
            <w:pPr>
              <w:jc w:val="right"/>
              <w:ind w:right="17"/>
              <w:spacing w:after="0"/>
              <w:rPr>
                <w:sz w:val="20"/>
                <w:szCs w:val="20"/>
                <w:color w:val="auto"/>
              </w:rPr>
            </w:pPr>
            <w:r>
              <w:rPr>
                <w:rFonts w:ascii="Arial" w:cs="Arial" w:eastAsia="Arial" w:hAnsi="Arial"/>
                <w:sz w:val="14"/>
                <w:szCs w:val="14"/>
                <w:b w:val="1"/>
                <w:bCs w:val="1"/>
                <w:color w:val="3E5588"/>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E5588"/>
              </w:rPr>
              <w:t>Federal income tax (benefit) at statutory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34.00%</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21.00%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3E5588"/>
              </w:rPr>
              <w:t>Permanent differences</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3E5588"/>
              </w:rPr>
              <w:t>(3.64)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3E5588"/>
              </w:rPr>
              <w:t>(1.37)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E5588"/>
              </w:rPr>
              <w:t>Federal and state research and development credits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4.81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3.15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3E5588"/>
              </w:rPr>
              <w:t>State income tax, net of federal benefit</w:t>
            </w:r>
          </w:p>
        </w:tc>
        <w:tc>
          <w:tcPr>
            <w:tcW w:w="1280" w:type="dxa"/>
            <w:vAlign w:val="bottom"/>
          </w:tcPr>
          <w:p>
            <w:pPr>
              <w:jc w:val="right"/>
              <w:spacing w:after="0"/>
              <w:rPr>
                <w:sz w:val="20"/>
                <w:szCs w:val="20"/>
                <w:color w:val="auto"/>
              </w:rPr>
            </w:pPr>
            <w:r>
              <w:rPr>
                <w:rFonts w:ascii="Arial" w:cs="Arial" w:eastAsia="Arial" w:hAnsi="Arial"/>
                <w:sz w:val="18"/>
                <w:szCs w:val="18"/>
                <w:color w:val="3E5588"/>
              </w:rPr>
              <w:t>4.88</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3E5588"/>
              </w:rPr>
              <w:t>5.77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E5588"/>
              </w:rPr>
              <w:t>Impact of U.S. tax reform</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(16.25)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3E5588"/>
              </w:rPr>
              <w:t>Change in valuation allowance</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3E5588"/>
              </w:rPr>
              <w:t>(23.80)</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3E5588"/>
              </w:rPr>
              <w:t>(28.55)</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E5588"/>
              </w:rPr>
              <w:t>Effective income tax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84"/>
        <w:spacing w:after="0" w:line="268" w:lineRule="auto"/>
        <w:rPr>
          <w:sz w:val="20"/>
          <w:szCs w:val="20"/>
          <w:color w:val="auto"/>
        </w:rPr>
      </w:pPr>
      <w:r>
        <w:rPr>
          <w:rFonts w:ascii="Arial" w:cs="Arial" w:eastAsia="Arial" w:hAnsi="Arial"/>
          <w:sz w:val="18"/>
          <w:szCs w:val="18"/>
          <w:color w:val="3E5588"/>
        </w:rPr>
        <w:t>During the years ended December 31, 2017 and 2018, the Company incurred book and tax losses and, because it maintains a full valuation allowance on its net deferred tax assets, did not recognize federal or state income tax expense or benefit.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10.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Company's deferred tax assets and liabilities consist of the following (in thousands):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3E5588"/>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3E5588"/>
                <w:w w:val="84"/>
              </w:rPr>
              <w:t>December 31, 2018</w:t>
            </w: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3E5588"/>
              </w:rPr>
              <w:t>Deferred tax assets:</w:t>
            </w:r>
          </w:p>
        </w:tc>
        <w:tc>
          <w:tcPr>
            <w:tcW w:w="780" w:type="dxa"/>
            <w:vAlign w:val="bottom"/>
            <w:shd w:val="clear" w:color="auto" w:fill="CCEEFF"/>
          </w:tcPr>
          <w:p>
            <w:pPr>
              <w:spacing w:after="0"/>
              <w:rPr>
                <w:sz w:val="18"/>
                <w:szCs w:val="18"/>
                <w:color w:val="auto"/>
              </w:rPr>
            </w:pPr>
          </w:p>
        </w:tc>
        <w:tc>
          <w:tcPr>
            <w:tcW w:w="80" w:type="dxa"/>
            <w:vAlign w:val="bottom"/>
            <w:tcBorders>
              <w:top w:val="single" w:sz="8" w:color="3E5588"/>
            </w:tcBorders>
            <w:shd w:val="clear" w:color="auto" w:fill="CCEEFF"/>
          </w:tcPr>
          <w:p>
            <w:pPr>
              <w:spacing w:after="0"/>
              <w:rPr>
                <w:sz w:val="18"/>
                <w:szCs w:val="18"/>
                <w:color w:val="auto"/>
              </w:rPr>
            </w:pPr>
          </w:p>
        </w:tc>
        <w:tc>
          <w:tcPr>
            <w:tcW w:w="120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3E5588"/>
            </w:tcBorders>
            <w:shd w:val="clear" w:color="auto" w:fill="CCEEFF"/>
          </w:tcPr>
          <w:p>
            <w:pPr>
              <w:spacing w:after="0"/>
              <w:rPr>
                <w:sz w:val="18"/>
                <w:szCs w:val="18"/>
                <w:color w:val="auto"/>
              </w:rPr>
            </w:pPr>
          </w:p>
        </w:tc>
        <w:tc>
          <w:tcPr>
            <w:tcW w:w="118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3E5588"/>
              </w:rPr>
              <w:t>Net operating loss carryforwards</w:t>
            </w:r>
          </w:p>
        </w:tc>
        <w:tc>
          <w:tcPr>
            <w:tcW w:w="8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200" w:type="dxa"/>
            <w:vAlign w:val="bottom"/>
          </w:tcPr>
          <w:p>
            <w:pPr>
              <w:jc w:val="right"/>
              <w:spacing w:after="0"/>
              <w:rPr>
                <w:sz w:val="20"/>
                <w:szCs w:val="20"/>
                <w:color w:val="auto"/>
              </w:rPr>
            </w:pPr>
            <w:r>
              <w:rPr>
                <w:rFonts w:ascii="Arial" w:cs="Arial" w:eastAsia="Arial" w:hAnsi="Arial"/>
                <w:sz w:val="18"/>
                <w:szCs w:val="18"/>
                <w:color w:val="3E5588"/>
              </w:rPr>
              <w:t>8,493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3E5588"/>
              </w:rPr>
              <w:t>16,566</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Research and development credit carryforwards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1,475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2,503</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3E5588"/>
              </w:rPr>
              <w:t>Accrued expenses and other</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3E5588"/>
              </w:rPr>
              <w:t>336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3E5588"/>
              </w:rPr>
              <w:t>457</w:t>
            </w:r>
          </w:p>
        </w:tc>
      </w:tr>
      <w:tr>
        <w:trPr>
          <w:trHeight w:val="216"/>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Deferred lease incentive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1,218</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3E5588"/>
              </w:rPr>
              <w:t>Deferred rent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3E5588"/>
              </w:rPr>
              <w:t>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3E5588"/>
              </w:rPr>
              <w:t>383</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12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11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3E5588"/>
              </w:rPr>
              <w:t>Gross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10,358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21,127</w:t>
            </w:r>
          </w:p>
        </w:tc>
      </w:tr>
      <w:tr>
        <w:trPr>
          <w:trHeight w:val="216"/>
        </w:trPr>
        <w:tc>
          <w:tcPr>
            <w:tcW w:w="4320" w:type="dxa"/>
            <w:vAlign w:val="bottom"/>
          </w:tcPr>
          <w:p>
            <w:pPr>
              <w:ind w:left="180"/>
              <w:spacing w:after="0"/>
              <w:rPr>
                <w:sz w:val="20"/>
                <w:szCs w:val="20"/>
                <w:color w:val="auto"/>
              </w:rPr>
            </w:pPr>
            <w:r>
              <w:rPr>
                <w:rFonts w:ascii="Arial" w:cs="Arial" w:eastAsia="Arial" w:hAnsi="Arial"/>
                <w:sz w:val="18"/>
                <w:szCs w:val="18"/>
                <w:color w:val="3E5588"/>
              </w:rPr>
              <w:t>Valuation allowance</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3E5588"/>
              </w:rPr>
              <w:t>(10,293)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3E5588"/>
              </w:rPr>
              <w:t>(19,592)</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12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11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3E5588"/>
              </w:rPr>
              <w:t>Net deferred tax assets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1,535</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3E5588"/>
              </w:rPr>
              <w:t>Deferred tax liability</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3E5588"/>
              </w:rPr>
              <w:t>(65)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3E5588"/>
              </w:rPr>
              <w:t>(1,535)</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3E5588"/>
          </w:tcPr>
          <w:p>
            <w:pPr>
              <w:spacing w:after="0" w:line="20" w:lineRule="exact"/>
              <w:rPr>
                <w:sz w:val="1"/>
                <w:szCs w:val="1"/>
                <w:color w:val="auto"/>
              </w:rPr>
            </w:pPr>
          </w:p>
        </w:tc>
        <w:tc>
          <w:tcPr>
            <w:tcW w:w="12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11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3E5588"/>
              </w:rPr>
              <w:t>Net deferred tax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r>
      <w:tr>
        <w:trPr>
          <w:trHeight w:val="20"/>
        </w:trPr>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12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11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3E5588"/>
        </w:rPr>
        <w:t>The Company has evaluated the positive and negative evidence bearing upon its ability to realize the deferred tax assets. The Company considered its history of cumulative net losses incurred since inception and its lack of commercialization of any products since inception and has concluded that it is more likely than not that the Company will not realize the benefits of the deferred tax assets. Accordingly, a full valuation allowance has been established against the net deferred tax assets as of December 31, 2017 and 2018. The Company reevaluates the positive and negative evidence at each reporting period.</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3E5588"/>
        </w:rPr>
        <w:t>As of December 31, 2018, the Company had federal net operating loss carryforwards of approximately $60.7 million which begin to expire in 2035. Approximately $29.7 million of the federal net operating losses can be carried forward indefinitely. As of December 31, 2018, the Company also had state net operating loss carryforwards of approximately $60.5 million, which begin to expire in 2035.</w:t>
      </w:r>
    </w:p>
    <w:p>
      <w:pPr>
        <w:spacing w:after="0" w:line="194" w:lineRule="exact"/>
        <w:rPr>
          <w:sz w:val="20"/>
          <w:szCs w:val="20"/>
          <w:color w:val="auto"/>
        </w:rPr>
      </w:pPr>
    </w:p>
    <w:p>
      <w:pPr>
        <w:jc w:val="both"/>
        <w:ind w:firstLine="349"/>
        <w:spacing w:after="0" w:line="259" w:lineRule="auto"/>
        <w:rPr>
          <w:sz w:val="20"/>
          <w:szCs w:val="20"/>
          <w:color w:val="auto"/>
        </w:rPr>
      </w:pPr>
      <w:r>
        <w:rPr>
          <w:rFonts w:ascii="Arial" w:cs="Arial" w:eastAsia="Arial" w:hAnsi="Arial"/>
          <w:sz w:val="18"/>
          <w:szCs w:val="18"/>
          <w:color w:val="3E5588"/>
        </w:rPr>
        <w:t>As of December 31, 2018, the Company had federal research and development tax credit carryforwards of approximately $1.5 million, which begin to expire in 2035. As of December 31, 2018, the Company also had state research and development tax credit carryforwards of approximately $1.3 million, which begin to expire in 2035.</w:t>
      </w:r>
    </w:p>
    <w:p>
      <w:pPr>
        <w:spacing w:after="0" w:line="194" w:lineRule="exact"/>
        <w:rPr>
          <w:sz w:val="20"/>
          <w:szCs w:val="20"/>
          <w:color w:val="auto"/>
        </w:rPr>
      </w:pPr>
    </w:p>
    <w:p>
      <w:pPr>
        <w:jc w:val="both"/>
        <w:ind w:firstLine="482"/>
        <w:spacing w:after="0" w:line="287" w:lineRule="auto"/>
        <w:rPr>
          <w:sz w:val="20"/>
          <w:szCs w:val="20"/>
          <w:color w:val="auto"/>
        </w:rPr>
      </w:pPr>
      <w:r>
        <w:rPr>
          <w:rFonts w:ascii="Arial" w:cs="Arial" w:eastAsia="Arial" w:hAnsi="Arial"/>
          <w:sz w:val="16"/>
          <w:szCs w:val="16"/>
          <w:color w:val="3E5588"/>
        </w:rPr>
        <w:t>Utilization of the net operating loss carryforwards and research and development tax credit carryforwards may be subject to an annual limitation under Section 382 of the Internal Revenue Code of 1986, as amended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In general, an ownership change, as defined by Section 382, results from transactions increasing the ownership of certain shareholders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10. Income Taxes (Continued)</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3E5588"/>
        </w:rPr>
        <w:t>adjustments, as required.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w:t>
      </w:r>
    </w:p>
    <w:p>
      <w:pPr>
        <w:spacing w:after="0" w:line="139" w:lineRule="exact"/>
        <w:rPr>
          <w:sz w:val="20"/>
          <w:szCs w:val="20"/>
          <w:color w:val="auto"/>
        </w:rPr>
      </w:pPr>
    </w:p>
    <w:p>
      <w:pPr>
        <w:jc w:val="both"/>
        <w:ind w:firstLine="469"/>
        <w:spacing w:after="0" w:line="259" w:lineRule="auto"/>
        <w:rPr>
          <w:sz w:val="20"/>
          <w:szCs w:val="20"/>
          <w:color w:val="auto"/>
        </w:rPr>
      </w:pPr>
      <w:r>
        <w:rPr>
          <w:rFonts w:ascii="Arial" w:cs="Arial" w:eastAsia="Arial" w:hAnsi="Arial"/>
          <w:sz w:val="18"/>
          <w:szCs w:val="18"/>
          <w:color w:val="3E5588"/>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As of December 31, 2018, the Company's tax years are still open under statute from 2015 to the present.</w:t>
      </w:r>
    </w:p>
    <w:p>
      <w:pPr>
        <w:spacing w:after="0" w:line="194" w:lineRule="exact"/>
        <w:rPr>
          <w:sz w:val="20"/>
          <w:szCs w:val="20"/>
          <w:color w:val="auto"/>
        </w:rPr>
      </w:pPr>
    </w:p>
    <w:p>
      <w:pPr>
        <w:jc w:val="both"/>
        <w:ind w:firstLine="521"/>
        <w:spacing w:after="0" w:line="290" w:lineRule="auto"/>
        <w:rPr>
          <w:sz w:val="20"/>
          <w:szCs w:val="20"/>
          <w:color w:val="auto"/>
        </w:rPr>
      </w:pPr>
      <w:r>
        <w:rPr>
          <w:rFonts w:ascii="Arial" w:cs="Arial" w:eastAsia="Arial" w:hAnsi="Arial"/>
          <w:sz w:val="16"/>
          <w:szCs w:val="16"/>
          <w:color w:val="3E5588"/>
        </w:rPr>
        <w:t>It is the Company's policy to include penalties and interest expense related to income taxes as a component of the provision for income taxes. As of December 31, 2017 and 2018, the Company had no accrued interest or penalties related to uncertain tax positions and no amounts have been recognized in the Company's statements of operations. For the year ended December 31, 2018,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an uncertain tax position. A full valuation allowance has been provided against the Company's research and development credits and, if an adjustment is required, this adjustment would result in an adjustment to the deferred tax asset established for the research and development credit carryforwards and the valuation allowance.</w:t>
      </w:r>
    </w:p>
    <w:p>
      <w:pPr>
        <w:spacing w:after="0" w:line="172" w:lineRule="exact"/>
        <w:rPr>
          <w:sz w:val="20"/>
          <w:szCs w:val="20"/>
          <w:color w:val="auto"/>
        </w:rPr>
      </w:pPr>
    </w:p>
    <w:p>
      <w:pPr>
        <w:jc w:val="both"/>
        <w:ind w:firstLine="422"/>
        <w:spacing w:after="0" w:line="253" w:lineRule="auto"/>
        <w:rPr>
          <w:sz w:val="20"/>
          <w:szCs w:val="20"/>
          <w:color w:val="auto"/>
        </w:rPr>
      </w:pPr>
      <w:r>
        <w:rPr>
          <w:rFonts w:ascii="Arial" w:cs="Arial" w:eastAsia="Arial" w:hAnsi="Arial"/>
          <w:sz w:val="18"/>
          <w:szCs w:val="18"/>
          <w:color w:val="3E5588"/>
        </w:rPr>
        <w:t>On December 22, 2017, the Tax Cuts and Jobs Act (the "Tax Reform Act") was enacted, which significantly reforms the Internal Revenue Code. The Tax Reform Act, among other things, contains significant changes to corporate taxation, including reduction of the corporate tax rate from a top marginal rate of 35% to a flat rate of 21%, effective as of January 1, 2018; limitation of the tax deduction for interest expense; limitation of the deduction for net operating losses to 80% of annual taxable income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w:t>
      </w:r>
    </w:p>
    <w:p>
      <w:pPr>
        <w:spacing w:after="0" w:line="201" w:lineRule="exact"/>
        <w:rPr>
          <w:sz w:val="20"/>
          <w:szCs w:val="20"/>
          <w:color w:val="auto"/>
        </w:rPr>
      </w:pPr>
    </w:p>
    <w:p>
      <w:pPr>
        <w:jc w:val="both"/>
        <w:ind w:firstLine="528"/>
        <w:spacing w:after="0" w:line="254" w:lineRule="auto"/>
        <w:rPr>
          <w:sz w:val="20"/>
          <w:szCs w:val="20"/>
          <w:color w:val="auto"/>
        </w:rPr>
      </w:pPr>
      <w:r>
        <w:rPr>
          <w:rFonts w:ascii="Arial" w:cs="Arial" w:eastAsia="Arial" w:hAnsi="Arial"/>
          <w:sz w:val="18"/>
          <w:szCs w:val="18"/>
          <w:color w:val="3E5588"/>
        </w:rPr>
        <w:t>The staff of the Securities and Exchange Commission issued Staff Accounting Bulletin No. 118 ("SAB 118") to address the application of GAAP in situations when a registrant does not have the necessary information available, prepared, or analyzed (including computations) in reasonable detail to complete the accounting for certain income tax effects of the Tax Reform Act. The Company is applying the provisions of SAB 118. In connection with the initial analysis of the impact of the Tax Reform Act for the year ended December 31, 2017, the Company remeasured certain deferred tax assets and liabilities based on the revised U.S. federal corporate tax rate of 21%. The remeasurement of the Company's deferred tax assets and liabilities was offset by a corresponding change in the Company's valuation allowance.</w:t>
      </w:r>
    </w:p>
    <w:p>
      <w:pPr>
        <w:spacing w:after="0" w:line="198" w:lineRule="exact"/>
        <w:rPr>
          <w:sz w:val="20"/>
          <w:szCs w:val="20"/>
          <w:color w:val="auto"/>
        </w:rPr>
      </w:pPr>
    </w:p>
    <w:p>
      <w:pPr>
        <w:jc w:val="both"/>
        <w:ind w:firstLine="517"/>
        <w:spacing w:after="0" w:line="306" w:lineRule="auto"/>
        <w:rPr>
          <w:sz w:val="20"/>
          <w:szCs w:val="20"/>
          <w:color w:val="auto"/>
        </w:rPr>
      </w:pPr>
      <w:r>
        <w:rPr>
          <w:rFonts w:ascii="Arial" w:cs="Arial" w:eastAsia="Arial" w:hAnsi="Arial"/>
          <w:sz w:val="16"/>
          <w:szCs w:val="16"/>
          <w:color w:val="3E5588"/>
        </w:rPr>
        <w:t>As permitted by SAB 118, the Company recorded provisional estimates during the year ended December 31, 2017 and has subsequently finalized its accounting analysis based on the guidance, interpretations, and data available as of December 31, 2018. Adjustments made in the fourth quarter of 2018 upon finalization of the Company's accounting analysis were not material to the Company's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11. Defined Contribution Plan</w:t>
      </w:r>
    </w:p>
    <w:p>
      <w:pPr>
        <w:spacing w:after="0" w:line="231" w:lineRule="exact"/>
        <w:rPr>
          <w:sz w:val="20"/>
          <w:szCs w:val="20"/>
          <w:color w:val="auto"/>
        </w:rPr>
      </w:pPr>
    </w:p>
    <w:p>
      <w:pPr>
        <w:jc w:val="both"/>
        <w:ind w:firstLine="425"/>
        <w:spacing w:after="0" w:line="306" w:lineRule="auto"/>
        <w:rPr>
          <w:sz w:val="20"/>
          <w:szCs w:val="20"/>
          <w:color w:val="auto"/>
        </w:rPr>
      </w:pPr>
      <w:r>
        <w:rPr>
          <w:rFonts w:ascii="Arial" w:cs="Arial" w:eastAsia="Arial" w:hAnsi="Arial"/>
          <w:sz w:val="16"/>
          <w:szCs w:val="16"/>
          <w:color w:val="3E5588"/>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and has not made any contributions to the 401(k) Plan.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12. Net Loss per Share and Unaudited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Net Loss per Share</w:t>
      </w:r>
    </w:p>
    <w:p>
      <w:pPr>
        <w:spacing w:after="0" w:line="225" w:lineRule="exact"/>
        <w:rPr>
          <w:sz w:val="20"/>
          <w:szCs w:val="20"/>
          <w:color w:val="auto"/>
        </w:rPr>
      </w:pPr>
    </w:p>
    <w:p>
      <w:pPr>
        <w:jc w:val="both"/>
        <w:ind w:firstLine="373"/>
        <w:spacing w:after="0" w:line="312" w:lineRule="auto"/>
        <w:rPr>
          <w:sz w:val="20"/>
          <w:szCs w:val="20"/>
          <w:color w:val="auto"/>
        </w:rPr>
      </w:pPr>
      <w:r>
        <w:rPr>
          <w:rFonts w:ascii="Arial" w:cs="Arial" w:eastAsia="Arial" w:hAnsi="Arial"/>
          <w:sz w:val="15"/>
          <w:szCs w:val="15"/>
          <w:color w:val="3E5588"/>
        </w:rPr>
        <w:t>Basic net loss per share attributable to common stockholders is calculated by dividing net loss attributable to common stockholders by the weighted average shares outstanding during the period, without consideration for Common Stock equivalents. Net loss attributable to common stockholders is calculated by adjusting the net loss of the Company for cumulative preferred stock dividends. Diluted net loss per share attributable to common stockholders is calculated by adjusting weighted average shares outstanding for the dilutive effect of Common Stock equivalents outstanding for the period. For purposes of the dilutive net loss per share attributable to common stockholders calculation, Preferred Stock, stock options, and unvested restricted stock are considered to be Common Stock equivalents but are excluded from the calculation of diluted net loss per share attributable to common stockholders, as their effect would be anti-dilutive. Therefore, basic and diluted net loss per share attributable to common stockholders were the same for all periods presented as a result of the Company's net loss.</w:t>
      </w:r>
    </w:p>
    <w:p>
      <w:pPr>
        <w:spacing w:after="0" w:line="159"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3E5588"/>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80" w:type="dxa"/>
            <w:vAlign w:val="bottom"/>
          </w:tcPr>
          <w:p>
            <w:pPr>
              <w:jc w:val="right"/>
              <w:ind w:right="218"/>
              <w:spacing w:after="0"/>
              <w:rPr>
                <w:sz w:val="20"/>
                <w:szCs w:val="20"/>
                <w:color w:val="auto"/>
              </w:rPr>
            </w:pPr>
            <w:r>
              <w:rPr>
                <w:rFonts w:ascii="Arial" w:cs="Arial" w:eastAsia="Arial" w:hAnsi="Arial"/>
                <w:sz w:val="14"/>
                <w:szCs w:val="14"/>
                <w:b w:val="1"/>
                <w:bCs w:val="1"/>
                <w:color w:val="3E5588"/>
              </w:rPr>
              <w:t>Year Ended</w:t>
            </w:r>
          </w:p>
        </w:tc>
        <w:tc>
          <w:tcPr>
            <w:tcW w:w="16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3E5588"/>
                <w:w w:val="88"/>
              </w:rPr>
              <w:t>Year Ended</w:t>
            </w:r>
          </w:p>
        </w:tc>
      </w:tr>
      <w:tr>
        <w:trPr>
          <w:trHeight w:val="161"/>
        </w:trPr>
        <w:tc>
          <w:tcPr>
            <w:tcW w:w="5100" w:type="dxa"/>
            <w:vAlign w:val="bottom"/>
          </w:tcPr>
          <w:p>
            <w:pPr>
              <w:spacing w:after="0"/>
              <w:rPr>
                <w:sz w:val="14"/>
                <w:szCs w:val="14"/>
                <w:color w:val="auto"/>
              </w:rPr>
            </w:pPr>
          </w:p>
        </w:tc>
        <w:tc>
          <w:tcPr>
            <w:tcW w:w="1280" w:type="dxa"/>
            <w:vAlign w:val="bottom"/>
            <w:tcBorders>
              <w:bottom w:val="single" w:sz="8" w:color="3E5588"/>
            </w:tcBorders>
          </w:tcPr>
          <w:p>
            <w:pPr>
              <w:jc w:val="right"/>
              <w:ind w:right="18"/>
              <w:spacing w:after="0"/>
              <w:rPr>
                <w:sz w:val="20"/>
                <w:szCs w:val="20"/>
                <w:color w:val="auto"/>
              </w:rPr>
            </w:pPr>
            <w:r>
              <w:rPr>
                <w:rFonts w:ascii="Arial" w:cs="Arial" w:eastAsia="Arial" w:hAnsi="Arial"/>
                <w:sz w:val="14"/>
                <w:szCs w:val="14"/>
                <w:b w:val="1"/>
                <w:bCs w:val="1"/>
                <w:color w:val="3E5588"/>
                <w:w w:val="91"/>
              </w:rPr>
              <w:t>December 31, 2017</w:t>
            </w:r>
          </w:p>
        </w:tc>
        <w:tc>
          <w:tcPr>
            <w:tcW w:w="160" w:type="dxa"/>
            <w:vAlign w:val="bottom"/>
          </w:tcPr>
          <w:p>
            <w:pPr>
              <w:spacing w:after="0"/>
              <w:rPr>
                <w:sz w:val="14"/>
                <w:szCs w:val="14"/>
                <w:color w:val="auto"/>
              </w:rPr>
            </w:pPr>
          </w:p>
        </w:tc>
        <w:tc>
          <w:tcPr>
            <w:tcW w:w="128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5"/>
              </w:rPr>
              <w:t>December 31, 2018</w:t>
            </w:r>
          </w:p>
        </w:tc>
        <w:tc>
          <w:tcPr>
            <w:tcW w:w="160" w:type="dxa"/>
            <w:vAlign w:val="bottom"/>
          </w:tcPr>
          <w:p>
            <w:pPr>
              <w:spacing w:after="0"/>
              <w:rPr>
                <w:sz w:val="14"/>
                <w:szCs w:val="14"/>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E5588"/>
              </w:rPr>
              <w:t>Series A Preferred Stock</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4,952,379</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E5588"/>
              </w:rPr>
              <w:t>8,571,427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3E5588"/>
              </w:rPr>
              <w:t>Series B Preferred Stock</w:t>
            </w:r>
          </w:p>
        </w:tc>
        <w:tc>
          <w:tcPr>
            <w:tcW w:w="1280" w:type="dxa"/>
            <w:vAlign w:val="bottom"/>
          </w:tcPr>
          <w:p>
            <w:pPr>
              <w:jc w:val="right"/>
              <w:spacing w:after="0"/>
              <w:rPr>
                <w:sz w:val="20"/>
                <w:szCs w:val="20"/>
                <w:color w:val="auto"/>
              </w:rPr>
            </w:pPr>
            <w:r>
              <w:rPr>
                <w:rFonts w:ascii="Arial" w:cs="Arial" w:eastAsia="Arial" w:hAnsi="Arial"/>
                <w:sz w:val="18"/>
                <w:szCs w:val="18"/>
                <w:color w:val="3E5588"/>
              </w:rPr>
              <w:t>—</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3E5588"/>
              </w:rPr>
              <w:t>5,714,277</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E5588"/>
              </w:rPr>
              <w:t>Outstanding stock options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E5588"/>
              </w:rPr>
              <w:t>507,891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3E5588"/>
              </w:rPr>
              <w:t>Unvested restricted stock awards</w:t>
            </w:r>
          </w:p>
        </w:tc>
        <w:tc>
          <w:tcPr>
            <w:tcW w:w="1280" w:type="dxa"/>
            <w:vAlign w:val="bottom"/>
          </w:tcPr>
          <w:p>
            <w:pPr>
              <w:jc w:val="right"/>
              <w:spacing w:after="0"/>
              <w:rPr>
                <w:sz w:val="20"/>
                <w:szCs w:val="20"/>
                <w:color w:val="auto"/>
              </w:rPr>
            </w:pPr>
            <w:r>
              <w:rPr>
                <w:rFonts w:ascii="Arial" w:cs="Arial" w:eastAsia="Arial" w:hAnsi="Arial"/>
                <w:sz w:val="18"/>
                <w:szCs w:val="18"/>
                <w:color w:val="3E5588"/>
              </w:rPr>
              <w:t>1,656,493</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3E5588"/>
              </w:rPr>
              <w:t>1,203,811</w:t>
            </w:r>
          </w:p>
        </w:tc>
      </w:tr>
      <w:tr>
        <w:trPr>
          <w:trHeight w:val="20"/>
        </w:trPr>
        <w:tc>
          <w:tcPr>
            <w:tcW w:w="5100" w:type="dxa"/>
            <w:vAlign w:val="bottom"/>
          </w:tcPr>
          <w:p>
            <w:pPr>
              <w:spacing w:after="0" w:line="20" w:lineRule="exact"/>
              <w:rPr>
                <w:sz w:val="1"/>
                <w:szCs w:val="1"/>
                <w:color w:val="auto"/>
              </w:rPr>
            </w:pPr>
          </w:p>
        </w:tc>
        <w:tc>
          <w:tcPr>
            <w:tcW w:w="12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3E5588"/>
              </w:rPr>
              <w:t>Total</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6,608,872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15,997,406</w:t>
            </w:r>
          </w:p>
        </w:tc>
      </w:tr>
      <w:tr>
        <w:trPr>
          <w:trHeight w:val="20"/>
        </w:trPr>
        <w:tc>
          <w:tcPr>
            <w:tcW w:w="5100" w:type="dxa"/>
            <w:vAlign w:val="bottom"/>
          </w:tcPr>
          <w:p>
            <w:pPr>
              <w:spacing w:after="0" w:line="20" w:lineRule="exact"/>
              <w:rPr>
                <w:sz w:val="1"/>
                <w:szCs w:val="1"/>
                <w:color w:val="auto"/>
              </w:rPr>
            </w:pPr>
          </w:p>
        </w:tc>
        <w:tc>
          <w:tcPr>
            <w:tcW w:w="12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In February 2019, the Company issued 12,500,000 shares of Series B Preferred Stock as consideration for the GSK Agreement (as defined in Note 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Unaudited Pro Forma Net Loss per Share</w:t>
      </w:r>
    </w:p>
    <w:p>
      <w:pPr>
        <w:spacing w:after="0" w:line="225" w:lineRule="exact"/>
        <w:rPr>
          <w:sz w:val="20"/>
          <w:szCs w:val="20"/>
          <w:color w:val="auto"/>
        </w:rPr>
      </w:pPr>
    </w:p>
    <w:p>
      <w:pPr>
        <w:jc w:val="both"/>
        <w:ind w:firstLine="473"/>
        <w:spacing w:after="0" w:line="291" w:lineRule="auto"/>
        <w:rPr>
          <w:sz w:val="20"/>
          <w:szCs w:val="20"/>
          <w:color w:val="auto"/>
        </w:rPr>
      </w:pPr>
      <w:r>
        <w:rPr>
          <w:rFonts w:ascii="Arial" w:cs="Arial" w:eastAsia="Arial" w:hAnsi="Arial"/>
          <w:sz w:val="16"/>
          <w:szCs w:val="16"/>
          <w:color w:val="3E5588"/>
        </w:rPr>
        <w:t>The unaudited pro forma basic and diluted net loss per share attributable to common stockholders for the year ended December 31, 2018 give effect to adjustments arising upon the closing of a qualified IPO. The unaudited pro forma basic and diluted weighted average common shares outstanding used in the calculation of unaudited pro forma basic and diluted net loss per share attributable to common stockholders for the year ended December 31, 2018 give effect to the automatic conversion upon a qualified IPO of all outstanding shares of Preferred Stock into shares of Common Stock as if the conversion had occurred on the later of January 1, 2018 or the issuance date of the Preferred Stock. Accordingly, the pro forma basic and diluted net loss per share attributable to stockholders does not include the effects of the cumulative preferred stock dividends. Shares to be sold in the offering 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12. Net Loss per Share and Unaudited Pro Forma Net Loss per Share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3E5588"/>
        </w:rPr>
        <w:t>excluded from the unaudited pro forma basic and diluted loss per share attributable to common stockholders calculations.</w:t>
      </w:r>
    </w:p>
    <w:p>
      <w:pPr>
        <w:spacing w:after="0" w:line="225" w:lineRule="exact"/>
        <w:rPr>
          <w:sz w:val="20"/>
          <w:szCs w:val="20"/>
          <w:color w:val="auto"/>
        </w:rPr>
      </w:pPr>
    </w:p>
    <w:p>
      <w:pPr>
        <w:jc w:val="both"/>
        <w:ind w:firstLine="389"/>
        <w:spacing w:after="0" w:line="268" w:lineRule="auto"/>
        <w:rPr>
          <w:sz w:val="20"/>
          <w:szCs w:val="20"/>
          <w:color w:val="auto"/>
        </w:rPr>
      </w:pPr>
      <w:r>
        <w:rPr>
          <w:rFonts w:ascii="Arial" w:cs="Arial" w:eastAsia="Arial" w:hAnsi="Arial"/>
          <w:sz w:val="18"/>
          <w:szCs w:val="18"/>
          <w:color w:val="3E5588"/>
        </w:rPr>
        <w:t>The following table summarizes the Company's unaudited pro forma net loss per share attributable to common stockholders (in thousands, except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3E5588"/>
              </w:rPr>
              <w:t>Year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3E5588"/>
                <w:w w:val="84"/>
              </w:rPr>
              <w:t>December 31, 2018</w:t>
            </w: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3E5588"/>
              </w:rPr>
              <w:t>Numerator:</w:t>
            </w:r>
          </w:p>
        </w:tc>
        <w:tc>
          <w:tcPr>
            <w:tcW w:w="100" w:type="dxa"/>
            <w:vAlign w:val="bottom"/>
            <w:tcBorders>
              <w:top w:val="single" w:sz="8" w:color="3E5588"/>
            </w:tcBorders>
            <w:shd w:val="clear" w:color="auto" w:fill="CCEEFF"/>
          </w:tcPr>
          <w:p>
            <w:pPr>
              <w:spacing w:after="0"/>
              <w:rPr>
                <w:sz w:val="18"/>
                <w:szCs w:val="18"/>
                <w:color w:val="auto"/>
              </w:rPr>
            </w:pPr>
          </w:p>
        </w:tc>
        <w:tc>
          <w:tcPr>
            <w:tcW w:w="118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3E5588"/>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3E5588"/>
              </w:rPr>
              <w:t>(39,147)</w:t>
            </w:r>
          </w:p>
        </w:tc>
      </w:tr>
      <w:tr>
        <w:trPr>
          <w:trHeight w:val="216"/>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Cumulative convertible preferred stock dividends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6,559</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3E5588"/>
              </w:rPr>
              <w:t>Pro forma net loss attributable to common stockholders</w:t>
            </w:r>
          </w:p>
        </w:tc>
        <w:tc>
          <w:tcPr>
            <w:tcW w:w="1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11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(32,588)</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3E5588"/>
            </w:tcBorders>
          </w:tcPr>
          <w:p>
            <w:pPr>
              <w:spacing w:after="0" w:line="20" w:lineRule="exact"/>
              <w:rPr>
                <w:sz w:val="1"/>
                <w:szCs w:val="1"/>
                <w:color w:val="auto"/>
              </w:rPr>
            </w:pPr>
          </w:p>
        </w:tc>
        <w:tc>
          <w:tcPr>
            <w:tcW w:w="118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3E5588"/>
              </w:rPr>
              <w:t>Denominator:</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6540" w:type="dxa"/>
            <w:vAlign w:val="bottom"/>
          </w:tcPr>
          <w:p>
            <w:pPr>
              <w:ind w:left="180"/>
              <w:spacing w:after="0"/>
              <w:rPr>
                <w:sz w:val="20"/>
                <w:szCs w:val="20"/>
                <w:color w:val="auto"/>
              </w:rPr>
            </w:pPr>
            <w:r>
              <w:rPr>
                <w:rFonts w:ascii="Arial" w:cs="Arial" w:eastAsia="Arial" w:hAnsi="Arial"/>
                <w:sz w:val="18"/>
                <w:szCs w:val="18"/>
                <w:color w:val="3E5588"/>
              </w:rPr>
              <w:t>Weighted average common shares outstanding</w:t>
            </w: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3E5588"/>
              </w:rPr>
              <w:t>1,257</w:t>
            </w:r>
          </w:p>
        </w:tc>
      </w:tr>
      <w:tr>
        <w:trPr>
          <w:trHeight w:val="208"/>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3E5588"/>
                <w:w w:val="92"/>
              </w:rPr>
              <w:t>Pro forma weighted average shares outstanding after giving effect to the conversion of</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3E5588"/>
              </w:rPr>
              <w:t>Preferred Stock</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9,694</w:t>
            </w: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color w:val="3E5588"/>
              </w:rPr>
              <w:t>Pro forma weighted average shares outstanding</w:t>
            </w:r>
          </w:p>
        </w:tc>
        <w:tc>
          <w:tcPr>
            <w:tcW w:w="100" w:type="dxa"/>
            <w:vAlign w:val="bottom"/>
            <w:tcBorders>
              <w:top w:val="single" w:sz="8" w:color="3E5588"/>
              <w:bottom w:val="single" w:sz="8" w:color="3E5588"/>
            </w:tcBorders>
          </w:tcPr>
          <w:p>
            <w:pPr>
              <w:spacing w:after="0"/>
              <w:rPr>
                <w:sz w:val="18"/>
                <w:szCs w:val="18"/>
                <w:color w:val="auto"/>
              </w:rPr>
            </w:pPr>
          </w:p>
        </w:tc>
        <w:tc>
          <w:tcPr>
            <w:tcW w:w="11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10,951</w:t>
            </w:r>
          </w:p>
        </w:tc>
        <w:tc>
          <w:tcPr>
            <w:tcW w:w="16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bottom w:val="single" w:sz="8" w:color="3E5588"/>
            </w:tcBorders>
          </w:tcPr>
          <w:p>
            <w:pPr>
              <w:spacing w:after="0" w:line="20" w:lineRule="exact"/>
              <w:rPr>
                <w:sz w:val="1"/>
                <w:szCs w:val="1"/>
                <w:color w:val="auto"/>
              </w:rPr>
            </w:pPr>
          </w:p>
        </w:tc>
        <w:tc>
          <w:tcPr>
            <w:tcW w:w="118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3E5588"/>
                <w:w w:val="90"/>
              </w:rPr>
              <w:t>Pro forma basic and diluted loss per share attributable to common stockholders, basic and</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54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(2.98)</w:t>
            </w: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11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13. Related-Party Transactions</w:t>
      </w:r>
    </w:p>
    <w:p>
      <w:pPr>
        <w:spacing w:after="0" w:line="231"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3E5588"/>
        </w:rPr>
        <w:t>During the years ended December 31, 2017 and 2018, the Company paid fees to Third Rock Ventures, LLC ("TRV"), an affiliate of one of the Company's principal stockholders, in exchange for consulting services. The Company recorded expenses related to such fees of $0.1 million during each of the years ended December 31, 2017 and 2018. As of both December 31, 2017 and 2018, there was less than $0.1 million of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170"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3E5588"/>
        </w:rPr>
        <w:t>During the year ended December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14. Subsequent Events</w:t>
      </w:r>
    </w:p>
    <w:p>
      <w:pPr>
        <w:spacing w:after="0" w:line="231" w:lineRule="exact"/>
        <w:rPr>
          <w:sz w:val="20"/>
          <w:szCs w:val="20"/>
          <w:color w:val="auto"/>
        </w:rPr>
      </w:pPr>
    </w:p>
    <w:p>
      <w:pPr>
        <w:jc w:val="both"/>
        <w:ind w:firstLine="421"/>
        <w:spacing w:after="0" w:line="332" w:lineRule="auto"/>
        <w:rPr>
          <w:sz w:val="20"/>
          <w:szCs w:val="20"/>
          <w:color w:val="auto"/>
        </w:rPr>
      </w:pPr>
      <w:r>
        <w:rPr>
          <w:rFonts w:ascii="Arial" w:cs="Arial" w:eastAsia="Arial" w:hAnsi="Arial"/>
          <w:sz w:val="16"/>
          <w:szCs w:val="16"/>
          <w:color w:val="3E5588"/>
        </w:rPr>
        <w:t>For its consolidated financial statements as of December 31, 2018 and for the year then ended, the Company evaluated subsequent events through May 1, 2019, the date on which those consolidated financial statements were issued, except for Note 14(c), as to which the date is July 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  2016 Stock Incentive Plan</w:t>
      </w:r>
    </w:p>
    <w:p>
      <w:pPr>
        <w:spacing w:after="0" w:line="225" w:lineRule="exact"/>
        <w:rPr>
          <w:sz w:val="20"/>
          <w:szCs w:val="20"/>
          <w:color w:val="auto"/>
        </w:rPr>
      </w:pPr>
    </w:p>
    <w:p>
      <w:pPr>
        <w:jc w:val="both"/>
        <w:ind w:firstLine="453"/>
        <w:spacing w:after="0" w:line="370" w:lineRule="auto"/>
        <w:rPr>
          <w:sz w:val="20"/>
          <w:szCs w:val="20"/>
          <w:color w:val="auto"/>
        </w:rPr>
      </w:pPr>
      <w:r>
        <w:rPr>
          <w:rFonts w:ascii="Arial" w:cs="Arial" w:eastAsia="Arial" w:hAnsi="Arial"/>
          <w:sz w:val="15"/>
          <w:szCs w:val="15"/>
          <w:color w:val="3E5588"/>
        </w:rPr>
        <w:t>In January 2019, the 2016 Plan was amended to increase the number of shares of Common Stock reserved for issuance under the 2016 Plan by 357,143 shares. In January 2019 and March 2019, the Company issued stock options to purchase an aggregate of 1,020,496 shares of Common Stock under the 2016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14. Subsequent Events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(b)  GSK Agreement</w:t>
      </w:r>
    </w:p>
    <w:p>
      <w:pPr>
        <w:spacing w:after="0" w:line="225"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3E5588"/>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3E5588"/>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 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will include in the total consideration for the transaction.</w:t>
      </w:r>
    </w:p>
    <w:p>
      <w:pPr>
        <w:spacing w:after="0" w:line="172"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3E5588"/>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3E5588"/>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will be recorded as in-process research and development expense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81"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3E5588"/>
        </w:rPr>
        <w:t>In February 2019, in connection with the GSK Agreement, the Company's Certificate of Incorporation was amended and restated to increase the number of authorized shares of Series B</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14. Subsequent Events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3E5588"/>
        </w:rPr>
        <w:t>Preferred Stock from 40,000,000 shares to 52,500,000 shares and to increase the number of authorized shares of Common Stock from 135,000,000 shares to 147,500,000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(c)  Other</w:t>
      </w:r>
    </w:p>
    <w:p>
      <w:pPr>
        <w:spacing w:after="0" w:line="225" w:lineRule="exact"/>
        <w:rPr>
          <w:sz w:val="20"/>
          <w:szCs w:val="20"/>
          <w:color w:val="auto"/>
        </w:rPr>
      </w:pPr>
    </w:p>
    <w:p>
      <w:pPr>
        <w:jc w:val="both"/>
        <w:ind w:firstLine="384"/>
        <w:spacing w:after="0" w:line="288" w:lineRule="auto"/>
        <w:rPr>
          <w:sz w:val="20"/>
          <w:szCs w:val="20"/>
          <w:color w:val="auto"/>
        </w:rPr>
      </w:pPr>
      <w:r>
        <w:rPr>
          <w:rFonts w:ascii="Arial" w:cs="Arial" w:eastAsia="Arial" w:hAnsi="Arial"/>
          <w:sz w:val="16"/>
          <w:szCs w:val="16"/>
          <w:color w:val="3E5588"/>
        </w:rPr>
        <w:t>On July 5, 2019, the Company eliminated the gross proceeds threshold of $45 million for a firm-commitment underwritten public offering that would result in the automatic conversion of all outstanding shares of Preferred Stock into Common Stock. On July 5, 2019, the Company effected a one-for-seven reverse stock split of the Company's common stock.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paid-in capital.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Stockholders entitled to fractional shares as a result of the reverse stock split will receive a cash payment in lieu of receiving fractional shares.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Consolidated Balance Sheets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(In thousands, except share and per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3E5588"/>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3E5588"/>
                <w:w w:val="91"/>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3E5588"/>
                <w:w w:val="83"/>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3E5588"/>
                <w:w w:val="89"/>
              </w:rPr>
              <w:t>March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E5588"/>
                <w:w w:val="89"/>
              </w:rPr>
              <w:t>March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880" w:type="dxa"/>
            <w:vAlign w:val="bottom"/>
            <w:tcBorders>
              <w:bottom w:val="single" w:sz="8" w:color="3E5588"/>
            </w:tcBorders>
          </w:tcPr>
          <w:p>
            <w:pPr>
              <w:jc w:val="right"/>
              <w:ind w:right="274"/>
              <w:spacing w:after="0"/>
              <w:rPr>
                <w:sz w:val="20"/>
                <w:szCs w:val="20"/>
                <w:color w:val="auto"/>
              </w:rPr>
            </w:pPr>
            <w:r>
              <w:rPr>
                <w:rFonts w:ascii="Arial" w:cs="Arial" w:eastAsia="Arial" w:hAnsi="Arial"/>
                <w:sz w:val="14"/>
                <w:szCs w:val="14"/>
                <w:b w:val="1"/>
                <w:bCs w:val="1"/>
                <w:color w:val="3E5588"/>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700" w:type="dxa"/>
            <w:vAlign w:val="bottom"/>
            <w:tcBorders>
              <w:bottom w:val="single" w:sz="8" w:color="3E5588"/>
            </w:tcBorders>
          </w:tcPr>
          <w:p>
            <w:pPr>
              <w:jc w:val="right"/>
              <w:ind w:right="174"/>
              <w:spacing w:after="0"/>
              <w:rPr>
                <w:sz w:val="20"/>
                <w:szCs w:val="20"/>
                <w:color w:val="auto"/>
              </w:rPr>
            </w:pPr>
            <w:r>
              <w:rPr>
                <w:rFonts w:ascii="Arial" w:cs="Arial" w:eastAsia="Arial" w:hAnsi="Arial"/>
                <w:sz w:val="14"/>
                <w:szCs w:val="14"/>
                <w:b w:val="1"/>
                <w:bCs w:val="1"/>
                <w:color w:val="3E5588"/>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70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3"/>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3E5588"/>
              </w:rPr>
              <w:t>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3E5588"/>
              </w:rPr>
              <w:t>Current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3E5588"/>
              </w:rPr>
              <w:t>Cash and cash equivalents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72,797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62,452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62,452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rPr>
              <w:t>Prepaid expenses and other current assets</w:t>
            </w:r>
          </w:p>
        </w:tc>
        <w:tc>
          <w:tcPr>
            <w:tcW w:w="10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8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1,544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Total current assets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74,095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63,996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63,996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040" w:type="dxa"/>
            <w:vAlign w:val="bottom"/>
            <w:gridSpan w:val="2"/>
          </w:tcPr>
          <w:p>
            <w:pPr>
              <w:spacing w:after="0"/>
              <w:rPr>
                <w:sz w:val="20"/>
                <w:szCs w:val="20"/>
                <w:color w:val="auto"/>
              </w:rPr>
            </w:pPr>
            <w:r>
              <w:rPr>
                <w:rFonts w:ascii="Arial" w:cs="Arial" w:eastAsia="Arial" w:hAnsi="Arial"/>
                <w:sz w:val="18"/>
                <w:szCs w:val="18"/>
                <w:color w:val="3E5588"/>
              </w:rPr>
              <w:t>Property and equipment, net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E5588"/>
              </w:rPr>
              <w:t>10,546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10,225</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10,225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3E5588"/>
              </w:rPr>
              <w:t>Restricted cash</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1,092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3E5588"/>
              </w:rPr>
              <w:t>Other assets</w:t>
            </w:r>
          </w:p>
        </w:tc>
        <w:tc>
          <w:tcPr>
            <w:tcW w:w="10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8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275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Total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3E5588"/>
                <w:w w:val="97"/>
              </w:rPr>
              <w:t>Liabilities, convertible preferred stock, and stockholders' (deficit) equity</w:t>
            </w:r>
          </w:p>
        </w:tc>
        <w:tc>
          <w:tcPr>
            <w:tcW w:w="10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3E5588"/>
              </w:rPr>
              <w:t>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rPr>
              <w:t>Accounts payable</w:t>
            </w:r>
          </w:p>
        </w:tc>
        <w:tc>
          <w:tcPr>
            <w:tcW w:w="1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880" w:type="dxa"/>
            <w:vAlign w:val="bottom"/>
          </w:tcPr>
          <w:p>
            <w:pPr>
              <w:jc w:val="right"/>
              <w:spacing w:after="0"/>
              <w:rPr>
                <w:sz w:val="20"/>
                <w:szCs w:val="20"/>
                <w:color w:val="auto"/>
              </w:rPr>
            </w:pPr>
            <w:r>
              <w:rPr>
                <w:rFonts w:ascii="Arial" w:cs="Arial" w:eastAsia="Arial" w:hAnsi="Arial"/>
                <w:sz w:val="18"/>
                <w:szCs w:val="18"/>
                <w:color w:val="3E5588"/>
              </w:rPr>
              <w:t>1,263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700" w:type="dxa"/>
            <w:vAlign w:val="bottom"/>
          </w:tcPr>
          <w:p>
            <w:pPr>
              <w:jc w:val="right"/>
              <w:spacing w:after="0"/>
              <w:rPr>
                <w:sz w:val="20"/>
                <w:szCs w:val="20"/>
                <w:color w:val="auto"/>
              </w:rPr>
            </w:pPr>
            <w:r>
              <w:rPr>
                <w:rFonts w:ascii="Arial" w:cs="Arial" w:eastAsia="Arial" w:hAnsi="Arial"/>
                <w:sz w:val="18"/>
                <w:szCs w:val="18"/>
                <w:color w:val="3E5588"/>
              </w:rPr>
              <w:t>2,522</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700" w:type="dxa"/>
            <w:vAlign w:val="bottom"/>
          </w:tcPr>
          <w:p>
            <w:pPr>
              <w:jc w:val="right"/>
              <w:spacing w:after="0"/>
              <w:rPr>
                <w:sz w:val="20"/>
                <w:szCs w:val="20"/>
                <w:color w:val="auto"/>
              </w:rPr>
            </w:pPr>
            <w:r>
              <w:rPr>
                <w:rFonts w:ascii="Arial" w:cs="Arial" w:eastAsia="Arial" w:hAnsi="Arial"/>
                <w:sz w:val="18"/>
                <w:szCs w:val="18"/>
                <w:color w:val="3E5588"/>
              </w:rPr>
              <w:t>2,522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3E5588"/>
              </w:rPr>
              <w:t>Accrued expenses and other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2,497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1,699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rPr>
              <w:t>Deferred lease incentive, current portion</w:t>
            </w:r>
          </w:p>
        </w:tc>
        <w:tc>
          <w:tcPr>
            <w:tcW w:w="10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8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469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Total current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4,229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4,690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4,690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3E5588"/>
              </w:rPr>
              <w:t>Deferred rent, excluding current portion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E5588"/>
              </w:rPr>
              <w:t>1,402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1,450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1,450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3E5588"/>
              </w:rPr>
              <w:t>Deferred lease incentive, excluding current portion</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3,990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3,873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3,873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3E5588"/>
              </w:rPr>
              <w:t>Other liabilities, excluding current portion</w:t>
            </w:r>
          </w:p>
        </w:tc>
        <w:tc>
          <w:tcPr>
            <w:tcW w:w="10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88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150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3E5588"/>
            </w:tcBorders>
          </w:tcPr>
          <w:p>
            <w:pPr>
              <w:spacing w:after="0"/>
              <w:rPr>
                <w:sz w:val="18"/>
                <w:szCs w:val="18"/>
                <w:color w:val="auto"/>
              </w:rPr>
            </w:pPr>
          </w:p>
        </w:tc>
        <w:tc>
          <w:tcPr>
            <w:tcW w:w="7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Total liabilities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9,771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10,139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10,139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3E5588"/>
              </w:rPr>
              <w:t>Commitments and contingencies (Note 10)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3E5588"/>
              </w:rPr>
              <w:t>Series A convertible preferred stock, $0.001 par value; 60,000,000 shares</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w w:val="89"/>
              </w:rPr>
              <w:t>authorized, issued and outstanding as of December 31, 2018 and March 31, 2019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w w:val="94"/>
              </w:rPr>
              <w:t>(liquidation preference of $68,371 as of March 31, 2019); no shares issued or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outstanding,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59,909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3E5588"/>
                <w:w w:val="90"/>
              </w:rPr>
              <w:t>Series B convertible preferred stock, $0.001 par value; 40,000,000 and 52,500,000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3E5588"/>
                <w:w w:val="87"/>
              </w:rPr>
              <w:t>shares authorized, issued and outstanding as of December 31, 2018 and March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3E5588"/>
                <w:w w:val="91"/>
              </w:rPr>
              <w:t>2019, respectively (liquidation preference of $109,119 as of March 31, 2019); no</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3E5588"/>
              </w:rPr>
              <w:t>shares issued or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E5588"/>
              </w:rPr>
              <w:t>79,761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105,227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3E5588"/>
              </w:rPr>
              <w:t>Stockholders' (deficit) equity:</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3E5588"/>
                <w:w w:val="88"/>
              </w:rPr>
              <w:t>Common stock, $0.001 par value; 135,000,000 and 147,500,000 shares authorized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w w:val="95"/>
              </w:rPr>
              <w:t>as of December 31, 2018 and March 31, 2019, respectively; 2,791,764 and</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w w:val="99"/>
              </w:rPr>
              <w:t>2,747,842 shares issued as of December 31, 2018 and March 31, 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w w:val="90"/>
              </w:rPr>
              <w:t>respectively; 1,587,953 and 1,721,966 shares outstanding as of December 31,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w w:val="94"/>
              </w:rPr>
              <w:t>2018 and March 31, 2019, respectively; 18,819,260 and 17,793,384 shares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3E5588"/>
              </w:rPr>
              <w:t>issued and outstanding, pro forma as of March 31, 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E5588"/>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w w:val="96"/>
              </w:rPr>
              <w:t>Treasury stock, at cost; 67,024 and no shares as of December 31, 2018 and</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3E5588"/>
                <w:w w:val="97"/>
              </w:rPr>
              <w:t>March 31, 2019, respectively; no shares, pro forma as of March 31, 2019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3E5588"/>
              </w:rPr>
              <w:t>Additional paid-in capital</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3E5588"/>
              </w:rPr>
              <w:t>4,452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5,278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3E5588"/>
              </w:rPr>
              <w:t>170,398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Accumulated deficit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(68,124)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w w:val="93"/>
              </w:rPr>
              <w:t>(104,967)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w w:val="95"/>
              </w:rPr>
              <w:t>(104,967)</w:t>
            </w:r>
          </w:p>
        </w:tc>
        <w:tc>
          <w:tcPr>
            <w:tcW w:w="0" w:type="dxa"/>
            <w:vAlign w:val="bottom"/>
          </w:tcPr>
          <w:p>
            <w:pPr>
              <w:spacing w:after="0"/>
              <w:rPr>
                <w:sz w:val="1"/>
                <w:szCs w:val="1"/>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8"/>
                <w:szCs w:val="18"/>
                <w:color w:val="3E5588"/>
              </w:rPr>
              <w:t>Total stockholders' (deficit) equity</w:t>
            </w:r>
          </w:p>
        </w:tc>
        <w:tc>
          <w:tcPr>
            <w:tcW w:w="100" w:type="dxa"/>
            <w:vAlign w:val="bottom"/>
          </w:tcPr>
          <w:p>
            <w:pPr>
              <w:spacing w:after="0"/>
              <w:rPr>
                <w:sz w:val="18"/>
                <w:szCs w:val="18"/>
                <w:color w:val="auto"/>
              </w:rPr>
            </w:pPr>
          </w:p>
        </w:tc>
        <w:tc>
          <w:tcPr>
            <w:tcW w:w="80" w:type="dxa"/>
            <w:vAlign w:val="bottom"/>
            <w:tcBorders>
              <w:top w:val="single" w:sz="8" w:color="3E5588"/>
              <w:bottom w:val="single" w:sz="8" w:color="3E5588"/>
            </w:tcBorders>
          </w:tcPr>
          <w:p>
            <w:pPr>
              <w:spacing w:after="0"/>
              <w:rPr>
                <w:sz w:val="18"/>
                <w:szCs w:val="18"/>
                <w:color w:val="auto"/>
              </w:rPr>
            </w:pPr>
          </w:p>
        </w:tc>
        <w:tc>
          <w:tcPr>
            <w:tcW w:w="8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(63,670)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3E5588"/>
              <w:bottom w:val="single" w:sz="8" w:color="3E5588"/>
            </w:tcBorders>
          </w:tcPr>
          <w:p>
            <w:pPr>
              <w:spacing w:after="0"/>
              <w:rPr>
                <w:sz w:val="18"/>
                <w:szCs w:val="18"/>
                <w:color w:val="auto"/>
              </w:rPr>
            </w:pPr>
          </w:p>
        </w:tc>
        <w:tc>
          <w:tcPr>
            <w:tcW w:w="7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(99,687)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3E5588"/>
              <w:bottom w:val="single" w:sz="8" w:color="3E5588"/>
            </w:tcBorders>
          </w:tcPr>
          <w:p>
            <w:pPr>
              <w:spacing w:after="0"/>
              <w:rPr>
                <w:sz w:val="18"/>
                <w:szCs w:val="18"/>
                <w:color w:val="auto"/>
              </w:rPr>
            </w:pPr>
          </w:p>
        </w:tc>
        <w:tc>
          <w:tcPr>
            <w:tcW w:w="7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65,449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3E5588"/>
                <w:w w:val="99"/>
              </w:rPr>
              <w:t>Total liabilities, convertible preferred stock, and stockholders' (deficit) equity</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85,771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75,588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75,588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8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7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3E5588"/>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Consolidated Statements of Operations and Comprehensive Loss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3E5588"/>
        </w:rPr>
        <w:t>(In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3E5588"/>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278"/>
              <w:spacing w:after="0"/>
              <w:rPr>
                <w:sz w:val="20"/>
                <w:szCs w:val="20"/>
                <w:color w:val="auto"/>
              </w:rPr>
            </w:pPr>
            <w:r>
              <w:rPr>
                <w:rFonts w:ascii="Arial" w:cs="Arial" w:eastAsia="Arial" w:hAnsi="Arial"/>
                <w:sz w:val="14"/>
                <w:szCs w:val="14"/>
                <w:b w:val="1"/>
                <w:bCs w:val="1"/>
                <w:color w:val="3E5588"/>
                <w:w w:val="90"/>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98"/>
              <w:spacing w:after="0"/>
              <w:rPr>
                <w:sz w:val="20"/>
                <w:szCs w:val="20"/>
                <w:color w:val="auto"/>
              </w:rPr>
            </w:pPr>
            <w:r>
              <w:rPr>
                <w:rFonts w:ascii="Arial" w:cs="Arial" w:eastAsia="Arial" w:hAnsi="Arial"/>
                <w:sz w:val="14"/>
                <w:szCs w:val="14"/>
                <w:b w:val="1"/>
                <w:bCs w:val="1"/>
                <w:color w:val="3E5588"/>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560" w:type="dxa"/>
            <w:vAlign w:val="bottom"/>
            <w:tcBorders>
              <w:top w:val="single" w:sz="8" w:color="3E5588"/>
              <w:bottom w:val="single" w:sz="8" w:color="3E5588"/>
            </w:tcBorders>
          </w:tcPr>
          <w:p>
            <w:pPr>
              <w:jc w:val="right"/>
              <w:ind w:right="137"/>
              <w:spacing w:after="0" w:line="142" w:lineRule="exact"/>
              <w:rPr>
                <w:sz w:val="20"/>
                <w:szCs w:val="20"/>
                <w:color w:val="auto"/>
              </w:rPr>
            </w:pPr>
            <w:r>
              <w:rPr>
                <w:rFonts w:ascii="Arial" w:cs="Arial" w:eastAsia="Arial" w:hAnsi="Arial"/>
                <w:sz w:val="14"/>
                <w:szCs w:val="14"/>
                <w:b w:val="1"/>
                <w:bCs w:val="1"/>
                <w:color w:val="3E5588"/>
              </w:rPr>
              <w:t>2018</w:t>
            </w:r>
          </w:p>
        </w:tc>
        <w:tc>
          <w:tcPr>
            <w:tcW w:w="100" w:type="dxa"/>
            <w:vAlign w:val="bottom"/>
            <w:tcBorders>
              <w:top w:val="single" w:sz="8" w:color="3E5588"/>
            </w:tcBorders>
          </w:tcPr>
          <w:p>
            <w:pPr>
              <w:spacing w:after="0"/>
              <w:rPr>
                <w:sz w:val="12"/>
                <w:szCs w:val="12"/>
                <w:color w:val="auto"/>
              </w:rPr>
            </w:pPr>
          </w:p>
        </w:tc>
        <w:tc>
          <w:tcPr>
            <w:tcW w:w="60" w:type="dxa"/>
            <w:vAlign w:val="bottom"/>
            <w:tcBorders>
              <w:top w:val="single" w:sz="8" w:color="3E5588"/>
            </w:tcBorders>
          </w:tcPr>
          <w:p>
            <w:pPr>
              <w:spacing w:after="0"/>
              <w:rPr>
                <w:sz w:val="12"/>
                <w:szCs w:val="12"/>
                <w:color w:val="auto"/>
              </w:rPr>
            </w:pPr>
          </w:p>
        </w:tc>
        <w:tc>
          <w:tcPr>
            <w:tcW w:w="140" w:type="dxa"/>
            <w:vAlign w:val="bottom"/>
            <w:tcBorders>
              <w:top w:val="single" w:sz="8" w:color="3E5588"/>
              <w:bottom w:val="single" w:sz="8" w:color="3E5588"/>
            </w:tcBorders>
          </w:tcPr>
          <w:p>
            <w:pPr>
              <w:spacing w:after="0"/>
              <w:rPr>
                <w:sz w:val="12"/>
                <w:szCs w:val="12"/>
                <w:color w:val="auto"/>
              </w:rPr>
            </w:pPr>
          </w:p>
        </w:tc>
        <w:tc>
          <w:tcPr>
            <w:tcW w:w="620" w:type="dxa"/>
            <w:vAlign w:val="bottom"/>
            <w:tcBorders>
              <w:top w:val="single" w:sz="8" w:color="3E5588"/>
              <w:bottom w:val="single" w:sz="8" w:color="3E5588"/>
            </w:tcBorders>
          </w:tcPr>
          <w:p>
            <w:pPr>
              <w:jc w:val="right"/>
              <w:ind w:right="174"/>
              <w:spacing w:after="0" w:line="142" w:lineRule="exact"/>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3E5588"/>
              </w:rPr>
              <w:t>Operating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3E5588"/>
              </w:rPr>
              <w:t>Research and development</w:t>
            </w:r>
          </w:p>
        </w:tc>
        <w:tc>
          <w:tcPr>
            <w:tcW w:w="4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560" w:type="dxa"/>
            <w:vAlign w:val="bottom"/>
          </w:tcPr>
          <w:p>
            <w:pPr>
              <w:jc w:val="right"/>
              <w:spacing w:after="0"/>
              <w:rPr>
                <w:sz w:val="20"/>
                <w:szCs w:val="20"/>
                <w:color w:val="auto"/>
              </w:rPr>
            </w:pPr>
            <w:r>
              <w:rPr>
                <w:rFonts w:ascii="Arial" w:cs="Arial" w:eastAsia="Arial" w:hAnsi="Arial"/>
                <w:sz w:val="18"/>
                <w:szCs w:val="18"/>
                <w:color w:val="3E5588"/>
              </w:rPr>
              <w:t>5,573</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20" w:type="dxa"/>
            <w:vAlign w:val="bottom"/>
          </w:tcPr>
          <w:p>
            <w:pPr>
              <w:jc w:val="right"/>
              <w:spacing w:after="0"/>
              <w:rPr>
                <w:sz w:val="20"/>
                <w:szCs w:val="20"/>
                <w:color w:val="auto"/>
              </w:rPr>
            </w:pPr>
            <w:r>
              <w:rPr>
                <w:rFonts w:ascii="Arial" w:cs="Arial" w:eastAsia="Arial" w:hAnsi="Arial"/>
                <w:sz w:val="18"/>
                <w:szCs w:val="18"/>
                <w:color w:val="3E5588"/>
              </w:rPr>
              <w:t>34,629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General and administrative</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56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1,737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3E5588"/>
            </w:tcBorders>
            <w:shd w:val="clear" w:color="auto" w:fill="CCEEFF"/>
          </w:tcPr>
          <w:p>
            <w:pPr>
              <w:spacing w:after="0"/>
              <w:rPr>
                <w:sz w:val="18"/>
                <w:szCs w:val="18"/>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2,598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3E5588"/>
              </w:rPr>
              <w:t>Total operating expenses</w:t>
            </w:r>
          </w:p>
        </w:tc>
        <w:tc>
          <w:tcPr>
            <w:tcW w:w="32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56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7,310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37,227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3E5588"/>
              </w:rPr>
              <w:t>Loss from operations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rPr>
              <w:t>(7,310)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w w:val="98"/>
              </w:rPr>
              <w:t>(37,227)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3E5588"/>
              </w:rPr>
              <w:t>Other income, net: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Interest income, net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3E5588"/>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3E5588"/>
              </w:rPr>
              <w:t>Other income</w:t>
            </w:r>
          </w:p>
        </w:tc>
        <w:tc>
          <w:tcPr>
            <w:tcW w:w="32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56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3E5588"/>
            </w:tcBorders>
          </w:tcPr>
          <w:p>
            <w:pPr>
              <w:spacing w:after="0"/>
              <w:rPr>
                <w:sz w:val="18"/>
                <w:szCs w:val="18"/>
                <w:color w:val="auto"/>
              </w:rPr>
            </w:pPr>
          </w:p>
        </w:tc>
        <w:tc>
          <w:tcPr>
            <w:tcW w:w="6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3E5588"/>
              </w:rPr>
              <w:t>Net loss and comprehensive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rPr>
              <w:t>(6,940)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w w:val="98"/>
              </w:rPr>
              <w:t>(36,843)</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3E5588"/>
              </w:rPr>
              <w:t>Cumulative convertible preferred stock dividends</w:t>
            </w:r>
          </w:p>
        </w:tc>
        <w:tc>
          <w:tcPr>
            <w:tcW w:w="3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56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3E5588"/>
            </w:tcBorders>
          </w:tcPr>
          <w:p>
            <w:pPr>
              <w:spacing w:after="0"/>
              <w:rPr>
                <w:sz w:val="17"/>
                <w:szCs w:val="17"/>
                <w:color w:val="auto"/>
              </w:rPr>
            </w:pPr>
          </w:p>
        </w:tc>
        <w:tc>
          <w:tcPr>
            <w:tcW w:w="56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(828)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3E5588"/>
            </w:tcBorders>
          </w:tcPr>
          <w:p>
            <w:pPr>
              <w:spacing w:after="0"/>
              <w:rPr>
                <w:sz w:val="17"/>
                <w:szCs w:val="17"/>
                <w:color w:val="auto"/>
              </w:rPr>
            </w:pPr>
          </w:p>
        </w:tc>
        <w:tc>
          <w:tcPr>
            <w:tcW w:w="62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(3,041)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3E5588"/>
              </w:rPr>
              <w:t>Net loss attributable to common stockholders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3E5588"/>
              </w:rPr>
              <w:t>(7,768)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7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3E5588"/>
                <w:w w:val="98"/>
              </w:rPr>
              <w:t>(39,884)</w:t>
            </w: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3E5588"/>
              </w:rPr>
              <w:t>Net loss per share attributable to common stockholders, basic and diluted</w:t>
            </w:r>
          </w:p>
        </w:tc>
        <w:tc>
          <w:tcPr>
            <w:tcW w:w="3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56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56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(7.62</w:t>
            </w:r>
          </w:p>
        </w:tc>
        <w:tc>
          <w:tcPr>
            <w:tcW w:w="100" w:type="dxa"/>
            <w:vAlign w:val="bottom"/>
          </w:tcPr>
          <w:p>
            <w:pPr>
              <w:jc w:val="right"/>
              <w:ind w:right="22"/>
              <w:spacing w:after="0"/>
              <w:rPr>
                <w:sz w:val="20"/>
                <w:szCs w:val="20"/>
                <w:color w:val="auto"/>
              </w:rPr>
            </w:pPr>
            <w:r>
              <w:rPr>
                <w:rFonts w:ascii="Arial" w:cs="Arial" w:eastAsia="Arial" w:hAnsi="Arial"/>
                <w:sz w:val="8"/>
                <w:szCs w:val="8"/>
                <w:color w:val="3E5588"/>
                <w:w w:val="73"/>
              </w:rPr>
              <w:t>)</w:t>
            </w:r>
          </w:p>
        </w:tc>
        <w:tc>
          <w:tcPr>
            <w:tcW w:w="60" w:type="dxa"/>
            <w:vAlign w:val="bottom"/>
          </w:tcPr>
          <w:p>
            <w:pPr>
              <w:spacing w:after="0"/>
              <w:rPr>
                <w:sz w:val="17"/>
                <w:szCs w:val="17"/>
                <w:color w:val="auto"/>
              </w:rPr>
            </w:pPr>
          </w:p>
        </w:tc>
        <w:tc>
          <w:tcPr>
            <w:tcW w:w="14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(24.29</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56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3E5588"/>
                <w:w w:val="91"/>
              </w:rPr>
              <w:t>Weighted average number of common shares used in net loss per share attributable to common</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stockholders, basic and diluted</w:t>
            </w:r>
          </w:p>
        </w:tc>
        <w:tc>
          <w:tcPr>
            <w:tcW w:w="320" w:type="dxa"/>
            <w:vAlign w:val="bottom"/>
            <w:shd w:val="clear" w:color="auto" w:fill="CCEEFF"/>
          </w:tcPr>
          <w:p>
            <w:pPr>
              <w:spacing w:after="0"/>
              <w:rPr>
                <w:sz w:val="19"/>
                <w:szCs w:val="19"/>
                <w:color w:val="auto"/>
              </w:rPr>
            </w:pPr>
          </w:p>
        </w:tc>
        <w:tc>
          <w:tcPr>
            <w:tcW w:w="140" w:type="dxa"/>
            <w:vAlign w:val="bottom"/>
            <w:tcBorders>
              <w:bottom w:val="single" w:sz="8" w:color="3E5588"/>
            </w:tcBorders>
            <w:shd w:val="clear" w:color="auto" w:fill="CCEEFF"/>
          </w:tcPr>
          <w:p>
            <w:pPr>
              <w:spacing w:after="0"/>
              <w:rPr>
                <w:sz w:val="19"/>
                <w:szCs w:val="19"/>
                <w:color w:val="auto"/>
              </w:rPr>
            </w:pPr>
          </w:p>
        </w:tc>
        <w:tc>
          <w:tcPr>
            <w:tcW w:w="56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1,019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3E5588"/>
            </w:tcBorders>
            <w:shd w:val="clear" w:color="auto" w:fill="CCEEFF"/>
          </w:tcPr>
          <w:p>
            <w:pPr>
              <w:spacing w:after="0"/>
              <w:rPr>
                <w:sz w:val="19"/>
                <w:szCs w:val="19"/>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1,642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3E5588"/>
              </w:rPr>
              <w:t>Pro forma net loss per share attributable to common stockholders, basic and diluted</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4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3E5588"/>
            </w:tcBorders>
          </w:tcPr>
          <w:p>
            <w:pPr>
              <w:spacing w:after="0"/>
              <w:rPr>
                <w:sz w:val="17"/>
                <w:szCs w:val="17"/>
                <w:color w:val="auto"/>
              </w:rPr>
            </w:pPr>
          </w:p>
        </w:tc>
        <w:tc>
          <w:tcPr>
            <w:tcW w:w="560" w:type="dxa"/>
            <w:vAlign w:val="bottom"/>
            <w:tcBorders>
              <w:top w:val="single" w:sz="8" w:color="3E5588"/>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20" w:type="dxa"/>
            <w:vAlign w:val="bottom"/>
            <w:tcBorders>
              <w:top w:val="single" w:sz="8" w:color="3E5588"/>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(2.17</w:t>
            </w:r>
          </w:p>
        </w:tc>
        <w:tc>
          <w:tcPr>
            <w:tcW w:w="160" w:type="dxa"/>
            <w:vAlign w:val="bottom"/>
          </w:tcPr>
          <w:p>
            <w:pPr>
              <w:jc w:val="right"/>
              <w:ind w:right="18"/>
              <w:spacing w:after="0"/>
              <w:rPr>
                <w:sz w:val="20"/>
                <w:szCs w:val="20"/>
                <w:color w:val="auto"/>
              </w:rPr>
            </w:pPr>
            <w:r>
              <w:rPr>
                <w:rFonts w:ascii="Arial" w:cs="Arial" w:eastAsia="Arial" w:hAnsi="Arial"/>
                <w:sz w:val="16"/>
                <w:szCs w:val="16"/>
                <w:color w:val="3E5588"/>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7020" w:type="dxa"/>
            <w:vAlign w:val="bottom"/>
            <w:shd w:val="clear" w:color="auto" w:fill="CCEEFF"/>
          </w:tcPr>
          <w:p>
            <w:pPr>
              <w:spacing w:after="0" w:line="189" w:lineRule="exact"/>
              <w:rPr>
                <w:sz w:val="20"/>
                <w:szCs w:val="20"/>
                <w:color w:val="auto"/>
              </w:rPr>
            </w:pPr>
            <w:r>
              <w:rPr>
                <w:rFonts w:ascii="Arial" w:cs="Arial" w:eastAsia="Arial" w:hAnsi="Arial"/>
                <w:sz w:val="18"/>
                <w:szCs w:val="18"/>
                <w:color w:val="3E5588"/>
                <w:w w:val="90"/>
              </w:rPr>
              <w:t>Pro forma weighted average number of common shares used in net loss per share attributable to</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common stockholders, basic and diluted</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3E5588"/>
            </w:tcBorders>
            <w:shd w:val="clear" w:color="auto" w:fill="CCEEFF"/>
          </w:tcPr>
          <w:p>
            <w:pPr>
              <w:spacing w:after="0"/>
              <w:rPr>
                <w:sz w:val="19"/>
                <w:szCs w:val="19"/>
                <w:color w:val="auto"/>
              </w:rPr>
            </w:pPr>
          </w:p>
        </w:tc>
        <w:tc>
          <w:tcPr>
            <w:tcW w:w="6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16,940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3E5588"/>
            </w:tcBorders>
          </w:tcPr>
          <w:p>
            <w:pPr>
              <w:spacing w:after="0" w:line="20" w:lineRule="exact"/>
              <w:rPr>
                <w:sz w:val="1"/>
                <w:szCs w:val="1"/>
                <w:color w:val="auto"/>
              </w:rPr>
            </w:pPr>
          </w:p>
        </w:tc>
        <w:tc>
          <w:tcPr>
            <w:tcW w:w="6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3E5588"/>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3E5588"/>
        </w:rPr>
        <w:t>Consolidated Statements of Convertible Preferred Stock and Stockholders' (Deficit) Equity</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3E5588"/>
        </w:rPr>
        <w:t>(In thousands, except share amounts)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3E5588"/>
        </w:rPr>
        <w:t>(Unaudited)</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365"/>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3E5588"/>
                <w:w w:val="89"/>
              </w:rPr>
              <w:t>Series A Convertible</w:t>
            </w:r>
          </w:p>
        </w:tc>
        <w:tc>
          <w:tcPr>
            <w:tcW w:w="1520" w:type="dxa"/>
            <w:vAlign w:val="bottom"/>
            <w:tcBorders>
              <w:right w:val="single" w:sz="8" w:color="3E5588"/>
            </w:tcBorders>
            <w:gridSpan w:val="6"/>
          </w:tcPr>
          <w:p>
            <w:pPr>
              <w:jc w:val="right"/>
              <w:ind w:right="240"/>
              <w:spacing w:after="0"/>
              <w:rPr>
                <w:sz w:val="20"/>
                <w:szCs w:val="20"/>
                <w:color w:val="auto"/>
              </w:rPr>
            </w:pPr>
            <w:r>
              <w:rPr>
                <w:rFonts w:ascii="Arial" w:cs="Arial" w:eastAsia="Arial" w:hAnsi="Arial"/>
                <w:sz w:val="14"/>
                <w:szCs w:val="14"/>
                <w:b w:val="1"/>
                <w:bCs w:val="1"/>
                <w:color w:val="3E5588"/>
                <w:w w:val="91"/>
              </w:rPr>
              <w:t>Series B Convertible</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E5588"/>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gridSpan w:val="6"/>
          </w:tcPr>
          <w:p>
            <w:pPr>
              <w:jc w:val="right"/>
              <w:ind w:right="260"/>
              <w:spacing w:after="0" w:line="149" w:lineRule="exact"/>
              <w:rPr>
                <w:sz w:val="20"/>
                <w:szCs w:val="20"/>
                <w:color w:val="auto"/>
              </w:rPr>
            </w:pPr>
            <w:r>
              <w:rPr>
                <w:rFonts w:ascii="Arial" w:cs="Arial" w:eastAsia="Arial" w:hAnsi="Arial"/>
                <w:sz w:val="14"/>
                <w:szCs w:val="14"/>
                <w:b w:val="1"/>
                <w:bCs w:val="1"/>
                <w:color w:val="3E5588"/>
              </w:rPr>
              <w:t>Preferred Stock</w:t>
            </w:r>
          </w:p>
        </w:tc>
        <w:tc>
          <w:tcPr>
            <w:tcW w:w="1520" w:type="dxa"/>
            <w:vAlign w:val="bottom"/>
            <w:tcBorders>
              <w:right w:val="single" w:sz="8" w:color="3E5588"/>
            </w:tcBorders>
            <w:gridSpan w:val="6"/>
          </w:tcPr>
          <w:p>
            <w:pPr>
              <w:jc w:val="right"/>
              <w:ind w:right="380"/>
              <w:spacing w:after="0" w:line="149" w:lineRule="exact"/>
              <w:rPr>
                <w:sz w:val="20"/>
                <w:szCs w:val="20"/>
                <w:color w:val="auto"/>
              </w:rPr>
            </w:pPr>
            <w:r>
              <w:rPr>
                <w:rFonts w:ascii="Arial" w:cs="Arial" w:eastAsia="Arial" w:hAnsi="Arial"/>
                <w:sz w:val="14"/>
                <w:szCs w:val="14"/>
                <w:b w:val="1"/>
                <w:bCs w:val="1"/>
                <w:color w:val="3E5588"/>
              </w:rPr>
              <w:t>Preferred Stock</w:t>
            </w:r>
          </w:p>
        </w:tc>
        <w:tc>
          <w:tcPr>
            <w:tcW w:w="60" w:type="dxa"/>
            <w:vAlign w:val="bottom"/>
          </w:tcPr>
          <w:p>
            <w:pPr>
              <w:spacing w:after="0"/>
              <w:rPr>
                <w:sz w:val="12"/>
                <w:szCs w:val="12"/>
                <w:color w:val="auto"/>
              </w:rPr>
            </w:pPr>
          </w:p>
        </w:tc>
        <w:tc>
          <w:tcPr>
            <w:tcW w:w="11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3E5588"/>
              </w:rPr>
              <w:t>Common Stock</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3E5588"/>
                <w:w w:val="98"/>
              </w:rPr>
              <w:t>Treasury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3E5588"/>
                <w:w w:val="90"/>
              </w:rPr>
              <w:t>Additional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3E5588"/>
                <w:w w:val="84"/>
              </w:rPr>
              <w:t>Stockholders'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 w:type="dxa"/>
            <w:vAlign w:val="bottom"/>
            <w:tcBorders>
              <w:bottom w:val="single" w:sz="8" w:color="3E5588"/>
            </w:tcBorders>
          </w:tcPr>
          <w:p>
            <w:pPr>
              <w:spacing w:after="0"/>
              <w:rPr>
                <w:sz w:val="2"/>
                <w:szCs w:val="2"/>
                <w:color w:val="auto"/>
              </w:rPr>
            </w:pPr>
          </w:p>
        </w:tc>
        <w:tc>
          <w:tcPr>
            <w:tcW w:w="40" w:type="dxa"/>
            <w:vAlign w:val="bottom"/>
            <w:tcBorders>
              <w:bottom w:val="single" w:sz="8" w:color="3E5588"/>
            </w:tcBorders>
          </w:tcPr>
          <w:p>
            <w:pPr>
              <w:spacing w:after="0"/>
              <w:rPr>
                <w:sz w:val="2"/>
                <w:szCs w:val="2"/>
                <w:color w:val="auto"/>
              </w:rPr>
            </w:pPr>
          </w:p>
        </w:tc>
        <w:tc>
          <w:tcPr>
            <w:tcW w:w="20" w:type="dxa"/>
            <w:vAlign w:val="bottom"/>
            <w:tcBorders>
              <w:bottom w:val="single" w:sz="8" w:color="3E5588"/>
            </w:tcBorders>
          </w:tcPr>
          <w:p>
            <w:pPr>
              <w:spacing w:after="0"/>
              <w:rPr>
                <w:sz w:val="2"/>
                <w:szCs w:val="2"/>
                <w:color w:val="auto"/>
              </w:rPr>
            </w:pPr>
          </w:p>
        </w:tc>
        <w:tc>
          <w:tcPr>
            <w:tcW w:w="80" w:type="dxa"/>
            <w:vAlign w:val="bottom"/>
            <w:tcBorders>
              <w:bottom w:val="single" w:sz="8" w:color="3E5588"/>
            </w:tcBorders>
          </w:tcPr>
          <w:p>
            <w:pPr>
              <w:spacing w:after="0"/>
              <w:rPr>
                <w:sz w:val="2"/>
                <w:szCs w:val="2"/>
                <w:color w:val="auto"/>
              </w:rPr>
            </w:pPr>
          </w:p>
        </w:tc>
        <w:tc>
          <w:tcPr>
            <w:tcW w:w="440" w:type="dxa"/>
            <w:vAlign w:val="bottom"/>
            <w:tcBorders>
              <w:bottom w:val="single" w:sz="8" w:color="3E5588"/>
            </w:tcBorders>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Borders>
              <w:bottom w:val="single" w:sz="8" w:color="3E5588"/>
            </w:tcBorders>
          </w:tcPr>
          <w:p>
            <w:pPr>
              <w:spacing w:after="0"/>
              <w:rPr>
                <w:sz w:val="2"/>
                <w:szCs w:val="2"/>
                <w:color w:val="auto"/>
              </w:rPr>
            </w:pPr>
          </w:p>
        </w:tc>
        <w:tc>
          <w:tcPr>
            <w:tcW w:w="60" w:type="dxa"/>
            <w:vAlign w:val="bottom"/>
            <w:tcBorders>
              <w:bottom w:val="single" w:sz="8" w:color="3E5588"/>
            </w:tcBorders>
          </w:tcPr>
          <w:p>
            <w:pPr>
              <w:spacing w:after="0"/>
              <w:rPr>
                <w:sz w:val="2"/>
                <w:szCs w:val="2"/>
                <w:color w:val="auto"/>
              </w:rPr>
            </w:pPr>
          </w:p>
        </w:tc>
        <w:tc>
          <w:tcPr>
            <w:tcW w:w="20" w:type="dxa"/>
            <w:vAlign w:val="bottom"/>
            <w:tcBorders>
              <w:bottom w:val="single" w:sz="8" w:color="3E5588"/>
            </w:tcBorders>
          </w:tcPr>
          <w:p>
            <w:pPr>
              <w:spacing w:after="0"/>
              <w:rPr>
                <w:sz w:val="2"/>
                <w:szCs w:val="2"/>
                <w:color w:val="auto"/>
              </w:rPr>
            </w:pPr>
          </w:p>
        </w:tc>
        <w:tc>
          <w:tcPr>
            <w:tcW w:w="80" w:type="dxa"/>
            <w:vAlign w:val="bottom"/>
            <w:tcBorders>
              <w:bottom w:val="single" w:sz="8" w:color="3E5588"/>
            </w:tcBorders>
          </w:tcPr>
          <w:p>
            <w:pPr>
              <w:spacing w:after="0"/>
              <w:rPr>
                <w:sz w:val="2"/>
                <w:szCs w:val="2"/>
                <w:color w:val="auto"/>
              </w:rPr>
            </w:pPr>
          </w:p>
        </w:tc>
        <w:tc>
          <w:tcPr>
            <w:tcW w:w="520" w:type="dxa"/>
            <w:vAlign w:val="bottom"/>
            <w:tcBorders>
              <w:bottom w:val="single" w:sz="8" w:color="3E5588"/>
            </w:tcBorders>
          </w:tcPr>
          <w:p>
            <w:pPr>
              <w:spacing w:after="0"/>
              <w:rPr>
                <w:sz w:val="2"/>
                <w:szCs w:val="2"/>
                <w:color w:val="auto"/>
              </w:rPr>
            </w:pPr>
          </w:p>
        </w:tc>
        <w:tc>
          <w:tcPr>
            <w:tcW w:w="120" w:type="dxa"/>
            <w:vAlign w:val="bottom"/>
            <w:tcBorders>
              <w:right w:val="single" w:sz="8" w:color="3E5588"/>
            </w:tcBorders>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bottom w:val="single" w:sz="8" w:color="3E5588"/>
            </w:tcBorders>
          </w:tcPr>
          <w:p>
            <w:pPr>
              <w:spacing w:after="0"/>
              <w:rPr>
                <w:sz w:val="2"/>
                <w:szCs w:val="2"/>
                <w:color w:val="auto"/>
              </w:rPr>
            </w:pPr>
          </w:p>
        </w:tc>
        <w:tc>
          <w:tcPr>
            <w:tcW w:w="60" w:type="dxa"/>
            <w:vAlign w:val="bottom"/>
            <w:tcBorders>
              <w:bottom w:val="single" w:sz="8" w:color="3E5588"/>
            </w:tcBorders>
          </w:tcPr>
          <w:p>
            <w:pPr>
              <w:spacing w:after="0"/>
              <w:rPr>
                <w:sz w:val="2"/>
                <w:szCs w:val="2"/>
                <w:color w:val="auto"/>
              </w:rPr>
            </w:pPr>
          </w:p>
        </w:tc>
        <w:tc>
          <w:tcPr>
            <w:tcW w:w="380" w:type="dxa"/>
            <w:vAlign w:val="bottom"/>
            <w:tcBorders>
              <w:bottom w:val="single" w:sz="8" w:color="3E5588"/>
            </w:tcBorders>
          </w:tcPr>
          <w:p>
            <w:pPr>
              <w:spacing w:after="0"/>
              <w:rPr>
                <w:sz w:val="2"/>
                <w:szCs w:val="2"/>
                <w:color w:val="auto"/>
              </w:rPr>
            </w:pPr>
          </w:p>
        </w:tc>
        <w:tc>
          <w:tcPr>
            <w:tcW w:w="180" w:type="dxa"/>
            <w:vAlign w:val="bottom"/>
            <w:tcBorders>
              <w:bottom w:val="single" w:sz="8" w:color="3E5588"/>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Borders>
              <w:bottom w:val="single" w:sz="8" w:color="3E5588"/>
            </w:tcBorders>
          </w:tcPr>
          <w:p>
            <w:pPr>
              <w:spacing w:after="0"/>
              <w:rPr>
                <w:sz w:val="2"/>
                <w:szCs w:val="2"/>
                <w:color w:val="auto"/>
              </w:rPr>
            </w:pPr>
          </w:p>
        </w:tc>
        <w:tc>
          <w:tcPr>
            <w:tcW w:w="40" w:type="dxa"/>
            <w:vAlign w:val="bottom"/>
            <w:tcBorders>
              <w:bottom w:val="single" w:sz="8" w:color="3E5588"/>
            </w:tcBorders>
          </w:tcPr>
          <w:p>
            <w:pPr>
              <w:spacing w:after="0"/>
              <w:rPr>
                <w:sz w:val="2"/>
                <w:szCs w:val="2"/>
                <w:color w:val="auto"/>
              </w:rPr>
            </w:pPr>
          </w:p>
        </w:tc>
        <w:tc>
          <w:tcPr>
            <w:tcW w:w="20" w:type="dxa"/>
            <w:vAlign w:val="bottom"/>
            <w:tcBorders>
              <w:bottom w:val="single" w:sz="8" w:color="3E5588"/>
            </w:tcBorders>
          </w:tcPr>
          <w:p>
            <w:pPr>
              <w:spacing w:after="0"/>
              <w:rPr>
                <w:sz w:val="2"/>
                <w:szCs w:val="2"/>
                <w:color w:val="auto"/>
              </w:rPr>
            </w:pPr>
          </w:p>
        </w:tc>
        <w:tc>
          <w:tcPr>
            <w:tcW w:w="400" w:type="dxa"/>
            <w:vAlign w:val="bottom"/>
            <w:tcBorders>
              <w:bottom w:val="single" w:sz="8" w:color="3E5588"/>
            </w:tcBorders>
          </w:tcPr>
          <w:p>
            <w:pPr>
              <w:spacing w:after="0"/>
              <w:rPr>
                <w:sz w:val="2"/>
                <w:szCs w:val="2"/>
                <w:color w:val="auto"/>
              </w:rPr>
            </w:pPr>
          </w:p>
        </w:tc>
        <w:tc>
          <w:tcPr>
            <w:tcW w:w="160" w:type="dxa"/>
            <w:vAlign w:val="bottom"/>
            <w:tcBorders>
              <w:bottom w:val="single" w:sz="8" w:color="3E5588"/>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vMerge w:val="restart"/>
          </w:tcPr>
          <w:p>
            <w:pPr>
              <w:jc w:val="right"/>
              <w:ind w:right="72"/>
              <w:spacing w:after="0" w:line="123" w:lineRule="exact"/>
              <w:rPr>
                <w:sz w:val="20"/>
                <w:szCs w:val="20"/>
                <w:color w:val="auto"/>
              </w:rPr>
            </w:pPr>
            <w:r>
              <w:rPr>
                <w:rFonts w:ascii="Arial" w:cs="Arial" w:eastAsia="Arial" w:hAnsi="Arial"/>
                <w:sz w:val="14"/>
                <w:szCs w:val="14"/>
                <w:b w:val="1"/>
                <w:bCs w:val="1"/>
                <w:color w:val="3E5588"/>
                <w:w w:val="94"/>
              </w:rPr>
              <w:t>Paid-In</w:t>
            </w:r>
          </w:p>
        </w:tc>
        <w:tc>
          <w:tcPr>
            <w:tcW w:w="60" w:type="dxa"/>
            <w:vAlign w:val="bottom"/>
            <w:vMerge w:val="restart"/>
          </w:tcPr>
          <w:p>
            <w:pPr>
              <w:spacing w:after="0"/>
              <w:rPr>
                <w:sz w:val="2"/>
                <w:szCs w:val="2"/>
                <w:color w:val="auto"/>
              </w:rPr>
            </w:pPr>
          </w:p>
        </w:tc>
        <w:tc>
          <w:tcPr>
            <w:tcW w:w="880" w:type="dxa"/>
            <w:vAlign w:val="bottom"/>
            <w:gridSpan w:val="3"/>
            <w:vMerge w:val="restart"/>
          </w:tcPr>
          <w:p>
            <w:pPr>
              <w:jc w:val="right"/>
              <w:ind w:right="80"/>
              <w:spacing w:after="0" w:line="123" w:lineRule="exact"/>
              <w:rPr>
                <w:sz w:val="20"/>
                <w:szCs w:val="20"/>
                <w:color w:val="auto"/>
              </w:rPr>
            </w:pPr>
            <w:r>
              <w:rPr>
                <w:rFonts w:ascii="Arial" w:cs="Arial" w:eastAsia="Arial" w:hAnsi="Arial"/>
                <w:sz w:val="14"/>
                <w:szCs w:val="14"/>
                <w:b w:val="1"/>
                <w:bCs w:val="1"/>
                <w:color w:val="3E5588"/>
                <w:w w:val="88"/>
              </w:rPr>
              <w:t>Accumulated</w:t>
            </w: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gridSpan w:val="2"/>
            <w:vMerge w:val="restart"/>
          </w:tcPr>
          <w:p>
            <w:pPr>
              <w:jc w:val="center"/>
              <w:ind w:right="280"/>
              <w:spacing w:after="0" w:line="123" w:lineRule="exact"/>
              <w:rPr>
                <w:sz w:val="20"/>
                <w:szCs w:val="20"/>
                <w:color w:val="auto"/>
              </w:rPr>
            </w:pPr>
            <w:r>
              <w:rPr>
                <w:rFonts w:ascii="Arial" w:cs="Arial" w:eastAsia="Arial" w:hAnsi="Arial"/>
                <w:sz w:val="14"/>
                <w:szCs w:val="14"/>
                <w:b w:val="1"/>
                <w:bCs w:val="1"/>
                <w:color w:val="3E5588"/>
                <w:w w:val="88"/>
              </w:rPr>
              <w:t>(Deficit)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Borders>
              <w:right w:val="single" w:sz="8" w:color="3E5588"/>
            </w:tcBorders>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E5588"/>
              </w:rPr>
              <w:t>Shares</w:t>
            </w:r>
          </w:p>
        </w:tc>
        <w:tc>
          <w:tcPr>
            <w:tcW w:w="20" w:type="dxa"/>
            <w:vAlign w:val="bottom"/>
          </w:tcPr>
          <w:p>
            <w:pPr>
              <w:spacing w:after="0"/>
              <w:rPr>
                <w:sz w:val="14"/>
                <w:szCs w:val="14"/>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3E5588"/>
                <w:w w:val="86"/>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E5588"/>
              </w:rPr>
              <w:t>Shares</w:t>
            </w:r>
          </w:p>
        </w:tc>
        <w:tc>
          <w:tcPr>
            <w:tcW w:w="20" w:type="dxa"/>
            <w:vAlign w:val="bottom"/>
          </w:tcPr>
          <w:p>
            <w:pPr>
              <w:spacing w:after="0"/>
              <w:rPr>
                <w:sz w:val="14"/>
                <w:szCs w:val="14"/>
                <w:color w:val="auto"/>
              </w:rPr>
            </w:pPr>
          </w:p>
        </w:tc>
        <w:tc>
          <w:tcPr>
            <w:tcW w:w="720" w:type="dxa"/>
            <w:vAlign w:val="bottom"/>
            <w:tcBorders>
              <w:right w:val="single" w:sz="8" w:color="3E5588"/>
            </w:tcBorders>
            <w:gridSpan w:val="3"/>
          </w:tcPr>
          <w:p>
            <w:pPr>
              <w:jc w:val="right"/>
              <w:ind w:right="200"/>
              <w:spacing w:after="0"/>
              <w:rPr>
                <w:sz w:val="20"/>
                <w:szCs w:val="20"/>
                <w:color w:val="auto"/>
              </w:rPr>
            </w:pPr>
            <w:r>
              <w:rPr>
                <w:rFonts w:ascii="Arial" w:cs="Arial" w:eastAsia="Arial" w:hAnsi="Arial"/>
                <w:sz w:val="14"/>
                <w:szCs w:val="14"/>
                <w:b w:val="1"/>
                <w:bCs w:val="1"/>
                <w:color w:val="3E5588"/>
                <w:w w:val="94"/>
              </w:rPr>
              <w:t>Amount</w:t>
            </w:r>
          </w:p>
        </w:tc>
        <w:tc>
          <w:tcPr>
            <w:tcW w:w="6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3E5588"/>
              </w:rPr>
              <w:t>Shares</w:t>
            </w:r>
          </w:p>
        </w:tc>
        <w:tc>
          <w:tcPr>
            <w:tcW w:w="6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3E5588"/>
                <w:w w:val="90"/>
              </w:rPr>
              <w:t>Amount</w:t>
            </w:r>
          </w:p>
        </w:tc>
        <w:tc>
          <w:tcPr>
            <w:tcW w:w="6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3E5588"/>
                <w:w w:val="98"/>
              </w:rPr>
              <w:t>Shares</w:t>
            </w: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3E5588"/>
              </w:rPr>
              <w:t>Amount</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3E5588"/>
                <w:w w:val="94"/>
              </w:rPr>
              <w:t>Capital</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3E5588"/>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3E5588"/>
                <w:w w:val="88"/>
              </w:rPr>
              <w:t>Equity</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3E5588"/>
              </w:rPr>
              <w:t>Balance at</w:t>
            </w:r>
          </w:p>
        </w:tc>
        <w:tc>
          <w:tcPr>
            <w:tcW w:w="720" w:type="dxa"/>
            <w:vAlign w:val="bottom"/>
            <w:tcBorders>
              <w:top w:val="single" w:sz="8" w:color="3E5588"/>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44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520" w:type="dxa"/>
            <w:vAlign w:val="bottom"/>
            <w:tcBorders>
              <w:top w:val="single" w:sz="8" w:color="3E5588"/>
            </w:tcBorders>
            <w:shd w:val="clear" w:color="auto" w:fill="CCEEFF"/>
          </w:tcPr>
          <w:p>
            <w:pPr>
              <w:spacing w:after="0"/>
              <w:rPr>
                <w:sz w:val="11"/>
                <w:szCs w:val="11"/>
                <w:color w:val="auto"/>
              </w:rPr>
            </w:pPr>
          </w:p>
        </w:tc>
        <w:tc>
          <w:tcPr>
            <w:tcW w:w="12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tcBorders>
              <w:top w:val="single" w:sz="8" w:color="3E5588"/>
            </w:tcBorders>
            <w:shd w:val="clear" w:color="auto" w:fill="CCEEFF"/>
          </w:tcPr>
          <w:p>
            <w:pPr>
              <w:spacing w:after="0"/>
              <w:rPr>
                <w:sz w:val="11"/>
                <w:szCs w:val="11"/>
                <w:color w:val="auto"/>
              </w:rPr>
            </w:pPr>
          </w:p>
        </w:tc>
        <w:tc>
          <w:tcPr>
            <w:tcW w:w="1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3E5588"/>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3E5588"/>
            </w:tcBorders>
            <w:shd w:val="clear" w:color="auto" w:fill="CCEEFF"/>
          </w:tcPr>
          <w:p>
            <w:pPr>
              <w:spacing w:after="0"/>
              <w:rPr>
                <w:sz w:val="11"/>
                <w:szCs w:val="11"/>
                <w:color w:val="auto"/>
              </w:rPr>
            </w:pPr>
          </w:p>
        </w:tc>
        <w:tc>
          <w:tcPr>
            <w:tcW w:w="16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6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6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3E5588"/>
              </w:rPr>
              <w:t>2017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6"/>
              </w:rPr>
              <w:t>34,666,666</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3"/>
              </w:rPr>
              <w:t>34,587</w:t>
            </w:r>
          </w:p>
        </w:tc>
        <w:tc>
          <w:tcPr>
            <w:tcW w:w="60" w:type="dxa"/>
            <w:vAlign w:val="bottom"/>
            <w:shd w:val="clear" w:color="auto" w:fill="CCEEFF"/>
          </w:tcPr>
          <w:p>
            <w:pPr>
              <w:spacing w:after="0"/>
              <w:rPr>
                <w:sz w:val="13"/>
                <w:szCs w:val="13"/>
                <w:color w:val="auto"/>
              </w:rPr>
            </w:pP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3E5588"/>
              </w:rPr>
              <w:t>— $</w:t>
            </w:r>
          </w:p>
        </w:tc>
        <w:tc>
          <w:tcPr>
            <w:tcW w:w="64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972,266</w:t>
            </w:r>
          </w:p>
        </w:tc>
        <w:tc>
          <w:tcPr>
            <w:tcW w:w="440" w:type="dxa"/>
            <w:vAlign w:val="bottom"/>
            <w:gridSpan w:val="2"/>
            <w:shd w:val="clear" w:color="auto" w:fill="CCEEFF"/>
          </w:tcPr>
          <w:p>
            <w:pPr>
              <w:jc w:val="right"/>
              <w:ind w:right="252"/>
              <w:spacing w:after="0" w:line="159" w:lineRule="exact"/>
              <w:rPr>
                <w:sz w:val="20"/>
                <w:szCs w:val="20"/>
                <w:color w:val="auto"/>
              </w:rPr>
            </w:pPr>
            <w:r>
              <w:rPr>
                <w:rFonts w:ascii="Arial" w:cs="Arial" w:eastAsia="Arial" w:hAnsi="Arial"/>
                <w:sz w:val="14"/>
                <w:szCs w:val="14"/>
                <w:color w:val="3E5588"/>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rPr>
              <w:t>8,036</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3E5588"/>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2,270</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(35,536)</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(33,265)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Series A</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89"/>
              </w:rPr>
              <w:t>stock at $1.00</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90"/>
              </w:rPr>
              <w:t>per share, net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of 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costs of $7</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3E5588"/>
                <w:w w:val="96"/>
              </w:rPr>
              <w:t>12,666,667</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3E5588"/>
                <w:w w:val="93"/>
              </w:rPr>
              <w:t>12,659</w:t>
            </w:r>
          </w:p>
        </w:tc>
        <w:tc>
          <w:tcPr>
            <w:tcW w:w="60" w:type="dxa"/>
            <w:vAlign w:val="bottom"/>
          </w:tcPr>
          <w:p>
            <w:pPr>
              <w:spacing w:after="0"/>
              <w:rPr>
                <w:sz w:val="13"/>
                <w:szCs w:val="13"/>
                <w:color w:val="auto"/>
              </w:rPr>
            </w:pP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125,123</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4</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w w:val="99"/>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3E5588"/>
              </w:rPr>
              <w:t>12,599</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(20,635)</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429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3E5588"/>
              </w:rPr>
              <w:t>429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3E5588"/>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w w:val="99"/>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E5588"/>
              </w:rPr>
              <w:t>(6,940)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E5588"/>
              </w:rPr>
              <w:t>(6,940)</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3E5588"/>
              </w:rPr>
              <w:t>Balance at</w:t>
            </w:r>
          </w:p>
        </w:tc>
        <w:tc>
          <w:tcPr>
            <w:tcW w:w="720" w:type="dxa"/>
            <w:vAlign w:val="bottom"/>
            <w:tcBorders>
              <w:top w:val="single" w:sz="8" w:color="3E5588"/>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3E5588"/>
            </w:tcBorders>
          </w:tcPr>
          <w:p>
            <w:pPr>
              <w:spacing w:after="0"/>
              <w:rPr>
                <w:sz w:val="11"/>
                <w:szCs w:val="11"/>
                <w:color w:val="auto"/>
              </w:rPr>
            </w:pPr>
          </w:p>
        </w:tc>
        <w:tc>
          <w:tcPr>
            <w:tcW w:w="44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3E5588"/>
            </w:tcBorders>
          </w:tcPr>
          <w:p>
            <w:pPr>
              <w:spacing w:after="0"/>
              <w:rPr>
                <w:sz w:val="11"/>
                <w:szCs w:val="11"/>
                <w:color w:val="auto"/>
              </w:rPr>
            </w:pPr>
          </w:p>
        </w:tc>
        <w:tc>
          <w:tcPr>
            <w:tcW w:w="520" w:type="dxa"/>
            <w:vAlign w:val="bottom"/>
            <w:tcBorders>
              <w:top w:val="single" w:sz="8" w:color="3E5588"/>
            </w:tcBorders>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3E5588"/>
            </w:tcBorders>
          </w:tcPr>
          <w:p>
            <w:pPr>
              <w:spacing w:after="0"/>
              <w:rPr>
                <w:sz w:val="11"/>
                <w:szCs w:val="11"/>
                <w:color w:val="auto"/>
              </w:rPr>
            </w:pPr>
          </w:p>
        </w:tc>
        <w:tc>
          <w:tcPr>
            <w:tcW w:w="18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3E5588"/>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3E5588"/>
            </w:tcBorders>
          </w:tcPr>
          <w:p>
            <w:pPr>
              <w:spacing w:after="0"/>
              <w:rPr>
                <w:sz w:val="11"/>
                <w:szCs w:val="11"/>
                <w:color w:val="auto"/>
              </w:rPr>
            </w:pPr>
          </w:p>
        </w:tc>
        <w:tc>
          <w:tcPr>
            <w:tcW w:w="16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3E5588"/>
            </w:tcBorders>
          </w:tcPr>
          <w:p>
            <w:pPr>
              <w:spacing w:after="0"/>
              <w:rPr>
                <w:sz w:val="11"/>
                <w:szCs w:val="11"/>
                <w:color w:val="auto"/>
              </w:rPr>
            </w:pPr>
          </w:p>
        </w:tc>
        <w:tc>
          <w:tcPr>
            <w:tcW w:w="60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3E5588"/>
            </w:tcBorders>
          </w:tcPr>
          <w:p>
            <w:pPr>
              <w:spacing w:after="0"/>
              <w:rPr>
                <w:sz w:val="11"/>
                <w:szCs w:val="11"/>
                <w:color w:val="auto"/>
              </w:rPr>
            </w:pPr>
          </w:p>
        </w:tc>
        <w:tc>
          <w:tcPr>
            <w:tcW w:w="68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3E5588"/>
            </w:tcBorders>
          </w:tcPr>
          <w:p>
            <w:pPr>
              <w:spacing w:after="0"/>
              <w:rPr>
                <w:sz w:val="11"/>
                <w:szCs w:val="11"/>
                <w:color w:val="auto"/>
              </w:rPr>
            </w:pPr>
          </w:p>
        </w:tc>
        <w:tc>
          <w:tcPr>
            <w:tcW w:w="740" w:type="dxa"/>
            <w:vAlign w:val="bottom"/>
            <w:tcBorders>
              <w:top w:val="single" w:sz="8" w:color="3E5588"/>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3E5588"/>
                <w:w w:val="92"/>
              </w:rPr>
              <w:t>March 31, 2018</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3E5588"/>
                <w:w w:val="96"/>
              </w:rPr>
              <w:t>47,333,333</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3E5588"/>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3E5588"/>
                <w:w w:val="93"/>
              </w:rPr>
              <w:t>47,246</w:t>
            </w:r>
          </w:p>
        </w:tc>
        <w:tc>
          <w:tcPr>
            <w:tcW w:w="60" w:type="dxa"/>
            <w:vAlign w:val="bottom"/>
          </w:tcPr>
          <w:p>
            <w:pPr>
              <w:spacing w:after="0"/>
              <w:rPr>
                <w:sz w:val="13"/>
                <w:szCs w:val="13"/>
                <w:color w:val="auto"/>
              </w:rPr>
            </w:pPr>
          </w:p>
        </w:tc>
        <w:tc>
          <w:tcPr>
            <w:tcW w:w="880" w:type="dxa"/>
            <w:vAlign w:val="bottom"/>
            <w:gridSpan w:val="4"/>
          </w:tcPr>
          <w:p>
            <w:pPr>
              <w:jc w:val="right"/>
              <w:spacing w:after="0" w:line="159" w:lineRule="exact"/>
              <w:rPr>
                <w:sz w:val="20"/>
                <w:szCs w:val="20"/>
                <w:color w:val="auto"/>
              </w:rPr>
            </w:pPr>
            <w:r>
              <w:rPr>
                <w:rFonts w:ascii="Arial" w:cs="Arial" w:eastAsia="Arial" w:hAnsi="Arial"/>
                <w:sz w:val="14"/>
                <w:szCs w:val="14"/>
                <w:color w:val="3E5588"/>
              </w:rPr>
              <w:t>— $</w:t>
            </w:r>
          </w:p>
        </w:tc>
        <w:tc>
          <w:tcPr>
            <w:tcW w:w="64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1,097,389</w:t>
            </w:r>
          </w:p>
        </w:tc>
        <w:tc>
          <w:tcPr>
            <w:tcW w:w="4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3E5588"/>
              </w:rPr>
              <w:t>$</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rPr>
              <w:t>1</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3E5588"/>
              </w:rPr>
              <w:t>— $</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2,703</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3E5588"/>
              </w:rPr>
              <w:t>(42,476)</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3E5588"/>
              </w:rPr>
              <w:t>(39,772)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44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Borders>
              <w:right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3E5588"/>
              <w:bottom w:val="single" w:sz="8" w:color="3E5588"/>
            </w:tcBorders>
          </w:tcPr>
          <w:p>
            <w:pPr>
              <w:spacing w:after="0" w:line="20" w:lineRule="exact"/>
              <w:rPr>
                <w:sz w:val="1"/>
                <w:szCs w:val="1"/>
                <w:color w:val="auto"/>
              </w:rPr>
            </w:pPr>
          </w:p>
        </w:tc>
        <w:tc>
          <w:tcPr>
            <w:tcW w:w="1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3E5588"/>
              </w:rPr>
              <w:t>Balance at</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3E5588"/>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December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3E5588"/>
              </w:rPr>
              <w:t>2018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6"/>
              </w:rPr>
              <w:t>60,000,000</w:t>
            </w:r>
          </w:p>
        </w:tc>
        <w:tc>
          <w:tcPr>
            <w:tcW w:w="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76"/>
              </w:rPr>
              <w:t>$</w:t>
            </w: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3"/>
              </w:rPr>
              <w:t>59,909</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40,000,000</w:t>
            </w:r>
          </w:p>
        </w:tc>
        <w:tc>
          <w:tcPr>
            <w:tcW w:w="6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w w:val="76"/>
              </w:rPr>
              <w:t>$</w:t>
            </w: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79,761</w:t>
            </w:r>
          </w:p>
        </w:tc>
        <w:tc>
          <w:tcPr>
            <w:tcW w:w="120" w:type="dxa"/>
            <w:vAlign w:val="bottom"/>
            <w:tcBorders>
              <w:right w:val="single" w:sz="8" w:color="3E5588"/>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1,587,953</w:t>
            </w:r>
          </w:p>
        </w:tc>
        <w:tc>
          <w:tcPr>
            <w:tcW w:w="440" w:type="dxa"/>
            <w:vAlign w:val="bottom"/>
            <w:gridSpan w:val="2"/>
            <w:shd w:val="clear" w:color="auto" w:fill="CCEEFF"/>
          </w:tcPr>
          <w:p>
            <w:pPr>
              <w:jc w:val="right"/>
              <w:ind w:right="252"/>
              <w:spacing w:after="0" w:line="159" w:lineRule="exact"/>
              <w:rPr>
                <w:sz w:val="20"/>
                <w:szCs w:val="20"/>
                <w:color w:val="auto"/>
              </w:rPr>
            </w:pPr>
            <w:r>
              <w:rPr>
                <w:rFonts w:ascii="Arial" w:cs="Arial" w:eastAsia="Arial" w:hAnsi="Arial"/>
                <w:sz w:val="14"/>
                <w:szCs w:val="14"/>
                <w:color w:val="3E5588"/>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2</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3E5588"/>
              </w:rPr>
              <w:t>67,024</w:t>
            </w:r>
          </w:p>
        </w:tc>
        <w:tc>
          <w:tcPr>
            <w:tcW w:w="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72"/>
              <w:spacing w:after="0" w:line="159" w:lineRule="exact"/>
              <w:rPr>
                <w:sz w:val="20"/>
                <w:szCs w:val="20"/>
                <w:color w:val="auto"/>
              </w:rPr>
            </w:pPr>
            <w:r>
              <w:rPr>
                <w:rFonts w:ascii="Arial" w:cs="Arial" w:eastAsia="Arial" w:hAnsi="Arial"/>
                <w:sz w:val="14"/>
                <w:szCs w:val="14"/>
                <w:color w:val="3E5588"/>
                <w:w w:val="76"/>
              </w:rPr>
              <w:t>$</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4,452</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(68,124)</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(63,670)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Series B</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preferred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stock in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connection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with asset</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acquisition,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net of</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issuance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costs of $34</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3E5588"/>
                <w:w w:val="99"/>
              </w:rPr>
              <w:t>12,500,000</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3E5588"/>
              </w:rPr>
              <w:t>25,466</w:t>
            </w:r>
          </w:p>
        </w:tc>
        <w:tc>
          <w:tcPr>
            <w:tcW w:w="120" w:type="dxa"/>
            <w:vAlign w:val="bottom"/>
            <w:tcBorders>
              <w:right w:val="single" w:sz="8" w:color="3E5588"/>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Issuance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common</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stock</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134,013</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5</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5</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w w:val="98"/>
              </w:rPr>
              <w:t>Repurchase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unvested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rPr>
              <w:t>restricted</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w w:val="95"/>
              </w:rPr>
              <w:t>stock awards</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w w:val="99"/>
              </w:rPr>
              <w:t>—</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3E5588"/>
              </w:rPr>
              <w:t>43,922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3E5588"/>
              </w:rPr>
              <w:t>Retirement of</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3E5588"/>
              </w:rPr>
              <w:t>treasury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3E5588"/>
              </w:rPr>
              <w:t>shares</w:t>
            </w: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9"/>
              </w:rPr>
              <w:t>—</w:t>
            </w:r>
          </w:p>
        </w:tc>
        <w:tc>
          <w:tcPr>
            <w:tcW w:w="68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(110,946)</w:t>
            </w: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ind w:left="120"/>
              <w:spacing w:after="0" w:line="138" w:lineRule="exact"/>
              <w:rPr>
                <w:sz w:val="20"/>
                <w:szCs w:val="20"/>
                <w:color w:val="auto"/>
              </w:rPr>
            </w:pPr>
            <w:r>
              <w:rPr>
                <w:rFonts w:ascii="Arial" w:cs="Arial" w:eastAsia="Arial" w:hAnsi="Arial"/>
                <w:sz w:val="14"/>
                <w:szCs w:val="14"/>
                <w:color w:val="3E5588"/>
              </w:rPr>
              <w:t>Stock-based</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240"/>
              <w:spacing w:after="0" w:line="149" w:lineRule="exact"/>
              <w:rPr>
                <w:sz w:val="20"/>
                <w:szCs w:val="20"/>
                <w:color w:val="auto"/>
              </w:rPr>
            </w:pPr>
            <w:r>
              <w:rPr>
                <w:rFonts w:ascii="Arial" w:cs="Arial" w:eastAsia="Arial" w:hAnsi="Arial"/>
                <w:sz w:val="14"/>
                <w:szCs w:val="14"/>
                <w:color w:val="3E5588"/>
                <w:w w:val="89"/>
              </w:rPr>
              <w:t>compensation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240"/>
              <w:spacing w:after="0" w:line="159" w:lineRule="exact"/>
              <w:rPr>
                <w:sz w:val="20"/>
                <w:szCs w:val="20"/>
                <w:color w:val="auto"/>
              </w:rPr>
            </w:pPr>
            <w:r>
              <w:rPr>
                <w:rFonts w:ascii="Arial" w:cs="Arial" w:eastAsia="Arial" w:hAnsi="Arial"/>
                <w:sz w:val="14"/>
                <w:szCs w:val="14"/>
                <w:color w:val="3E5588"/>
              </w:rPr>
              <w:t>expense</w:t>
            </w:r>
          </w:p>
        </w:tc>
        <w:tc>
          <w:tcPr>
            <w:tcW w:w="7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7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3E5588"/>
            </w:tcBorders>
            <w:gridSpan w:val="2"/>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w w:val="99"/>
              </w:rPr>
              <w:t>—</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821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3E5588"/>
              </w:rPr>
              <w:t>821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Net loss</w:t>
            </w: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E5588"/>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tcBorders>
              <w:right w:val="single" w:sz="8" w:color="3E5588"/>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w w:val="99"/>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3E5588"/>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3E5588"/>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3E5588"/>
              </w:rPr>
              <w:t>(36,843)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3E5588"/>
              </w:rPr>
              <w:t>(36,843)</w:t>
            </w:r>
          </w:p>
        </w:tc>
        <w:tc>
          <w:tcPr>
            <w:tcW w:w="0" w:type="dxa"/>
            <w:vAlign w:val="bottom"/>
          </w:tcPr>
          <w:p>
            <w:pPr>
              <w:spacing w:after="0"/>
              <w:rPr>
                <w:sz w:val="1"/>
                <w:szCs w:val="1"/>
                <w:color w:val="auto"/>
              </w:rPr>
            </w:pPr>
          </w:p>
        </w:tc>
      </w:tr>
      <w:tr>
        <w:trPr>
          <w:trHeight w:val="131"/>
        </w:trPr>
        <w:tc>
          <w:tcPr>
            <w:tcW w:w="1060" w:type="dxa"/>
            <w:vAlign w:val="bottom"/>
            <w:gridSpan w:val="2"/>
          </w:tcPr>
          <w:p>
            <w:pPr>
              <w:spacing w:after="0" w:line="131" w:lineRule="exact"/>
              <w:rPr>
                <w:sz w:val="20"/>
                <w:szCs w:val="20"/>
                <w:color w:val="auto"/>
              </w:rPr>
            </w:pPr>
            <w:r>
              <w:rPr>
                <w:rFonts w:ascii="Arial" w:cs="Arial" w:eastAsia="Arial" w:hAnsi="Arial"/>
                <w:sz w:val="14"/>
                <w:szCs w:val="14"/>
                <w:color w:val="3E5588"/>
              </w:rPr>
              <w:t>Balance at</w:t>
            </w:r>
          </w:p>
        </w:tc>
        <w:tc>
          <w:tcPr>
            <w:tcW w:w="720" w:type="dxa"/>
            <w:vAlign w:val="bottom"/>
            <w:tcBorders>
              <w:top w:val="single" w:sz="8" w:color="3E5588"/>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3E5588"/>
            </w:tcBorders>
          </w:tcPr>
          <w:p>
            <w:pPr>
              <w:spacing w:after="0"/>
              <w:rPr>
                <w:sz w:val="11"/>
                <w:szCs w:val="11"/>
                <w:color w:val="auto"/>
              </w:rPr>
            </w:pPr>
          </w:p>
        </w:tc>
        <w:tc>
          <w:tcPr>
            <w:tcW w:w="44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3E5588"/>
            </w:tcBorders>
          </w:tcPr>
          <w:p>
            <w:pPr>
              <w:spacing w:after="0"/>
              <w:rPr>
                <w:sz w:val="11"/>
                <w:szCs w:val="11"/>
                <w:color w:val="auto"/>
              </w:rPr>
            </w:pPr>
          </w:p>
        </w:tc>
        <w:tc>
          <w:tcPr>
            <w:tcW w:w="520" w:type="dxa"/>
            <w:vAlign w:val="bottom"/>
            <w:tcBorders>
              <w:top w:val="single" w:sz="8" w:color="3E5588"/>
            </w:tcBorders>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Borders>
              <w:top w:val="single" w:sz="8" w:color="3E5588"/>
            </w:tcBorders>
          </w:tcPr>
          <w:p>
            <w:pPr>
              <w:spacing w:after="0"/>
              <w:rPr>
                <w:sz w:val="11"/>
                <w:szCs w:val="11"/>
                <w:color w:val="auto"/>
              </w:rPr>
            </w:pPr>
          </w:p>
        </w:tc>
        <w:tc>
          <w:tcPr>
            <w:tcW w:w="18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top w:val="single" w:sz="8" w:color="3E5588"/>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top w:val="single" w:sz="8" w:color="3E5588"/>
            </w:tcBorders>
          </w:tcPr>
          <w:p>
            <w:pPr>
              <w:spacing w:after="0"/>
              <w:rPr>
                <w:sz w:val="11"/>
                <w:szCs w:val="11"/>
                <w:color w:val="auto"/>
              </w:rPr>
            </w:pPr>
          </w:p>
        </w:tc>
        <w:tc>
          <w:tcPr>
            <w:tcW w:w="16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3E5588"/>
            </w:tcBorders>
          </w:tcPr>
          <w:p>
            <w:pPr>
              <w:spacing w:after="0"/>
              <w:rPr>
                <w:sz w:val="11"/>
                <w:szCs w:val="11"/>
                <w:color w:val="auto"/>
              </w:rPr>
            </w:pPr>
          </w:p>
        </w:tc>
        <w:tc>
          <w:tcPr>
            <w:tcW w:w="60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3E5588"/>
            </w:tcBorders>
          </w:tcPr>
          <w:p>
            <w:pPr>
              <w:spacing w:after="0"/>
              <w:rPr>
                <w:sz w:val="11"/>
                <w:szCs w:val="11"/>
                <w:color w:val="auto"/>
              </w:rPr>
            </w:pPr>
          </w:p>
        </w:tc>
        <w:tc>
          <w:tcPr>
            <w:tcW w:w="680" w:type="dxa"/>
            <w:vAlign w:val="bottom"/>
            <w:tcBorders>
              <w:top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3E5588"/>
            </w:tcBorders>
          </w:tcPr>
          <w:p>
            <w:pPr>
              <w:spacing w:after="0"/>
              <w:rPr>
                <w:sz w:val="11"/>
                <w:szCs w:val="11"/>
                <w:color w:val="auto"/>
              </w:rPr>
            </w:pPr>
          </w:p>
        </w:tc>
        <w:tc>
          <w:tcPr>
            <w:tcW w:w="740" w:type="dxa"/>
            <w:vAlign w:val="bottom"/>
            <w:tcBorders>
              <w:top w:val="single" w:sz="8" w:color="3E5588"/>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3E5588"/>
                <w:w w:val="92"/>
              </w:rPr>
              <w:t>March 31, 2019</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3E5588"/>
                <w:w w:val="96"/>
              </w:rPr>
              <w:t>60,000,000</w:t>
            </w:r>
          </w:p>
        </w:tc>
        <w:tc>
          <w:tcPr>
            <w:tcW w:w="4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3E5588"/>
                <w:w w:val="76"/>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3E5588"/>
                <w:w w:val="93"/>
              </w:rPr>
              <w:t>59,909</w:t>
            </w: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3E5588"/>
                <w:w w:val="99"/>
              </w:rPr>
              <w:t>52,500,000</w:t>
            </w:r>
          </w:p>
        </w:tc>
        <w:tc>
          <w:tcPr>
            <w:tcW w:w="60" w:type="dxa"/>
            <w:vAlign w:val="bottom"/>
          </w:tcPr>
          <w:p>
            <w:pPr>
              <w:spacing w:after="0"/>
              <w:rPr>
                <w:sz w:val="13"/>
                <w:szCs w:val="13"/>
                <w:color w:val="auto"/>
              </w:rPr>
            </w:pPr>
          </w:p>
        </w:tc>
        <w:tc>
          <w:tcPr>
            <w:tcW w:w="100" w:type="dxa"/>
            <w:vAlign w:val="bottom"/>
            <w:gridSpan w:val="2"/>
          </w:tcPr>
          <w:p>
            <w:pPr>
              <w:jc w:val="right"/>
              <w:spacing w:after="0" w:line="159" w:lineRule="exact"/>
              <w:rPr>
                <w:sz w:val="20"/>
                <w:szCs w:val="20"/>
                <w:color w:val="auto"/>
              </w:rPr>
            </w:pPr>
            <w:r>
              <w:rPr>
                <w:rFonts w:ascii="Arial" w:cs="Arial" w:eastAsia="Arial" w:hAnsi="Arial"/>
                <w:sz w:val="14"/>
                <w:szCs w:val="14"/>
                <w:color w:val="3E5588"/>
                <w:w w:val="76"/>
              </w:rPr>
              <w:t>$</w:t>
            </w: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3E5588"/>
                <w:w w:val="94"/>
              </w:rPr>
              <w:t>105,227</w:t>
            </w:r>
          </w:p>
        </w:tc>
        <w:tc>
          <w:tcPr>
            <w:tcW w:w="120" w:type="dxa"/>
            <w:vAlign w:val="bottom"/>
            <w:tcBorders>
              <w:right w:val="single" w:sz="8" w:color="3E5588"/>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rPr>
              <w:t>1,721,966</w:t>
            </w:r>
          </w:p>
        </w:tc>
        <w:tc>
          <w:tcPr>
            <w:tcW w:w="440" w:type="dxa"/>
            <w:vAlign w:val="bottom"/>
            <w:gridSpan w:val="2"/>
          </w:tcPr>
          <w:p>
            <w:pPr>
              <w:jc w:val="right"/>
              <w:ind w:right="252"/>
              <w:spacing w:after="0" w:line="159" w:lineRule="exact"/>
              <w:rPr>
                <w:sz w:val="20"/>
                <w:szCs w:val="20"/>
                <w:color w:val="auto"/>
              </w:rPr>
            </w:pPr>
            <w:r>
              <w:rPr>
                <w:rFonts w:ascii="Arial" w:cs="Arial" w:eastAsia="Arial" w:hAnsi="Arial"/>
                <w:sz w:val="14"/>
                <w:szCs w:val="14"/>
                <w:color w:val="3E5588"/>
              </w:rPr>
              <w:t>$</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rPr>
              <w:t>2</w:t>
            </w:r>
          </w:p>
        </w:tc>
        <w:tc>
          <w:tcPr>
            <w:tcW w:w="60" w:type="dxa"/>
            <w:vAlign w:val="bottom"/>
          </w:tcPr>
          <w:p>
            <w:pPr>
              <w:spacing w:after="0"/>
              <w:rPr>
                <w:sz w:val="13"/>
                <w:szCs w:val="13"/>
                <w:color w:val="auto"/>
              </w:rPr>
            </w:pPr>
          </w:p>
        </w:tc>
        <w:tc>
          <w:tcPr>
            <w:tcW w:w="1040" w:type="dxa"/>
            <w:vAlign w:val="bottom"/>
            <w:gridSpan w:val="4"/>
          </w:tcPr>
          <w:p>
            <w:pPr>
              <w:jc w:val="right"/>
              <w:ind w:right="272"/>
              <w:spacing w:after="0" w:line="159" w:lineRule="exact"/>
              <w:rPr>
                <w:sz w:val="20"/>
                <w:szCs w:val="20"/>
                <w:color w:val="auto"/>
              </w:rPr>
            </w:pPr>
            <w:r>
              <w:rPr>
                <w:rFonts w:ascii="Arial" w:cs="Arial" w:eastAsia="Arial" w:hAnsi="Arial"/>
                <w:sz w:val="14"/>
                <w:szCs w:val="14"/>
                <w:color w:val="3E5588"/>
              </w:rPr>
              <w:t>— $</w:t>
            </w: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5,278</w:t>
            </w:r>
          </w:p>
        </w:tc>
        <w:tc>
          <w:tcPr>
            <w:tcW w:w="20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3E5588"/>
              </w:rPr>
              <w:t>(104,967)</w:t>
            </w:r>
          </w:p>
        </w:tc>
        <w:tc>
          <w:tcPr>
            <w:tcW w:w="160" w:type="dxa"/>
            <w:vAlign w:val="bottom"/>
            <w:gridSpan w:val="2"/>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3E5588"/>
              </w:rPr>
              <w:t>(99,687)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44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Borders>
              <w:right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3E5588"/>
              <w:bottom w:val="single" w:sz="8" w:color="3E5588"/>
            </w:tcBorders>
          </w:tcPr>
          <w:p>
            <w:pPr>
              <w:spacing w:after="0" w:line="20" w:lineRule="exact"/>
              <w:rPr>
                <w:sz w:val="1"/>
                <w:szCs w:val="1"/>
                <w:color w:val="auto"/>
              </w:rPr>
            </w:pPr>
          </w:p>
        </w:tc>
        <w:tc>
          <w:tcPr>
            <w:tcW w:w="1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040" w:type="dxa"/>
            <w:vAlign w:val="bottom"/>
            <w:shd w:val="clear" w:color="auto" w:fill="CCEEFF"/>
          </w:tcPr>
          <w:p>
            <w:pPr>
              <w:spacing w:after="0" w:line="118" w:lineRule="exact"/>
              <w:rPr>
                <w:sz w:val="20"/>
                <w:szCs w:val="20"/>
                <w:color w:val="auto"/>
              </w:rPr>
            </w:pPr>
            <w:r>
              <w:rPr>
                <w:rFonts w:ascii="Arial" w:cs="Arial" w:eastAsia="Arial" w:hAnsi="Arial"/>
                <w:sz w:val="12"/>
                <w:szCs w:val="12"/>
                <w:color w:val="3E5588"/>
              </w:rPr>
              <w:t>Pro forma</w:t>
            </w:r>
          </w:p>
        </w:tc>
        <w:tc>
          <w:tcPr>
            <w:tcW w:w="7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3E5588"/>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w w:val="96"/>
              </w:rPr>
              <w:t>preferred stock</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and</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stockholders'</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equity</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3E5588"/>
              </w:rPr>
              <w:t>(unaudited):</w:t>
            </w: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0" w:type="dxa"/>
            <w:vAlign w:val="bottom"/>
            <w:tcBorders>
              <w:right w:val="single" w:sz="8" w:color="3E5588"/>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40" w:type="dxa"/>
            <w:vAlign w:val="bottom"/>
          </w:tcPr>
          <w:p>
            <w:pPr>
              <w:spacing w:after="0" w:line="138" w:lineRule="exact"/>
              <w:rPr>
                <w:sz w:val="20"/>
                <w:szCs w:val="20"/>
                <w:color w:val="auto"/>
              </w:rPr>
            </w:pPr>
            <w:r>
              <w:rPr>
                <w:rFonts w:ascii="Arial" w:cs="Arial" w:eastAsia="Arial" w:hAnsi="Arial"/>
                <w:sz w:val="14"/>
                <w:szCs w:val="14"/>
                <w:color w:val="3E5588"/>
              </w:rPr>
              <w:t>Conversion of</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3E5588"/>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convertible</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w w:val="96"/>
              </w:rPr>
              <w:t>preferred 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ind w:left="120"/>
              <w:spacing w:after="0" w:line="149" w:lineRule="exact"/>
              <w:rPr>
                <w:sz w:val="20"/>
                <w:szCs w:val="20"/>
                <w:color w:val="auto"/>
              </w:rPr>
            </w:pPr>
            <w:r>
              <w:rPr>
                <w:rFonts w:ascii="Arial" w:cs="Arial" w:eastAsia="Arial" w:hAnsi="Arial"/>
                <w:sz w:val="14"/>
                <w:szCs w:val="14"/>
                <w:color w:val="3E5588"/>
              </w:rPr>
              <w:t>into common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3E5588"/>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tcPr>
          <w:p>
            <w:pPr>
              <w:ind w:left="120"/>
              <w:spacing w:after="0" w:line="159" w:lineRule="exact"/>
              <w:rPr>
                <w:sz w:val="20"/>
                <w:szCs w:val="20"/>
                <w:color w:val="auto"/>
              </w:rPr>
            </w:pPr>
            <w:r>
              <w:rPr>
                <w:rFonts w:ascii="Arial" w:cs="Arial" w:eastAsia="Arial" w:hAnsi="Arial"/>
                <w:sz w:val="14"/>
                <w:szCs w:val="14"/>
                <w:color w:val="3E5588"/>
              </w:rPr>
              <w:t>stock</w:t>
            </w:r>
          </w:p>
        </w:tc>
        <w:tc>
          <w:tcPr>
            <w:tcW w:w="7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3E5588"/>
                <w:w w:val="90"/>
              </w:rPr>
              <w:t>(60,000,000)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3E5588"/>
                <w:w w:val="88"/>
              </w:rPr>
              <w:t>(59,909)</w:t>
            </w:r>
          </w:p>
        </w:tc>
        <w:tc>
          <w:tcPr>
            <w:tcW w:w="78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3E5588"/>
                <w:w w:val="93"/>
              </w:rPr>
              <w:t>(52,500,000)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Borders>
              <w:right w:val="single" w:sz="8" w:color="3E5588"/>
            </w:tcBorders>
            <w:gridSpan w:val="2"/>
          </w:tcPr>
          <w:p>
            <w:pPr>
              <w:jc w:val="right"/>
              <w:ind w:right="100"/>
              <w:spacing w:after="0" w:line="159" w:lineRule="exact"/>
              <w:rPr>
                <w:sz w:val="20"/>
                <w:szCs w:val="20"/>
                <w:color w:val="auto"/>
              </w:rPr>
            </w:pPr>
            <w:r>
              <w:rPr>
                <w:rFonts w:ascii="Arial" w:cs="Arial" w:eastAsia="Arial" w:hAnsi="Arial"/>
                <w:sz w:val="14"/>
                <w:szCs w:val="14"/>
                <w:color w:val="3E5588"/>
                <w:w w:val="86"/>
              </w:rPr>
              <w:t>(105,227)</w:t>
            </w:r>
          </w:p>
        </w:tc>
        <w:tc>
          <w:tcPr>
            <w:tcW w:w="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3E5588"/>
                <w:w w:val="91"/>
              </w:rPr>
              <w:t>16,071,418</w:t>
            </w: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3E5588"/>
                <w:w w:val="89"/>
              </w:rPr>
              <w:t>16</w:t>
            </w:r>
          </w:p>
        </w:tc>
        <w:tc>
          <w:tcPr>
            <w:tcW w:w="60" w:type="dxa"/>
            <w:vAlign w:val="bottom"/>
          </w:tcPr>
          <w:p>
            <w:pPr>
              <w:spacing w:after="0"/>
              <w:rPr>
                <w:sz w:val="13"/>
                <w:szCs w:val="13"/>
                <w:color w:val="auto"/>
              </w:rPr>
            </w:pP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gridSpan w:val="3"/>
          </w:tcPr>
          <w:p>
            <w:pPr>
              <w:ind w:left="20"/>
              <w:spacing w:after="0" w:line="159" w:lineRule="exact"/>
              <w:rPr>
                <w:sz w:val="20"/>
                <w:szCs w:val="20"/>
                <w:color w:val="auto"/>
              </w:rPr>
            </w:pPr>
            <w:r>
              <w:rPr>
                <w:rFonts w:ascii="Arial" w:cs="Arial" w:eastAsia="Arial" w:hAnsi="Arial"/>
                <w:sz w:val="14"/>
                <w:szCs w:val="14"/>
                <w:color w:val="3E5588"/>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3E5588"/>
              </w:rPr>
              <w:t>165,120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3E5588"/>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3E5588"/>
              </w:rPr>
              <w:t>165,136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shd w:val="clear" w:color="auto" w:fill="CCEEFF"/>
          </w:tcPr>
          <w:p>
            <w:pPr>
              <w:spacing w:after="0" w:line="131" w:lineRule="exact"/>
              <w:rPr>
                <w:sz w:val="20"/>
                <w:szCs w:val="20"/>
                <w:color w:val="auto"/>
              </w:rPr>
            </w:pPr>
            <w:r>
              <w:rPr>
                <w:rFonts w:ascii="Arial" w:cs="Arial" w:eastAsia="Arial" w:hAnsi="Arial"/>
                <w:sz w:val="14"/>
                <w:szCs w:val="14"/>
                <w:color w:val="3E5588"/>
                <w:w w:val="89"/>
              </w:rPr>
              <w:t>Pro forma balance</w:t>
            </w:r>
          </w:p>
        </w:tc>
        <w:tc>
          <w:tcPr>
            <w:tcW w:w="720" w:type="dxa"/>
            <w:vAlign w:val="bottom"/>
            <w:tcBorders>
              <w:top w:val="single" w:sz="8" w:color="3E5588"/>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44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520" w:type="dxa"/>
            <w:vAlign w:val="bottom"/>
            <w:tcBorders>
              <w:top w:val="single" w:sz="8" w:color="3E5588"/>
            </w:tcBorders>
            <w:shd w:val="clear" w:color="auto" w:fill="CCEEFF"/>
          </w:tcPr>
          <w:p>
            <w:pPr>
              <w:spacing w:after="0"/>
              <w:rPr>
                <w:sz w:val="11"/>
                <w:szCs w:val="11"/>
                <w:color w:val="auto"/>
              </w:rPr>
            </w:pPr>
          </w:p>
        </w:tc>
        <w:tc>
          <w:tcPr>
            <w:tcW w:w="120" w:type="dxa"/>
            <w:vAlign w:val="bottom"/>
            <w:tcBorders>
              <w:right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tcBorders>
              <w:top w:val="single" w:sz="8" w:color="3E5588"/>
            </w:tcBorders>
            <w:shd w:val="clear" w:color="auto" w:fill="CCEEFF"/>
          </w:tcPr>
          <w:p>
            <w:pPr>
              <w:spacing w:after="0"/>
              <w:rPr>
                <w:sz w:val="11"/>
                <w:szCs w:val="11"/>
                <w:color w:val="auto"/>
              </w:rPr>
            </w:pPr>
          </w:p>
        </w:tc>
        <w:tc>
          <w:tcPr>
            <w:tcW w:w="1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tcBorders>
              <w:top w:val="single" w:sz="8" w:color="3E5588"/>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tcBorders>
              <w:top w:val="single" w:sz="8" w:color="3E5588"/>
            </w:tcBorders>
            <w:shd w:val="clear" w:color="auto" w:fill="CCEEFF"/>
          </w:tcPr>
          <w:p>
            <w:pPr>
              <w:spacing w:after="0"/>
              <w:rPr>
                <w:sz w:val="11"/>
                <w:szCs w:val="11"/>
                <w:color w:val="auto"/>
              </w:rPr>
            </w:pPr>
          </w:p>
        </w:tc>
        <w:tc>
          <w:tcPr>
            <w:tcW w:w="16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3E5588"/>
            </w:tcBorders>
            <w:shd w:val="clear" w:color="auto" w:fill="CCEEFF"/>
          </w:tcPr>
          <w:p>
            <w:pPr>
              <w:spacing w:after="0"/>
              <w:rPr>
                <w:sz w:val="11"/>
                <w:szCs w:val="11"/>
                <w:color w:val="auto"/>
              </w:rPr>
            </w:pPr>
          </w:p>
        </w:tc>
        <w:tc>
          <w:tcPr>
            <w:tcW w:w="60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680" w:type="dxa"/>
            <w:vAlign w:val="bottom"/>
            <w:tcBorders>
              <w:top w:val="single" w:sz="8" w:color="3E5588"/>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top w:val="single" w:sz="8" w:color="3E5588"/>
            </w:tcBorders>
            <w:shd w:val="clear" w:color="auto" w:fill="CCEEFF"/>
          </w:tcPr>
          <w:p>
            <w:pPr>
              <w:spacing w:after="0"/>
              <w:rPr>
                <w:sz w:val="11"/>
                <w:szCs w:val="11"/>
                <w:color w:val="auto"/>
              </w:rPr>
            </w:pPr>
          </w:p>
        </w:tc>
        <w:tc>
          <w:tcPr>
            <w:tcW w:w="740" w:type="dxa"/>
            <w:vAlign w:val="bottom"/>
            <w:tcBorders>
              <w:top w:val="single" w:sz="8" w:color="3E5588"/>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3E5588"/>
              </w:rPr>
              <w:t>at March 31,</w:t>
            </w: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3E5588"/>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3E5588"/>
              </w:rPr>
              <w:t>2019</w:t>
            </w:r>
          </w:p>
        </w:tc>
        <w:tc>
          <w:tcPr>
            <w:tcW w:w="8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3E5588"/>
              </w:rPr>
              <w:t>— $</w:t>
            </w:r>
          </w:p>
        </w:tc>
        <w:tc>
          <w:tcPr>
            <w:tcW w:w="5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3E5588"/>
              </w:rPr>
              <w:t>—</w:t>
            </w:r>
          </w:p>
        </w:tc>
        <w:tc>
          <w:tcPr>
            <w:tcW w:w="88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3E5588"/>
              </w:rPr>
              <w:t>— $</w:t>
            </w:r>
          </w:p>
        </w:tc>
        <w:tc>
          <w:tcPr>
            <w:tcW w:w="640" w:type="dxa"/>
            <w:vAlign w:val="bottom"/>
            <w:tcBorders>
              <w:right w:val="single" w:sz="8" w:color="3E5588"/>
            </w:tcBorders>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3E5588"/>
              </w:rPr>
              <w:t>—</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91"/>
              </w:rPr>
              <w:t>17,793,384</w:t>
            </w:r>
          </w:p>
        </w:tc>
        <w:tc>
          <w:tcPr>
            <w:tcW w:w="440" w:type="dxa"/>
            <w:vAlign w:val="bottom"/>
            <w:gridSpan w:val="2"/>
            <w:shd w:val="clear" w:color="auto" w:fill="CCEEFF"/>
          </w:tcPr>
          <w:p>
            <w:pPr>
              <w:jc w:val="right"/>
              <w:ind w:right="252"/>
              <w:spacing w:after="0" w:line="159" w:lineRule="exact"/>
              <w:rPr>
                <w:sz w:val="20"/>
                <w:szCs w:val="20"/>
                <w:color w:val="auto"/>
              </w:rPr>
            </w:pPr>
            <w:r>
              <w:rPr>
                <w:rFonts w:ascii="Arial" w:cs="Arial" w:eastAsia="Arial" w:hAnsi="Arial"/>
                <w:sz w:val="14"/>
                <w:szCs w:val="14"/>
                <w:color w:val="3E5588"/>
              </w:rPr>
              <w:t>$</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w w:val="89"/>
              </w:rPr>
              <w:t>18</w:t>
            </w:r>
          </w:p>
        </w:tc>
        <w:tc>
          <w:tcPr>
            <w:tcW w:w="6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ind w:right="272"/>
              <w:spacing w:after="0" w:line="159" w:lineRule="exact"/>
              <w:rPr>
                <w:sz w:val="20"/>
                <w:szCs w:val="20"/>
                <w:color w:val="auto"/>
              </w:rPr>
            </w:pPr>
            <w:r>
              <w:rPr>
                <w:rFonts w:ascii="Arial" w:cs="Arial" w:eastAsia="Arial" w:hAnsi="Arial"/>
                <w:sz w:val="14"/>
                <w:szCs w:val="14"/>
                <w:color w:val="3E5588"/>
              </w:rPr>
              <w:t>— $</w:t>
            </w:r>
          </w:p>
        </w:tc>
        <w:tc>
          <w:tcPr>
            <w:tcW w:w="30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3E5588"/>
              </w:rPr>
              <w:t>— $</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170,398</w:t>
            </w:r>
          </w:p>
        </w:tc>
        <w:tc>
          <w:tcPr>
            <w:tcW w:w="20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rPr>
              <w:t>$</w:t>
            </w:r>
          </w:p>
        </w:tc>
        <w:tc>
          <w:tcPr>
            <w:tcW w:w="7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3E5588"/>
              </w:rPr>
              <w:t>(104,967)</w:t>
            </w:r>
          </w:p>
        </w:tc>
        <w:tc>
          <w:tcPr>
            <w:tcW w:w="160" w:type="dxa"/>
            <w:vAlign w:val="bottom"/>
            <w:gridSpan w:val="2"/>
            <w:shd w:val="clear" w:color="auto" w:fill="CCEEFF"/>
          </w:tcPr>
          <w:p>
            <w:pPr>
              <w:jc w:val="right"/>
              <w:ind w:right="12"/>
              <w:spacing w:after="0" w:line="159" w:lineRule="exact"/>
              <w:rPr>
                <w:sz w:val="20"/>
                <w:szCs w:val="20"/>
                <w:color w:val="auto"/>
              </w:rPr>
            </w:pPr>
            <w:r>
              <w:rPr>
                <w:rFonts w:ascii="Arial" w:cs="Arial" w:eastAsia="Arial" w:hAnsi="Arial"/>
                <w:sz w:val="14"/>
                <w:szCs w:val="14"/>
                <w:color w:val="3E5588"/>
                <w:w w:val="76"/>
              </w:rPr>
              <w:t>$</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3E5588"/>
              </w:rPr>
              <w:t>65,449</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44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52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Borders>
              <w:right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3E5588"/>
              <w:bottom w:val="single" w:sz="8" w:color="3E5588"/>
            </w:tcBorders>
          </w:tcPr>
          <w:p>
            <w:pPr>
              <w:spacing w:after="0" w:line="20" w:lineRule="exact"/>
              <w:rPr>
                <w:sz w:val="1"/>
                <w:szCs w:val="1"/>
                <w:color w:val="auto"/>
              </w:rPr>
            </w:pPr>
          </w:p>
        </w:tc>
        <w:tc>
          <w:tcPr>
            <w:tcW w:w="1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3E5588"/>
              <w:bottom w:val="single" w:sz="8" w:color="3E5588"/>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680" w:type="dxa"/>
            <w:vAlign w:val="bottom"/>
            <w:tcBorders>
              <w:top w:val="single" w:sz="8" w:color="3E5588"/>
              <w:bottom w:val="single" w:sz="8" w:color="3E5588"/>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74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3E5588"/>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3E5588"/>
        </w:rPr>
        <w:t>Consolidated Statements of Cash Flows</w:t>
      </w:r>
    </w:p>
    <w:p>
      <w:pPr>
        <w:spacing w:after="0" w:line="225"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3E5588"/>
        </w:rPr>
        <w:t>(In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3E5588"/>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3E5588"/>
                <w:w w:val="89"/>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3E5588"/>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top w:val="single" w:sz="8" w:color="3E5588"/>
              <w:bottom w:val="single" w:sz="8" w:color="3E5588"/>
            </w:tcBorders>
          </w:tcPr>
          <w:p>
            <w:pPr>
              <w:spacing w:after="0"/>
              <w:rPr>
                <w:sz w:val="12"/>
                <w:szCs w:val="12"/>
                <w:color w:val="auto"/>
              </w:rPr>
            </w:pPr>
          </w:p>
        </w:tc>
        <w:tc>
          <w:tcPr>
            <w:tcW w:w="560" w:type="dxa"/>
            <w:vAlign w:val="bottom"/>
            <w:tcBorders>
              <w:top w:val="single" w:sz="8" w:color="3E5588"/>
              <w:bottom w:val="single" w:sz="8" w:color="3E5588"/>
            </w:tcBorders>
          </w:tcPr>
          <w:p>
            <w:pPr>
              <w:jc w:val="right"/>
              <w:ind w:right="134"/>
              <w:spacing w:after="0" w:line="142" w:lineRule="exact"/>
              <w:rPr>
                <w:sz w:val="20"/>
                <w:szCs w:val="20"/>
                <w:color w:val="auto"/>
              </w:rPr>
            </w:pPr>
            <w:r>
              <w:rPr>
                <w:rFonts w:ascii="Arial" w:cs="Arial" w:eastAsia="Arial" w:hAnsi="Arial"/>
                <w:sz w:val="14"/>
                <w:szCs w:val="14"/>
                <w:b w:val="1"/>
                <w:bCs w:val="1"/>
                <w:color w:val="3E5588"/>
              </w:rPr>
              <w:t>2018</w:t>
            </w:r>
          </w:p>
        </w:tc>
        <w:tc>
          <w:tcPr>
            <w:tcW w:w="100" w:type="dxa"/>
            <w:vAlign w:val="bottom"/>
            <w:tcBorders>
              <w:top w:val="single" w:sz="8" w:color="3E5588"/>
            </w:tcBorders>
          </w:tcPr>
          <w:p>
            <w:pPr>
              <w:spacing w:after="0"/>
              <w:rPr>
                <w:sz w:val="12"/>
                <w:szCs w:val="12"/>
                <w:color w:val="auto"/>
              </w:rPr>
            </w:pPr>
          </w:p>
        </w:tc>
        <w:tc>
          <w:tcPr>
            <w:tcW w:w="60" w:type="dxa"/>
            <w:vAlign w:val="bottom"/>
            <w:tcBorders>
              <w:top w:val="single" w:sz="8" w:color="3E5588"/>
            </w:tcBorders>
          </w:tcPr>
          <w:p>
            <w:pPr>
              <w:spacing w:after="0"/>
              <w:rPr>
                <w:sz w:val="12"/>
                <w:szCs w:val="12"/>
                <w:color w:val="auto"/>
              </w:rPr>
            </w:pPr>
          </w:p>
        </w:tc>
        <w:tc>
          <w:tcPr>
            <w:tcW w:w="120" w:type="dxa"/>
            <w:vAlign w:val="bottom"/>
            <w:tcBorders>
              <w:top w:val="single" w:sz="8" w:color="3E5588"/>
              <w:bottom w:val="single" w:sz="8" w:color="3E5588"/>
            </w:tcBorders>
          </w:tcPr>
          <w:p>
            <w:pPr>
              <w:spacing w:after="0"/>
              <w:rPr>
                <w:sz w:val="12"/>
                <w:szCs w:val="12"/>
                <w:color w:val="auto"/>
              </w:rPr>
            </w:pPr>
          </w:p>
        </w:tc>
        <w:tc>
          <w:tcPr>
            <w:tcW w:w="600" w:type="dxa"/>
            <w:vAlign w:val="bottom"/>
            <w:tcBorders>
              <w:top w:val="single" w:sz="8" w:color="3E5588"/>
              <w:bottom w:val="single" w:sz="8" w:color="3E5588"/>
            </w:tcBorders>
          </w:tcPr>
          <w:p>
            <w:pPr>
              <w:jc w:val="right"/>
              <w:ind w:right="153"/>
              <w:spacing w:after="0" w:line="142" w:lineRule="exact"/>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3E5588"/>
              </w:rPr>
              <w:t>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3E5588"/>
              </w:rPr>
              <w:t>Net loss</w:t>
            </w:r>
          </w:p>
        </w:tc>
        <w:tc>
          <w:tcPr>
            <w:tcW w:w="8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3E5588"/>
              </w:rPr>
              <w:t>(6,940)</w:t>
            </w:r>
          </w:p>
        </w:tc>
        <w:tc>
          <w:tcPr>
            <w:tcW w:w="1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E5588"/>
                <w:w w:val="95"/>
              </w:rPr>
              <w:t>(36,843)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Adjustments to reconcile net loss to 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3E5588"/>
              </w:rPr>
              <w:t>Depreciation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E5588"/>
              </w:rPr>
              <w:t>174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E5588"/>
              </w:rPr>
              <w:t>504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Stock-based compensation expense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429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821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3E5588"/>
              </w:rPr>
              <w:t>In-process research and development expenses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E5588"/>
              </w:rPr>
              <w:t>25,591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Changes in operating assets and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3E5588"/>
              </w:rPr>
              <w:t>Prepaid expenses and other current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3E5588"/>
              </w:rPr>
              <w:t>(565)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E5588"/>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3E5588"/>
              </w:rPr>
              <w:t>Other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3E5588"/>
              </w:rPr>
              <w:t>Accounts payable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E5588"/>
              </w:rPr>
              <w:t>196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3E5588"/>
              </w:rPr>
              <w:t>1,233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3E5588"/>
              </w:rPr>
              <w:t>Accrued expenses and other current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(430)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Arial" w:cs="Arial" w:eastAsia="Arial" w:hAnsi="Arial"/>
                <w:sz w:val="18"/>
                <w:szCs w:val="18"/>
                <w:color w:val="3E5588"/>
              </w:rPr>
              <w:t>Deferred rent and deferred lease incentive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E5588"/>
              </w:rPr>
              <w:t>476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E5588"/>
              </w:rPr>
              <w:t>(69)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56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Net cash used in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(6,632)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(9,897)</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3E5588"/>
              </w:rPr>
              <w:t>Investing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Purchases of property and equipment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3E5588"/>
              </w:rPr>
              <w:t>Transaction costs associated with asset acquisition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E55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E5588"/>
              </w:rPr>
              <w:t>(91)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56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Net cash used in investing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(783)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(401)</w:t>
            </w:r>
          </w:p>
        </w:tc>
        <w:tc>
          <w:tcPr>
            <w:tcW w:w="0" w:type="dxa"/>
            <w:vAlign w:val="bottom"/>
          </w:tcPr>
          <w:p>
            <w:pPr>
              <w:spacing w:after="0"/>
              <w:rPr>
                <w:sz w:val="1"/>
                <w:szCs w:val="1"/>
                <w:color w:val="auto"/>
              </w:rPr>
            </w:pPr>
          </w:p>
        </w:tc>
      </w:tr>
      <w:tr>
        <w:trPr>
          <w:trHeight w:val="430"/>
        </w:trPr>
        <w:tc>
          <w:tcPr>
            <w:tcW w:w="6680" w:type="dxa"/>
            <w:vAlign w:val="bottom"/>
            <w:gridSpan w:val="2"/>
          </w:tcPr>
          <w:p>
            <w:pPr>
              <w:spacing w:after="0"/>
              <w:rPr>
                <w:sz w:val="20"/>
                <w:szCs w:val="20"/>
                <w:color w:val="auto"/>
              </w:rPr>
            </w:pPr>
            <w:r>
              <w:rPr>
                <w:rFonts w:ascii="Arial" w:cs="Arial" w:eastAsia="Arial" w:hAnsi="Arial"/>
                <w:sz w:val="18"/>
                <w:szCs w:val="18"/>
                <w:b w:val="1"/>
                <w:bCs w:val="1"/>
                <w:color w:val="3E5588"/>
              </w:rPr>
              <w:t>Financing activities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w w:val="97"/>
              </w:rPr>
              <w:t>Proceeds from issuance of Series A convertible preferred stock, net of issuance costs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4"/>
              </w:rPr>
              <w:t>12,665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3E5588"/>
              </w:rPr>
              <w:t>Issuance costs associated with issuance of Series B convertible preferred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E5588"/>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Principal payments on capital lease obligations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3E5588"/>
              </w:rPr>
              <w:t>(42)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3E5588"/>
              </w:rPr>
              <w:t>Proceeds from issuance of common stock (repurchases of common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3E5588"/>
              </w:rPr>
              <w:t>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3E5588"/>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56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3E5588"/>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Net cash provided by (used in)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94"/>
              </w:rPr>
              <w:t>12,640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(47)</w:t>
            </w: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3E5588"/>
              </w:rPr>
              <w:t>Net increase (decrease) in cash, cash equivalents and restricted cash</w:t>
            </w:r>
          </w:p>
        </w:tc>
        <w:tc>
          <w:tcPr>
            <w:tcW w:w="740" w:type="dxa"/>
            <w:vAlign w:val="bottom"/>
          </w:tcPr>
          <w:p>
            <w:pPr>
              <w:spacing w:after="0"/>
              <w:rPr>
                <w:sz w:val="18"/>
                <w:szCs w:val="18"/>
                <w:color w:val="auto"/>
              </w:rPr>
            </w:pPr>
          </w:p>
        </w:tc>
        <w:tc>
          <w:tcPr>
            <w:tcW w:w="120" w:type="dxa"/>
            <w:vAlign w:val="bottom"/>
            <w:tcBorders>
              <w:top w:val="single" w:sz="8" w:color="3E5588"/>
            </w:tcBorders>
          </w:tcPr>
          <w:p>
            <w:pPr>
              <w:spacing w:after="0"/>
              <w:rPr>
                <w:sz w:val="18"/>
                <w:szCs w:val="18"/>
                <w:color w:val="auto"/>
              </w:rPr>
            </w:pPr>
          </w:p>
        </w:tc>
        <w:tc>
          <w:tcPr>
            <w:tcW w:w="560" w:type="dxa"/>
            <w:vAlign w:val="bottom"/>
            <w:tcBorders>
              <w:top w:val="single" w:sz="8" w:color="3E5588"/>
            </w:tcBorders>
          </w:tcPr>
          <w:p>
            <w:pPr>
              <w:jc w:val="right"/>
              <w:spacing w:after="0"/>
              <w:rPr>
                <w:sz w:val="20"/>
                <w:szCs w:val="20"/>
                <w:color w:val="auto"/>
              </w:rPr>
            </w:pPr>
            <w:r>
              <w:rPr>
                <w:rFonts w:ascii="Arial" w:cs="Arial" w:eastAsia="Arial" w:hAnsi="Arial"/>
                <w:sz w:val="18"/>
                <w:szCs w:val="18"/>
                <w:color w:val="3E5588"/>
              </w:rPr>
              <w:t>5,225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3E5588"/>
            </w:tcBorders>
          </w:tcPr>
          <w:p>
            <w:pPr>
              <w:spacing w:after="0"/>
              <w:rPr>
                <w:sz w:val="18"/>
                <w:szCs w:val="18"/>
                <w:color w:val="auto"/>
              </w:rPr>
            </w:pPr>
          </w:p>
        </w:tc>
        <w:tc>
          <w:tcPr>
            <w:tcW w:w="600" w:type="dxa"/>
            <w:vAlign w:val="bottom"/>
            <w:tcBorders>
              <w:top w:val="single" w:sz="8" w:color="3E5588"/>
            </w:tcBorders>
          </w:tcPr>
          <w:p>
            <w:pPr>
              <w:jc w:val="right"/>
              <w:spacing w:after="0"/>
              <w:rPr>
                <w:sz w:val="20"/>
                <w:szCs w:val="20"/>
                <w:color w:val="auto"/>
              </w:rPr>
            </w:pPr>
            <w:r>
              <w:rPr>
                <w:rFonts w:ascii="Arial" w:cs="Arial" w:eastAsia="Arial" w:hAnsi="Arial"/>
                <w:sz w:val="18"/>
                <w:szCs w:val="18"/>
                <w:color w:val="3E5588"/>
                <w:w w:val="86"/>
              </w:rPr>
              <w:t>(10,345)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Cash, cash equivalents, and restricted cash, beginning of period</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3E5588"/>
            </w:tcBorders>
            <w:shd w:val="clear" w:color="auto" w:fill="CCEEFF"/>
          </w:tcPr>
          <w:p>
            <w:pPr>
              <w:spacing w:after="0"/>
              <w:rPr>
                <w:sz w:val="18"/>
                <w:szCs w:val="18"/>
                <w:color w:val="auto"/>
              </w:rPr>
            </w:pPr>
          </w:p>
        </w:tc>
        <w:tc>
          <w:tcPr>
            <w:tcW w:w="56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407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3E5588"/>
            </w:tcBorders>
            <w:shd w:val="clear" w:color="auto" w:fill="CCEEFF"/>
          </w:tcPr>
          <w:p>
            <w:pPr>
              <w:spacing w:after="0"/>
              <w:rPr>
                <w:sz w:val="18"/>
                <w:szCs w:val="18"/>
                <w:color w:val="auto"/>
              </w:rPr>
            </w:pPr>
          </w:p>
        </w:tc>
        <w:tc>
          <w:tcPr>
            <w:tcW w:w="60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73,889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3E5588"/>
              </w:rPr>
              <w:t>Cash, cash equivalents, and restricted cash, end of period</w:t>
            </w:r>
          </w:p>
        </w:tc>
        <w:tc>
          <w:tcPr>
            <w:tcW w:w="740" w:type="dxa"/>
            <w:vAlign w:val="bottom"/>
          </w:tcPr>
          <w:p>
            <w:pPr>
              <w:spacing w:after="0"/>
              <w:rPr>
                <w:sz w:val="18"/>
                <w:szCs w:val="18"/>
                <w:color w:val="auto"/>
              </w:rPr>
            </w:pPr>
          </w:p>
        </w:tc>
        <w:tc>
          <w:tcPr>
            <w:tcW w:w="12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56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5,632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3E5588"/>
            </w:tcBorders>
          </w:tcPr>
          <w:p>
            <w:pPr>
              <w:jc w:val="right"/>
              <w:spacing w:after="0"/>
              <w:rPr>
                <w:sz w:val="20"/>
                <w:szCs w:val="20"/>
                <w:color w:val="auto"/>
              </w:rPr>
            </w:pPr>
            <w:r>
              <w:rPr>
                <w:rFonts w:ascii="Arial" w:cs="Arial" w:eastAsia="Arial" w:hAnsi="Arial"/>
                <w:sz w:val="15"/>
                <w:szCs w:val="15"/>
                <w:color w:val="3E5588"/>
                <w:w w:val="71"/>
              </w:rPr>
              <w:t>$</w:t>
            </w:r>
          </w:p>
        </w:tc>
        <w:tc>
          <w:tcPr>
            <w:tcW w:w="60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63,544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3E5588"/>
            </w:tcBorders>
          </w:tcPr>
          <w:p>
            <w:pPr>
              <w:spacing w:after="0" w:line="20" w:lineRule="exact"/>
              <w:rPr>
                <w:sz w:val="1"/>
                <w:szCs w:val="1"/>
                <w:color w:val="auto"/>
              </w:rPr>
            </w:pPr>
          </w:p>
        </w:tc>
        <w:tc>
          <w:tcPr>
            <w:tcW w:w="560" w:type="dxa"/>
            <w:vAlign w:val="bottom"/>
            <w:tcBorders>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3E5588"/>
            </w:tcBorders>
          </w:tcPr>
          <w:p>
            <w:pPr>
              <w:spacing w:after="0" w:line="20" w:lineRule="exact"/>
              <w:rPr>
                <w:sz w:val="1"/>
                <w:szCs w:val="1"/>
                <w:color w:val="auto"/>
              </w:rPr>
            </w:pPr>
          </w:p>
        </w:tc>
        <w:tc>
          <w:tcPr>
            <w:tcW w:w="60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3E5588"/>
              </w:rPr>
              <w:t>Supplemental cash flow information</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3E5588"/>
              </w:rPr>
              <w:t>Cash paid for interest</w:t>
            </w:r>
          </w:p>
        </w:tc>
        <w:tc>
          <w:tcPr>
            <w:tcW w:w="8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560" w:type="dxa"/>
            <w:vAlign w:val="bottom"/>
          </w:tcPr>
          <w:p>
            <w:pPr>
              <w:jc w:val="right"/>
              <w:spacing w:after="0"/>
              <w:rPr>
                <w:sz w:val="20"/>
                <w:szCs w:val="20"/>
                <w:color w:val="auto"/>
              </w:rPr>
            </w:pPr>
            <w:r>
              <w:rPr>
                <w:rFonts w:ascii="Arial" w:cs="Arial" w:eastAsia="Arial" w:hAnsi="Arial"/>
                <w:sz w:val="18"/>
                <w:szCs w:val="18"/>
                <w:color w:val="3E5588"/>
              </w:rPr>
              <w:t>2</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00" w:type="dxa"/>
            <w:vAlign w:val="bottom"/>
          </w:tcPr>
          <w:p>
            <w:pPr>
              <w:jc w:val="right"/>
              <w:spacing w:after="0"/>
              <w:rPr>
                <w:sz w:val="20"/>
                <w:szCs w:val="20"/>
                <w:color w:val="auto"/>
              </w:rPr>
            </w:pPr>
            <w:r>
              <w:rPr>
                <w:rFonts w:ascii="Arial" w:cs="Arial" w:eastAsia="Arial" w:hAnsi="Arial"/>
                <w:sz w:val="18"/>
                <w:szCs w:val="18"/>
                <w:color w:val="3E5588"/>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Non-cash investing and financing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3E5588"/>
              </w:rPr>
              <w:t>Acquisition of in process research and development through issuance of stock</w:t>
            </w:r>
          </w:p>
        </w:tc>
        <w:tc>
          <w:tcPr>
            <w:tcW w:w="8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3E5588"/>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00" w:type="dxa"/>
            <w:vAlign w:val="bottom"/>
          </w:tcPr>
          <w:p>
            <w:pPr>
              <w:jc w:val="right"/>
              <w:spacing w:after="0"/>
              <w:rPr>
                <w:sz w:val="20"/>
                <w:szCs w:val="20"/>
                <w:color w:val="auto"/>
              </w:rPr>
            </w:pPr>
            <w:r>
              <w:rPr>
                <w:rFonts w:ascii="Arial" w:cs="Arial" w:eastAsia="Arial" w:hAnsi="Arial"/>
                <w:sz w:val="18"/>
                <w:szCs w:val="18"/>
                <w:color w:val="3E5588"/>
              </w:rPr>
              <w:t>25,500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3E5588"/>
              </w:rPr>
              <w:t>Property and equipment purchases unpaid at end of period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1,778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3E5588"/>
              </w:rPr>
              <w:t>Deferred offering costs unpaid at end of period</w:t>
            </w:r>
          </w:p>
        </w:tc>
        <w:tc>
          <w:tcPr>
            <w:tcW w:w="8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3E5588"/>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600" w:type="dxa"/>
            <w:vAlign w:val="bottom"/>
          </w:tcPr>
          <w:p>
            <w:pPr>
              <w:jc w:val="right"/>
              <w:spacing w:after="0"/>
              <w:rPr>
                <w:sz w:val="20"/>
                <w:szCs w:val="20"/>
                <w:color w:val="auto"/>
              </w:rPr>
            </w:pPr>
            <w:r>
              <w:rPr>
                <w:rFonts w:ascii="Arial" w:cs="Arial" w:eastAsia="Arial" w:hAnsi="Arial"/>
                <w:sz w:val="18"/>
                <w:szCs w:val="18"/>
                <w:color w:val="3E5588"/>
              </w:rPr>
              <w:t>190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5"/>
          <w:szCs w:val="15"/>
          <w:color w:val="3E5588"/>
        </w:rPr>
        <w:t>The following table provides a reconciliation of the cash, cash equivalents, and restricted cash balances as of each of the periods shown above: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60"/>
              <w:spacing w:after="0"/>
              <w:rPr>
                <w:sz w:val="20"/>
                <w:szCs w:val="20"/>
                <w:color w:val="auto"/>
              </w:rPr>
            </w:pPr>
            <w:r>
              <w:rPr>
                <w:rFonts w:ascii="Arial" w:cs="Arial" w:eastAsia="Arial" w:hAnsi="Arial"/>
                <w:sz w:val="14"/>
                <w:szCs w:val="14"/>
                <w:b w:val="1"/>
                <w:bCs w:val="1"/>
                <w:color w:val="3E5588"/>
                <w:w w:val="92"/>
              </w:rPr>
              <w:t>March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3E5588"/>
              </w:rPr>
              <w:t>March 31,</w:t>
            </w: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760" w:type="dxa"/>
            <w:vAlign w:val="bottom"/>
            <w:tcBorders>
              <w:bottom w:val="single" w:sz="8" w:color="3E5588"/>
            </w:tcBorders>
          </w:tcPr>
          <w:p>
            <w:pPr>
              <w:jc w:val="right"/>
              <w:ind w:right="220"/>
              <w:spacing w:after="0"/>
              <w:rPr>
                <w:sz w:val="20"/>
                <w:szCs w:val="20"/>
                <w:color w:val="auto"/>
              </w:rPr>
            </w:pPr>
            <w:r>
              <w:rPr>
                <w:rFonts w:ascii="Arial" w:cs="Arial" w:eastAsia="Arial" w:hAnsi="Arial"/>
                <w:sz w:val="14"/>
                <w:szCs w:val="14"/>
                <w:b w:val="1"/>
                <w:bCs w:val="1"/>
                <w:color w:val="3E5588"/>
              </w:rPr>
              <w:t>2018</w:t>
            </w:r>
          </w:p>
        </w:tc>
        <w:tc>
          <w:tcPr>
            <w:tcW w:w="16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760" w:type="dxa"/>
            <w:vAlign w:val="bottom"/>
            <w:tcBorders>
              <w:bottom w:val="single" w:sz="8" w:color="3E5588"/>
            </w:tcBorders>
          </w:tcPr>
          <w:p>
            <w:pPr>
              <w:jc w:val="right"/>
              <w:ind w:right="220"/>
              <w:spacing w:after="0"/>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3E5588"/>
              </w:rPr>
              <w:t>Cash and cash equivalents</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62,452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3E5588"/>
              </w:rPr>
              <w:t>Restricted cash</w:t>
            </w:r>
          </w:p>
        </w:tc>
        <w:tc>
          <w:tcPr>
            <w:tcW w:w="1860" w:type="dxa"/>
            <w:vAlign w:val="bottom"/>
          </w:tcPr>
          <w:p>
            <w:pPr>
              <w:spacing w:after="0"/>
              <w:rPr>
                <w:sz w:val="18"/>
                <w:szCs w:val="18"/>
                <w:color w:val="auto"/>
              </w:rPr>
            </w:pPr>
          </w:p>
        </w:tc>
        <w:tc>
          <w:tcPr>
            <w:tcW w:w="100" w:type="dxa"/>
            <w:vAlign w:val="bottom"/>
            <w:tcBorders>
              <w:bottom w:val="single" w:sz="8" w:color="3E5588"/>
            </w:tcBorders>
          </w:tcPr>
          <w:p>
            <w:pPr>
              <w:spacing w:after="0"/>
              <w:rPr>
                <w:sz w:val="18"/>
                <w:szCs w:val="18"/>
                <w:color w:val="auto"/>
              </w:rPr>
            </w:pPr>
          </w:p>
        </w:tc>
        <w:tc>
          <w:tcPr>
            <w:tcW w:w="76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100" w:type="dxa"/>
            <w:vAlign w:val="bottom"/>
            <w:tcBorders>
              <w:bottom w:val="single" w:sz="8" w:color="3E5588"/>
            </w:tcBorders>
          </w:tcPr>
          <w:p>
            <w:pPr>
              <w:spacing w:after="0"/>
              <w:rPr>
                <w:sz w:val="18"/>
                <w:szCs w:val="18"/>
                <w:color w:val="auto"/>
              </w:rPr>
            </w:pPr>
          </w:p>
        </w:tc>
        <w:tc>
          <w:tcPr>
            <w:tcW w:w="76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1,092</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3E5588"/>
              </w:rPr>
              <w:t>Total cash, cash equivalents, and restricted cash</w:t>
            </w: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5,632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63,544</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7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7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3E5588"/>
        </w:rPr>
        <w:t>The accompanying notes are an integral part of these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3E5588"/>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80"/>
          </w:cols>
          <w:pgMar w:left="240" w:top="131" w:right="127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 Nature of the Business and Basis of Presentation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3E5588"/>
        </w:rPr>
        <w:t>Fulcrum Therapeutics, Inc. (the "Company" or "Fulcrum") was incorporated in Delaware on August 18, 2015. The Company is focused on improving the lives of patients with genetically defined diseases in areas of high unmet medical need, with an initial focus on rare diseases.</w:t>
      </w:r>
    </w:p>
    <w:p>
      <w:pPr>
        <w:spacing w:after="0" w:line="186" w:lineRule="exact"/>
        <w:rPr>
          <w:sz w:val="20"/>
          <w:szCs w:val="20"/>
          <w:color w:val="auto"/>
        </w:rPr>
      </w:pPr>
    </w:p>
    <w:p>
      <w:pPr>
        <w:jc w:val="both"/>
        <w:ind w:firstLine="479"/>
        <w:spacing w:after="0" w:line="290" w:lineRule="auto"/>
        <w:rPr>
          <w:sz w:val="20"/>
          <w:szCs w:val="20"/>
          <w:color w:val="auto"/>
        </w:rPr>
      </w:pPr>
      <w:r>
        <w:rPr>
          <w:rFonts w:ascii="Arial" w:cs="Arial" w:eastAsia="Arial" w:hAnsi="Arial"/>
          <w:sz w:val="16"/>
          <w:szCs w:val="16"/>
          <w:color w:val="3E5588"/>
        </w:rPr>
        <w:t>The Company is subject to a number of risks similar to other companies in the biotechnology industry, including, but not limited to, risks of failure of preclinical studies and clinical trials, dependence on key personnel, protection of proprietary technology, reliance on third party organizations, risks of obtaining regulatory approval for any product candidate that it may develop, development by competitors of technological innovations,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Even if the Company's development efforts are successful, it is uncertain when, if ever, the Company will realize significant revenue from product sales.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Basis of Presentation</w:t>
      </w:r>
    </w:p>
    <w:p>
      <w:pPr>
        <w:spacing w:after="0" w:line="225" w:lineRule="exact"/>
        <w:rPr>
          <w:sz w:val="20"/>
          <w:szCs w:val="20"/>
          <w:color w:val="auto"/>
        </w:rPr>
      </w:pPr>
    </w:p>
    <w:p>
      <w:pPr>
        <w:jc w:val="both"/>
        <w:ind w:firstLine="364"/>
        <w:spacing w:after="0" w:line="306" w:lineRule="auto"/>
        <w:rPr>
          <w:sz w:val="20"/>
          <w:szCs w:val="20"/>
          <w:color w:val="auto"/>
        </w:rPr>
      </w:pPr>
      <w:r>
        <w:rPr>
          <w:rFonts w:ascii="Arial" w:cs="Arial" w:eastAsia="Arial" w:hAnsi="Arial"/>
          <w:sz w:val="16"/>
          <w:szCs w:val="16"/>
          <w:color w:val="3E5588"/>
        </w:rPr>
        <w:t>The accompanying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Updates ("ASU") of the Financial Accounting Standards Board ("FASB").</w:t>
      </w:r>
    </w:p>
    <w:p>
      <w:pPr>
        <w:spacing w:after="0" w:line="161" w:lineRule="exact"/>
        <w:rPr>
          <w:sz w:val="20"/>
          <w:szCs w:val="20"/>
          <w:color w:val="auto"/>
        </w:rPr>
      </w:pPr>
    </w:p>
    <w:p>
      <w:pPr>
        <w:jc w:val="both"/>
        <w:ind w:firstLine="408"/>
        <w:spacing w:after="0" w:line="254" w:lineRule="auto"/>
        <w:rPr>
          <w:sz w:val="20"/>
          <w:szCs w:val="20"/>
          <w:color w:val="auto"/>
        </w:rPr>
      </w:pPr>
      <w:r>
        <w:rPr>
          <w:rFonts w:ascii="Arial" w:cs="Arial" w:eastAsia="Arial" w:hAnsi="Arial"/>
          <w:sz w:val="18"/>
          <w:szCs w:val="18"/>
          <w:color w:val="3E5588"/>
        </w:rPr>
        <w:t>The accompanying unaudited consolidated financial statements and footnotes to the financial statements have been prepared on the same basis as the most recently audited annual financial statements and, in the opinion of management, reflect all normal recurring adjustments necessary for the fair presentation of the Company's financial position as of March 31, 2019 and the results of its operations and its cash flows for the three months ended March 31, 2018 and 2019. The results for the three months ended March 31, 2019 are not necessarily indicative of results to be expected for the year ending December 31, 2019, any other interim periods, or any future year or period. These consolidated financial statements should be read in conjunction with the Company's audited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Going Concern</w:t>
      </w:r>
    </w:p>
    <w:p>
      <w:pPr>
        <w:spacing w:after="0" w:line="225"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3E5588"/>
        </w:rPr>
        <w:t>The Company has incurred recurring losses and negative cash flows from operations since inception and has primarily funded its operations with proceeds from the issuance of convertible notes and convertible preferred stock. As of March 31, 2019, the Company had an accumulated deficit of $105.0 million. The Company expects its operating losses and negative operating cash flows to continue into the foreseeable future as it continues to expand its research and development efforts. As of June 5, 2019, the issuance date of the consolidated financial statements for the three months ended March 31, 2019, the Company expected that its cash and cash equivalents as of March 31, 2019 will be sufficient to fund its operating expenses and capital expenditure requirements into the first quarter of 2020. The future viability of the Company beyond that point is dependent on its ability to raise additional capital to finance its operations.</w:t>
      </w:r>
    </w:p>
    <w:p>
      <w:pPr>
        <w:spacing w:after="0" w:line="174" w:lineRule="exact"/>
        <w:rPr>
          <w:sz w:val="20"/>
          <w:szCs w:val="20"/>
          <w:color w:val="auto"/>
        </w:rPr>
      </w:pPr>
    </w:p>
    <w:p>
      <w:pPr>
        <w:jc w:val="both"/>
        <w:ind w:firstLine="577"/>
        <w:spacing w:after="0" w:line="268" w:lineRule="auto"/>
        <w:rPr>
          <w:sz w:val="20"/>
          <w:szCs w:val="20"/>
          <w:color w:val="auto"/>
        </w:rPr>
      </w:pPr>
      <w:r>
        <w:rPr>
          <w:rFonts w:ascii="Arial" w:cs="Arial" w:eastAsia="Arial" w:hAnsi="Arial"/>
          <w:sz w:val="18"/>
          <w:szCs w:val="18"/>
          <w:color w:val="3E5588"/>
        </w:rPr>
        <w:t>If the Company is unable to obtain additional funding, the Company could be forced to delay, reduce or eliminate some or all of its research and development programs, product portfolio expansion,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 Nature of the Business and Basis of Presentation (Continued)</w:t>
      </w:r>
    </w:p>
    <w:p>
      <w:pPr>
        <w:spacing w:after="0" w:line="23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3E5588"/>
        </w:rPr>
        <w:t>commercialization efforts, which could adversely affect its business prospects, or the Company may be unable to continue operations. The Company is seeking to complete an initial public offering ("IPO") of its common stock ("Common Stock"). In the event the Company does not complete an IPO, the Company expects to seek additional funding through private equity financings, debt financings, or other capital sources, including collaborations with other companies or other strategic transactions. Although management plans to pursue additional funding, there is no assurance that the Company will be successful in obtaining sufficient funding on terms acceptable to the Company to fund continuing operations, if at all.</w:t>
      </w:r>
    </w:p>
    <w:p>
      <w:pPr>
        <w:spacing w:after="0" w:line="170" w:lineRule="exact"/>
        <w:rPr>
          <w:sz w:val="20"/>
          <w:szCs w:val="20"/>
          <w:color w:val="auto"/>
        </w:rPr>
      </w:pPr>
    </w:p>
    <w:p>
      <w:pPr>
        <w:jc w:val="both"/>
        <w:ind w:firstLine="429"/>
        <w:spacing w:after="0" w:line="256" w:lineRule="auto"/>
        <w:rPr>
          <w:sz w:val="20"/>
          <w:szCs w:val="20"/>
          <w:color w:val="auto"/>
        </w:rPr>
      </w:pPr>
      <w:r>
        <w:rPr>
          <w:rFonts w:ascii="Arial" w:cs="Arial" w:eastAsia="Arial" w:hAnsi="Arial"/>
          <w:sz w:val="18"/>
          <w:szCs w:val="18"/>
          <w:color w:val="3E5588"/>
        </w:rPr>
        <w:t>Based on its recurring losses and negative cash flows from operations since inception, expectation of continuing operating losses and negative cash flows from operations for the foreseeable future, and the need to raise additional capital to finance its future operations, management concluded that there is substantial doubt about the Company's ability to continue as a going concern within one year after the date that the consolidated financial statements as of and for the three months ended March 31, 2019 were issued.</w:t>
      </w:r>
    </w:p>
    <w:p>
      <w:pPr>
        <w:spacing w:after="0" w:line="197"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3E5588"/>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Principles of Consolidation</w:t>
      </w:r>
    </w:p>
    <w:p>
      <w:pPr>
        <w:spacing w:after="0" w:line="225" w:lineRule="exact"/>
        <w:rPr>
          <w:sz w:val="20"/>
          <w:szCs w:val="20"/>
          <w:color w:val="auto"/>
        </w:rPr>
      </w:pPr>
    </w:p>
    <w:p>
      <w:pPr>
        <w:jc w:val="both"/>
        <w:ind w:firstLine="352"/>
        <w:spacing w:after="0" w:line="332" w:lineRule="auto"/>
        <w:rPr>
          <w:sz w:val="20"/>
          <w:szCs w:val="20"/>
          <w:color w:val="auto"/>
        </w:rPr>
      </w:pPr>
      <w:r>
        <w:rPr>
          <w:rFonts w:ascii="Arial" w:cs="Arial" w:eastAsia="Arial" w:hAnsi="Arial"/>
          <w:sz w:val="16"/>
          <w:szCs w:val="16"/>
          <w:color w:val="3E5588"/>
        </w:rPr>
        <w:t>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Summary of Significant Accounting Policies</w:t>
      </w:r>
    </w:p>
    <w:p>
      <w:pPr>
        <w:spacing w:after="0" w:line="225" w:lineRule="exact"/>
        <w:rPr>
          <w:sz w:val="20"/>
          <w:szCs w:val="20"/>
          <w:color w:val="auto"/>
        </w:rPr>
      </w:pPr>
    </w:p>
    <w:p>
      <w:pPr>
        <w:jc w:val="both"/>
        <w:ind w:right="20" w:firstLine="441"/>
        <w:spacing w:after="0" w:line="332" w:lineRule="auto"/>
        <w:rPr>
          <w:sz w:val="20"/>
          <w:szCs w:val="20"/>
          <w:color w:val="auto"/>
        </w:rPr>
      </w:pPr>
      <w:r>
        <w:rPr>
          <w:rFonts w:ascii="Arial" w:cs="Arial" w:eastAsia="Arial" w:hAnsi="Arial"/>
          <w:sz w:val="16"/>
          <w:szCs w:val="16"/>
          <w:color w:val="3E5588"/>
        </w:rPr>
        <w:t>The significant accounting policies and estimates used in the preparation of the consolidated financial statements are described in the Company's audited financial statements. There have been no material changes in the Company's significant accounting policies during the three months ended March 31,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Use of Estimates</w:t>
      </w:r>
    </w:p>
    <w:p>
      <w:pPr>
        <w:spacing w:after="0" w:line="225"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3E5588"/>
        </w:rPr>
        <w:t>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stock-based compensation expense, the fair value of the Common Stock and convertible preferred stock,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Pro Forma Financial Information</w:t>
      </w:r>
    </w:p>
    <w:p>
      <w:pPr>
        <w:spacing w:after="0" w:line="225" w:lineRule="exact"/>
        <w:rPr>
          <w:sz w:val="20"/>
          <w:szCs w:val="20"/>
          <w:color w:val="auto"/>
        </w:rPr>
      </w:pPr>
    </w:p>
    <w:p>
      <w:pPr>
        <w:jc w:val="both"/>
        <w:ind w:firstLine="402"/>
        <w:spacing w:after="0" w:line="254" w:lineRule="auto"/>
        <w:rPr>
          <w:sz w:val="20"/>
          <w:szCs w:val="20"/>
          <w:color w:val="auto"/>
        </w:rPr>
      </w:pPr>
      <w:r>
        <w:rPr>
          <w:rFonts w:ascii="Arial" w:cs="Arial" w:eastAsia="Arial" w:hAnsi="Arial"/>
          <w:sz w:val="18"/>
          <w:szCs w:val="18"/>
          <w:color w:val="3E5588"/>
        </w:rPr>
        <w:t>The accompanying pro forma balance sheet and statement of stockholders' (deficit) equity as of March 31, 2019 has been prepared to give effect, upon the closing of a qualified IPO, to the automatic conversion of all shares of convertible preferred stock outstanding as of March 31, 2019 into 16,071,418 shares of Common Stock. In the accompanying consolidated statements of operations and comprehensive loss, the pro forma basic and diluted net loss per share attributable to common stockholders for the three months ended March 31, 2019 have been prepared to give effect, upon the closing of a qualified IPO, to the automatic conversion of all outstanding shares of convertible preferred stock as if the proposed IPO had occurred on the later of January 1, 2019 or the issuance date of the convertible preferred stock (see Note 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Deferred Issuance Costs</w:t>
      </w:r>
    </w:p>
    <w:p>
      <w:pPr>
        <w:spacing w:after="0" w:line="225" w:lineRule="exact"/>
        <w:rPr>
          <w:sz w:val="20"/>
          <w:szCs w:val="20"/>
          <w:color w:val="auto"/>
        </w:rPr>
      </w:pPr>
    </w:p>
    <w:p>
      <w:pPr>
        <w:jc w:val="both"/>
        <w:ind w:firstLine="444"/>
        <w:spacing w:after="0" w:line="294" w:lineRule="auto"/>
        <w:rPr>
          <w:sz w:val="20"/>
          <w:szCs w:val="20"/>
          <w:color w:val="auto"/>
        </w:rPr>
      </w:pPr>
      <w:r>
        <w:rPr>
          <w:rFonts w:ascii="Arial" w:cs="Arial" w:eastAsia="Arial" w:hAnsi="Arial"/>
          <w:sz w:val="16"/>
          <w:szCs w:val="16"/>
          <w:color w:val="3E5588"/>
        </w:rPr>
        <w:t>The Company capitalizes certain legal, professional, accounting and other third-party fees that are directly associated with in-process equity issuances as deferred issuance costs until such equity issuances are consummated. After consummation of the equity issuance, these costs are recorded as a reduction in the capitalized amount associated with the equity issuance. Should the planned financing be abandoned, the deferred issuance costs will be expensed immediately as a charge to operating expenses in the consolidated statement of operations and comprehensive loss. Deferred issuance costs as of December 31, 2018 and March 31, 2019 were less than $0.1 million and $0.2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Research and Development Expenses</w:t>
      </w:r>
    </w:p>
    <w:p>
      <w:pPr>
        <w:spacing w:after="0" w:line="225"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3E5588"/>
        </w:rPr>
        <w:t>Research and development expenses include costs directly attributable to the conduct of research and development programs, including personnel-related expenses such as salaries, payroll taxes, benefits, and stock-based compensation expense, manufacturing and external costs related to outside vendors engaged to conduct both preclinical studies and clinical trials, laboratory supplies, depreciation on and maintenance of research equipment, and the allocable portions of facility costs, such as rent, utilities, repairs and maintenance, depreciation, and general support services. Expenditures relating to research and development are expensed in the period incurred.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74" w:lineRule="exact"/>
        <w:rPr>
          <w:sz w:val="20"/>
          <w:szCs w:val="20"/>
          <w:color w:val="auto"/>
        </w:rPr>
      </w:pPr>
    </w:p>
    <w:p>
      <w:pPr>
        <w:jc w:val="both"/>
        <w:ind w:firstLine="401"/>
        <w:spacing w:after="0" w:line="332" w:lineRule="auto"/>
        <w:rPr>
          <w:sz w:val="20"/>
          <w:szCs w:val="20"/>
          <w:color w:val="auto"/>
        </w:rPr>
      </w:pPr>
      <w:r>
        <w:rPr>
          <w:rFonts w:ascii="Arial" w:cs="Arial" w:eastAsia="Arial" w:hAnsi="Arial"/>
          <w:sz w:val="16"/>
          <w:szCs w:val="16"/>
          <w:color w:val="3E5588"/>
        </w:rPr>
        <w:t>Research and development expenses also include in-process research and development ("IPR&amp;D") expenses, which relate to IPR&amp;D acquired as part of an asset acquisition for which there is no alternative future use. Research and development with no future alternative use is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Off-Balance Sheet Risk and Concentrations of Credit Risk</w:t>
      </w:r>
    </w:p>
    <w:p>
      <w:pPr>
        <w:spacing w:after="0" w:line="225" w:lineRule="exact"/>
        <w:rPr>
          <w:sz w:val="20"/>
          <w:szCs w:val="20"/>
          <w:color w:val="auto"/>
        </w:rPr>
      </w:pPr>
    </w:p>
    <w:p>
      <w:pPr>
        <w:jc w:val="both"/>
        <w:ind w:firstLine="552"/>
        <w:spacing w:after="0" w:line="294" w:lineRule="auto"/>
        <w:rPr>
          <w:sz w:val="20"/>
          <w:szCs w:val="20"/>
          <w:color w:val="auto"/>
        </w:rPr>
      </w:pPr>
      <w:r>
        <w:rPr>
          <w:rFonts w:ascii="Arial" w:cs="Arial" w:eastAsia="Arial" w:hAnsi="Arial"/>
          <w:sz w:val="16"/>
          <w:szCs w:val="16"/>
          <w:color w:val="3E5588"/>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money market funds that invest in U.S. Treasury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Recent Accounting Pronouncements—To Be Adopted</w:t>
      </w:r>
    </w:p>
    <w:p>
      <w:pPr>
        <w:spacing w:after="0" w:line="225" w:lineRule="exact"/>
        <w:rPr>
          <w:sz w:val="20"/>
          <w:szCs w:val="20"/>
          <w:color w:val="auto"/>
        </w:rPr>
      </w:pPr>
    </w:p>
    <w:p>
      <w:pPr>
        <w:jc w:val="both"/>
        <w:ind w:firstLine="516"/>
        <w:spacing w:after="0" w:line="286" w:lineRule="auto"/>
        <w:rPr>
          <w:sz w:val="20"/>
          <w:szCs w:val="20"/>
          <w:color w:val="auto"/>
        </w:rPr>
      </w:pPr>
      <w:r>
        <w:rPr>
          <w:rFonts w:ascii="Arial" w:cs="Arial" w:eastAsia="Arial" w:hAnsi="Arial"/>
          <w:sz w:val="16"/>
          <w:szCs w:val="16"/>
          <w:color w:val="3E5588"/>
        </w:rPr>
        <w:t xml:space="preserve">In February 2016, the FASB issued ASU No. 2016-02, </w:t>
      </w:r>
      <w:r>
        <w:rPr>
          <w:rFonts w:ascii="Arial" w:cs="Arial" w:eastAsia="Arial" w:hAnsi="Arial"/>
          <w:sz w:val="16"/>
          <w:szCs w:val="16"/>
          <w:i w:val="1"/>
          <w:iCs w:val="1"/>
          <w:color w:val="3E5588"/>
        </w:rPr>
        <w:t>Leases (Topic 842)</w:t>
      </w:r>
      <w:r>
        <w:rPr>
          <w:rFonts w:ascii="Arial" w:cs="Arial" w:eastAsia="Arial" w:hAnsi="Arial"/>
          <w:sz w:val="16"/>
          <w:szCs w:val="16"/>
          <w:color w:val="3E5588"/>
        </w:rPr>
        <w:t xml:space="preserve"> ("ASU 2016-02"), as amended by various subsequently issued ASUs. The standard requires lessees to recognize an operating lease with a term greater than one year on their balance sheets as a right-of-use asset and corresponding lease liability, measured at the present value of the lease payments. Lessees are required to classify leases as either finance or operating leases. If the lease is effectively a financed-purchase by the lessee, it is classified as a financing lease, otherwise it is classified as an operating lease. This classification will determine whether lease expense is recognized based on an effective interest method or on a straight-line basis over the term of the lease. In July 2018, the FASB also issued ASU 2018-11, </w:t>
      </w:r>
      <w:r>
        <w:rPr>
          <w:rFonts w:ascii="Arial" w:cs="Arial" w:eastAsia="Arial" w:hAnsi="Arial"/>
          <w:sz w:val="16"/>
          <w:szCs w:val="16"/>
          <w:i w:val="1"/>
          <w:iCs w:val="1"/>
          <w:color w:val="3E5588"/>
        </w:rPr>
        <w:t>Leases (Topic 842): Targeted Improvements</w:t>
      </w:r>
      <w:r>
        <w:rPr>
          <w:rFonts w:ascii="Arial" w:cs="Arial" w:eastAsia="Arial" w:hAnsi="Arial"/>
          <w:sz w:val="16"/>
          <w:szCs w:val="16"/>
          <w:color w:val="3E5588"/>
        </w:rPr>
        <w:t xml:space="preserve"> ("ASU 2018-11"), which permits entities to continue applying legacy guidance in ASC 840, </w:t>
      </w:r>
      <w:r>
        <w:rPr>
          <w:rFonts w:ascii="Arial" w:cs="Arial" w:eastAsia="Arial" w:hAnsi="Arial"/>
          <w:sz w:val="16"/>
          <w:szCs w:val="16"/>
          <w:i w:val="1"/>
          <w:iCs w:val="1"/>
          <w:color w:val="3E5588"/>
        </w:rPr>
        <w:t>Leases</w:t>
      </w:r>
      <w:r>
        <w:rPr>
          <w:rFonts w:ascii="Arial" w:cs="Arial" w:eastAsia="Arial" w:hAnsi="Arial"/>
          <w:sz w:val="16"/>
          <w:szCs w:val="16"/>
          <w:color w:val="3E5588"/>
        </w:rPr>
        <w:t>, including its disclosure requirements, in the comparative periods presented in the year that the entity adopts the new leasing standard. The new standard will be effective for the Company on January 1, 2020. The Company will apply the transition method permitted by ASU 2018-11. The Company is currently evaluating the effect that adoption of the standard is expected to have on the Company's consolidated financial statements and related disclosures. The Company expects to take advantage of certain available expedients by electing the transition package of practical expedients permitted within ASU 2016-02, which allows the Company to not reassess previous accounting conclusions around whether arrangements are, or contain, leases, the classification of leases, and the treatment of initial direct costs. The Company also expects to make an accounting policy election to exclude leases with an initial term of twelve months or less from the balance sheet.</w:t>
      </w:r>
    </w:p>
    <w:p>
      <w:pPr>
        <w:spacing w:after="0" w:line="175"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6"/>
          <w:szCs w:val="16"/>
          <w:color w:val="3E5588"/>
        </w:rPr>
        <w:t xml:space="preserve">In June 2016, the FASB issued ASU No. 2016-13, </w:t>
      </w:r>
      <w:r>
        <w:rPr>
          <w:rFonts w:ascii="Arial" w:cs="Arial" w:eastAsia="Arial" w:hAnsi="Arial"/>
          <w:sz w:val="16"/>
          <w:szCs w:val="16"/>
          <w:i w:val="1"/>
          <w:iCs w:val="1"/>
          <w:color w:val="3E5588"/>
        </w:rPr>
        <w:t>Financial Instruments—Credit Losses (Topic 326): Measurement of Credit Losses on Financial</w:t>
      </w:r>
      <w:r>
        <w:rPr>
          <w:rFonts w:ascii="Arial" w:cs="Arial" w:eastAsia="Arial" w:hAnsi="Arial"/>
          <w:sz w:val="16"/>
          <w:szCs w:val="16"/>
          <w:color w:val="3E5588"/>
        </w:rPr>
        <w:t xml:space="preserve"> </w:t>
      </w:r>
      <w:r>
        <w:rPr>
          <w:rFonts w:ascii="Arial" w:cs="Arial" w:eastAsia="Arial" w:hAnsi="Arial"/>
          <w:sz w:val="16"/>
          <w:szCs w:val="16"/>
          <w:i w:val="1"/>
          <w:iCs w:val="1"/>
          <w:color w:val="3E5588"/>
        </w:rPr>
        <w:t xml:space="preserve">Instruments </w:t>
      </w:r>
      <w:r>
        <w:rPr>
          <w:rFonts w:ascii="Arial" w:cs="Arial" w:eastAsia="Arial" w:hAnsi="Arial"/>
          <w:sz w:val="16"/>
          <w:szCs w:val="16"/>
          <w:color w:val="3E5588"/>
        </w:rPr>
        <w:t>("ASU 2016-13"). The standard requires that credit losses be reported using an expected losses model rather than the incurred losses model that is</w:t>
      </w:r>
      <w:r>
        <w:rPr>
          <w:rFonts w:ascii="Arial" w:cs="Arial" w:eastAsia="Arial" w:hAnsi="Arial"/>
          <w:sz w:val="16"/>
          <w:szCs w:val="16"/>
          <w:i w:val="1"/>
          <w:iCs w:val="1"/>
          <w:color w:val="3E5588"/>
        </w:rPr>
        <w:t xml:space="preserve"> </w:t>
      </w:r>
      <w:r>
        <w:rPr>
          <w:rFonts w:ascii="Arial" w:cs="Arial" w:eastAsia="Arial" w:hAnsi="Arial"/>
          <w:sz w:val="16"/>
          <w:szCs w:val="16"/>
          <w:color w:val="3E5588"/>
        </w:rPr>
        <w:t>currently used, and establishes additional disclosures related to credit risks. For available-for-sale debt securities with unrealized losses, this standard requires allowances to be recorded instead of reducing the amortized cost of the investment. The new standard will be effective for the Company on January 1, 2021. The Company is currently evaluating the potential impact that this standard may have on its consolidated financial position and results of operations.</w:t>
      </w:r>
    </w:p>
    <w:p>
      <w:pPr>
        <w:spacing w:after="0" w:line="170" w:lineRule="exact"/>
        <w:rPr>
          <w:sz w:val="20"/>
          <w:szCs w:val="20"/>
          <w:color w:val="auto"/>
        </w:rPr>
      </w:pPr>
    </w:p>
    <w:p>
      <w:pPr>
        <w:jc w:val="both"/>
        <w:ind w:firstLine="478"/>
        <w:spacing w:after="0" w:line="289" w:lineRule="auto"/>
        <w:rPr>
          <w:sz w:val="20"/>
          <w:szCs w:val="20"/>
          <w:color w:val="auto"/>
        </w:rPr>
      </w:pPr>
      <w:r>
        <w:rPr>
          <w:rFonts w:ascii="Arial" w:cs="Arial" w:eastAsia="Arial" w:hAnsi="Arial"/>
          <w:sz w:val="16"/>
          <w:szCs w:val="16"/>
          <w:color w:val="3E5588"/>
        </w:rPr>
        <w:t xml:space="preserve">In July 2017, the FASB issued ASU No. 2017-11, </w:t>
      </w:r>
      <w:r>
        <w:rPr>
          <w:rFonts w:ascii="Arial" w:cs="Arial" w:eastAsia="Arial" w:hAnsi="Arial"/>
          <w:sz w:val="16"/>
          <w:szCs w:val="16"/>
          <w:i w:val="1"/>
          <w:iCs w:val="1"/>
          <w:color w:val="3E5588"/>
        </w:rPr>
        <w:t>Earnings Per Share (Topic 260), Distinguishing Liabilities from Equity (Topic 480), Derivatives and</w:t>
      </w:r>
      <w:r>
        <w:rPr>
          <w:rFonts w:ascii="Arial" w:cs="Arial" w:eastAsia="Arial" w:hAnsi="Arial"/>
          <w:sz w:val="16"/>
          <w:szCs w:val="16"/>
          <w:color w:val="3E5588"/>
        </w:rPr>
        <w:t xml:space="preserve"> </w:t>
      </w:r>
      <w:r>
        <w:rPr>
          <w:rFonts w:ascii="Arial" w:cs="Arial" w:eastAsia="Arial" w:hAnsi="Arial"/>
          <w:sz w:val="16"/>
          <w:szCs w:val="16"/>
          <w:i w:val="1"/>
          <w:iCs w:val="1"/>
          <w:color w:val="3E5588"/>
        </w:rPr>
        <w:t xml:space="preserve">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6"/>
          <w:szCs w:val="16"/>
          <w:color w:val="3E5588"/>
        </w:rPr>
        <w:t>("ASU</w:t>
      </w:r>
      <w:r>
        <w:rPr>
          <w:rFonts w:ascii="Arial" w:cs="Arial" w:eastAsia="Arial" w:hAnsi="Arial"/>
          <w:sz w:val="16"/>
          <w:szCs w:val="16"/>
          <w:i w:val="1"/>
          <w:iCs w:val="1"/>
          <w:color w:val="3E5588"/>
        </w:rPr>
        <w:t xml:space="preserve"> </w:t>
      </w:r>
      <w:r>
        <w:rPr>
          <w:rFonts w:ascii="Arial" w:cs="Arial" w:eastAsia="Arial" w:hAnsi="Arial"/>
          <w:sz w:val="16"/>
          <w:szCs w:val="16"/>
          <w:color w:val="3E5588"/>
        </w:rPr>
        <w:t>2017-11"). Part I of the standard applies to entities that issue financial instruments such as warrants, convertible debt or convertible preferred stock that contain down-round features. Part II of the standard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The new standard will be effective for the Company on January 1, 2020. The Company is currently evaluating the impact that the adoption of ASU 2017-11 may have on its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3. Fair Value Measurements</w:t>
      </w:r>
    </w:p>
    <w:p>
      <w:pPr>
        <w:spacing w:after="0" w:line="231" w:lineRule="exact"/>
        <w:rPr>
          <w:sz w:val="20"/>
          <w:szCs w:val="20"/>
          <w:color w:val="auto"/>
        </w:rPr>
      </w:pPr>
    </w:p>
    <w:p>
      <w:pPr>
        <w:ind w:firstLine="412"/>
        <w:spacing w:after="0" w:line="268" w:lineRule="auto"/>
        <w:rPr>
          <w:sz w:val="20"/>
          <w:szCs w:val="20"/>
          <w:color w:val="auto"/>
        </w:rPr>
      </w:pPr>
      <w:r>
        <w:rPr>
          <w:rFonts w:ascii="Arial" w:cs="Arial" w:eastAsia="Arial" w:hAnsi="Arial"/>
          <w:sz w:val="18"/>
          <w:szCs w:val="18"/>
          <w:color w:val="3E5588"/>
        </w:rPr>
        <w:t>The following tables present information about the Company's financial assets measured at fair value on a recurring basis and indicate the level of the fair value hierarchy utilized to determine such fair values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3E5588"/>
                <w:w w:val="88"/>
              </w:rPr>
              <w:t>Fair Value Measurements at</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3E5588"/>
            </w:tcBorders>
          </w:tcPr>
          <w:p>
            <w:pPr>
              <w:spacing w:after="0"/>
              <w:rPr>
                <w:sz w:val="14"/>
                <w:szCs w:val="14"/>
                <w:color w:val="auto"/>
              </w:rPr>
            </w:pPr>
          </w:p>
        </w:tc>
        <w:tc>
          <w:tcPr>
            <w:tcW w:w="560" w:type="dxa"/>
            <w:vAlign w:val="bottom"/>
            <w:tcBorders>
              <w:bottom w:val="single" w:sz="8" w:color="3E5588"/>
            </w:tcBorders>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1140" w:type="dxa"/>
            <w:vAlign w:val="bottom"/>
            <w:tcBorders>
              <w:bottom w:val="single" w:sz="8" w:color="3E5588"/>
            </w:tcBorders>
            <w:gridSpan w:val="4"/>
          </w:tcPr>
          <w:p>
            <w:pPr>
              <w:jc w:val="center"/>
              <w:spacing w:after="0"/>
              <w:rPr>
                <w:sz w:val="20"/>
                <w:szCs w:val="20"/>
                <w:color w:val="auto"/>
              </w:rPr>
            </w:pPr>
            <w:r>
              <w:rPr>
                <w:rFonts w:ascii="Arial" w:cs="Arial" w:eastAsia="Arial" w:hAnsi="Arial"/>
                <w:sz w:val="14"/>
                <w:szCs w:val="14"/>
                <w:b w:val="1"/>
                <w:bCs w:val="1"/>
                <w:color w:val="3E5588"/>
                <w:w w:val="85"/>
              </w:rPr>
              <w:t>December 31, 2018</w:t>
            </w:r>
          </w:p>
        </w:tc>
        <w:tc>
          <w:tcPr>
            <w:tcW w:w="200" w:type="dxa"/>
            <w:vAlign w:val="bottom"/>
            <w:tcBorders>
              <w:bottom w:val="single" w:sz="8" w:color="3E5588"/>
            </w:tcBorders>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60" w:type="dxa"/>
            <w:vAlign w:val="bottom"/>
            <w:tcBorders>
              <w:bottom w:val="single" w:sz="8" w:color="3E5588"/>
            </w:tcBorders>
          </w:tcPr>
          <w:p>
            <w:pPr>
              <w:spacing w:after="0"/>
              <w:rPr>
                <w:sz w:val="14"/>
                <w:szCs w:val="14"/>
                <w:color w:val="auto"/>
              </w:rPr>
            </w:pPr>
          </w:p>
        </w:tc>
        <w:tc>
          <w:tcPr>
            <w:tcW w:w="240" w:type="dxa"/>
            <w:vAlign w:val="bottom"/>
            <w:tcBorders>
              <w:bottom w:val="single" w:sz="8" w:color="3E5588"/>
            </w:tcBorders>
          </w:tcPr>
          <w:p>
            <w:pPr>
              <w:spacing w:after="0"/>
              <w:rPr>
                <w:sz w:val="14"/>
                <w:szCs w:val="14"/>
                <w:color w:val="auto"/>
              </w:rPr>
            </w:pPr>
          </w:p>
        </w:tc>
        <w:tc>
          <w:tcPr>
            <w:tcW w:w="340" w:type="dxa"/>
            <w:vAlign w:val="bottom"/>
            <w:tcBorders>
              <w:bottom w:val="single" w:sz="8" w:color="3E5588"/>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3E5588"/>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3E5588"/>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3E5588"/>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3E5588"/>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3E5588"/>
              </w:rPr>
              <w:t>Cash equivalents:</w:t>
            </w:r>
          </w:p>
        </w:tc>
        <w:tc>
          <w:tcPr>
            <w:tcW w:w="140" w:type="dxa"/>
            <w:vAlign w:val="bottom"/>
            <w:tcBorders>
              <w:top w:val="single" w:sz="8" w:color="3E5588"/>
            </w:tcBorders>
            <w:shd w:val="clear" w:color="auto" w:fill="CCEEFF"/>
          </w:tcPr>
          <w:p>
            <w:pPr>
              <w:spacing w:after="0"/>
              <w:rPr>
                <w:sz w:val="18"/>
                <w:szCs w:val="18"/>
                <w:color w:val="auto"/>
              </w:rPr>
            </w:pPr>
          </w:p>
        </w:tc>
        <w:tc>
          <w:tcPr>
            <w:tcW w:w="56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3E5588"/>
            </w:tcBorders>
            <w:shd w:val="clear" w:color="auto" w:fill="CCEEFF"/>
          </w:tcPr>
          <w:p>
            <w:pPr>
              <w:spacing w:after="0"/>
              <w:rPr>
                <w:sz w:val="18"/>
                <w:szCs w:val="18"/>
                <w:color w:val="auto"/>
              </w:rPr>
            </w:pPr>
          </w:p>
        </w:tc>
        <w:tc>
          <w:tcPr>
            <w:tcW w:w="600" w:type="dxa"/>
            <w:vAlign w:val="bottom"/>
            <w:tcBorders>
              <w:top w:val="single" w:sz="8" w:color="3E5588"/>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3E5588"/>
            </w:tcBorders>
            <w:shd w:val="clear" w:color="auto" w:fill="CCEEFF"/>
          </w:tcPr>
          <w:p>
            <w:pPr>
              <w:spacing w:after="0"/>
              <w:rPr>
                <w:sz w:val="18"/>
                <w:szCs w:val="18"/>
                <w:color w:val="auto"/>
              </w:rPr>
            </w:pPr>
          </w:p>
        </w:tc>
        <w:tc>
          <w:tcPr>
            <w:tcW w:w="200" w:type="dxa"/>
            <w:vAlign w:val="bottom"/>
            <w:tcBorders>
              <w:top w:val="single" w:sz="8" w:color="3E5588"/>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3E5588"/>
            </w:tcBorders>
            <w:shd w:val="clear" w:color="auto" w:fill="CCEEFF"/>
          </w:tcPr>
          <w:p>
            <w:pPr>
              <w:spacing w:after="0"/>
              <w:rPr>
                <w:sz w:val="18"/>
                <w:szCs w:val="18"/>
                <w:color w:val="auto"/>
              </w:rPr>
            </w:pPr>
          </w:p>
        </w:tc>
        <w:tc>
          <w:tcPr>
            <w:tcW w:w="34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3E5588"/>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560" w:type="dxa"/>
            <w:vAlign w:val="bottom"/>
          </w:tcPr>
          <w:p>
            <w:pPr>
              <w:ind w:left="80"/>
              <w:spacing w:after="0"/>
              <w:rPr>
                <w:sz w:val="20"/>
                <w:szCs w:val="20"/>
                <w:color w:val="auto"/>
              </w:rPr>
            </w:pPr>
            <w:r>
              <w:rPr>
                <w:rFonts w:ascii="Arial" w:cs="Arial" w:eastAsia="Arial" w:hAnsi="Arial"/>
                <w:sz w:val="18"/>
                <w:szCs w:val="18"/>
                <w:color w:val="3E5588"/>
                <w:w w:val="83"/>
              </w:rPr>
              <w:t>72,797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3E5588"/>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3E5588"/>
                <w:w w:val="98"/>
              </w:rPr>
              <w:t>72,797</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3E5588"/>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3E5588"/>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3E5588"/>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3E5588"/>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5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3E5588"/>
          </w:tcPr>
          <w:p>
            <w:pPr>
              <w:spacing w:after="0" w:line="20" w:lineRule="exact"/>
              <w:rPr>
                <w:sz w:val="1"/>
                <w:szCs w:val="1"/>
                <w:color w:val="auto"/>
              </w:rPr>
            </w:pPr>
          </w:p>
        </w:tc>
        <w:tc>
          <w:tcPr>
            <w:tcW w:w="20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c>
          <w:tcPr>
            <w:tcW w:w="3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3E5588"/>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3"/>
              </w:rPr>
              <w:t>72,797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E5588"/>
                <w:w w:val="98"/>
              </w:rPr>
              <w:t>72,797</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3E5588"/>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E5588"/>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3E5588"/>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5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3E5588"/>
              <w:bottom w:val="single" w:sz="8" w:color="3E5588"/>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top w:val="single" w:sz="8" w:color="3E5588"/>
              <w:bottom w:val="single" w:sz="8" w:color="3E5588"/>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3E5588"/>
              <w:bottom w:val="single" w:sz="8" w:color="3E5588"/>
            </w:tcBorders>
          </w:tcPr>
          <w:p>
            <w:pPr>
              <w:spacing w:after="0" w:line="20" w:lineRule="exact"/>
              <w:rPr>
                <w:sz w:val="1"/>
                <w:szCs w:val="1"/>
                <w:color w:val="auto"/>
              </w:rPr>
            </w:pPr>
          </w:p>
        </w:tc>
        <w:tc>
          <w:tcPr>
            <w:tcW w:w="34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4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3E5588"/>
                <w:w w:val="88"/>
              </w:rPr>
              <w:t>Fair Value Measurements at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4780" w:type="dxa"/>
            <w:vAlign w:val="bottom"/>
          </w:tcPr>
          <w:p>
            <w:pPr>
              <w:spacing w:after="0"/>
              <w:rPr>
                <w:sz w:val="14"/>
                <w:szCs w:val="14"/>
                <w:color w:val="auto"/>
              </w:rPr>
            </w:pPr>
          </w:p>
        </w:tc>
        <w:tc>
          <w:tcPr>
            <w:tcW w:w="140" w:type="dxa"/>
            <w:vAlign w:val="bottom"/>
            <w:tcBorders>
              <w:bottom w:val="single" w:sz="8" w:color="3E5588"/>
            </w:tcBorders>
          </w:tcPr>
          <w:p>
            <w:pPr>
              <w:spacing w:after="0"/>
              <w:rPr>
                <w:sz w:val="14"/>
                <w:szCs w:val="14"/>
                <w:color w:val="auto"/>
              </w:rPr>
            </w:pPr>
          </w:p>
        </w:tc>
        <w:tc>
          <w:tcPr>
            <w:tcW w:w="560" w:type="dxa"/>
            <w:vAlign w:val="bottom"/>
            <w:tcBorders>
              <w:bottom w:val="single" w:sz="8" w:color="3E5588"/>
            </w:tcBorders>
          </w:tcPr>
          <w:p>
            <w:pPr>
              <w:spacing w:after="0"/>
              <w:rPr>
                <w:sz w:val="14"/>
                <w:szCs w:val="14"/>
                <w:color w:val="auto"/>
              </w:rPr>
            </w:pPr>
          </w:p>
        </w:tc>
        <w:tc>
          <w:tcPr>
            <w:tcW w:w="160" w:type="dxa"/>
            <w:vAlign w:val="bottom"/>
            <w:tcBorders>
              <w:bottom w:val="single" w:sz="8" w:color="3E5588"/>
            </w:tcBorders>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1140" w:type="dxa"/>
            <w:vAlign w:val="bottom"/>
            <w:tcBorders>
              <w:bottom w:val="single" w:sz="8" w:color="3E5588"/>
            </w:tcBorders>
            <w:gridSpan w:val="4"/>
          </w:tcPr>
          <w:p>
            <w:pPr>
              <w:ind w:left="100"/>
              <w:spacing w:after="0"/>
              <w:rPr>
                <w:sz w:val="20"/>
                <w:szCs w:val="20"/>
                <w:color w:val="auto"/>
              </w:rPr>
            </w:pPr>
            <w:r>
              <w:rPr>
                <w:rFonts w:ascii="Arial" w:cs="Arial" w:eastAsia="Arial" w:hAnsi="Arial"/>
                <w:sz w:val="14"/>
                <w:szCs w:val="14"/>
                <w:b w:val="1"/>
                <w:bCs w:val="1"/>
                <w:color w:val="3E5588"/>
              </w:rPr>
              <w:t>March 31, 2019</w:t>
            </w:r>
          </w:p>
        </w:tc>
        <w:tc>
          <w:tcPr>
            <w:tcW w:w="200" w:type="dxa"/>
            <w:vAlign w:val="bottom"/>
            <w:tcBorders>
              <w:bottom w:val="single" w:sz="8" w:color="3E5588"/>
            </w:tcBorders>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60" w:type="dxa"/>
            <w:vAlign w:val="bottom"/>
            <w:tcBorders>
              <w:bottom w:val="single" w:sz="8" w:color="3E5588"/>
            </w:tcBorders>
          </w:tcPr>
          <w:p>
            <w:pPr>
              <w:spacing w:after="0"/>
              <w:rPr>
                <w:sz w:val="14"/>
                <w:szCs w:val="14"/>
                <w:color w:val="auto"/>
              </w:rPr>
            </w:pPr>
          </w:p>
        </w:tc>
        <w:tc>
          <w:tcPr>
            <w:tcW w:w="240" w:type="dxa"/>
            <w:vAlign w:val="bottom"/>
            <w:tcBorders>
              <w:bottom w:val="single" w:sz="8" w:color="3E5588"/>
            </w:tcBorders>
          </w:tcPr>
          <w:p>
            <w:pPr>
              <w:spacing w:after="0"/>
              <w:rPr>
                <w:sz w:val="14"/>
                <w:szCs w:val="14"/>
                <w:color w:val="auto"/>
              </w:rPr>
            </w:pPr>
          </w:p>
        </w:tc>
        <w:tc>
          <w:tcPr>
            <w:tcW w:w="340" w:type="dxa"/>
            <w:vAlign w:val="bottom"/>
            <w:tcBorders>
              <w:bottom w:val="single" w:sz="8" w:color="3E5588"/>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ind w:left="60"/>
              <w:spacing w:after="0" w:line="142" w:lineRule="exact"/>
              <w:rPr>
                <w:sz w:val="20"/>
                <w:szCs w:val="20"/>
                <w:color w:val="auto"/>
              </w:rPr>
            </w:pPr>
            <w:r>
              <w:rPr>
                <w:rFonts w:ascii="Arial" w:cs="Arial" w:eastAsia="Arial" w:hAnsi="Arial"/>
                <w:sz w:val="14"/>
                <w:szCs w:val="14"/>
                <w:b w:val="1"/>
                <w:bCs w:val="1"/>
                <w:color w:val="3E5588"/>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3E5588"/>
              </w:rPr>
              <w:t>Level 1</w:t>
            </w:r>
          </w:p>
        </w:tc>
        <w:tc>
          <w:tcPr>
            <w:tcW w:w="80" w:type="dxa"/>
            <w:vAlign w:val="bottom"/>
          </w:tcPr>
          <w:p>
            <w:pPr>
              <w:spacing w:after="0"/>
              <w:rPr>
                <w:sz w:val="12"/>
                <w:szCs w:val="12"/>
                <w:color w:val="auto"/>
              </w:rPr>
            </w:pPr>
          </w:p>
        </w:tc>
        <w:tc>
          <w:tcPr>
            <w:tcW w:w="6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3E5588"/>
              </w:rPr>
              <w:t>Level 2</w:t>
            </w:r>
          </w:p>
        </w:tc>
        <w:tc>
          <w:tcPr>
            <w:tcW w:w="6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3E5588"/>
              </w:rPr>
              <w:t>Level 3</w:t>
            </w:r>
          </w:p>
        </w:tc>
        <w:tc>
          <w:tcPr>
            <w:tcW w:w="160" w:type="dxa"/>
            <w:vAlign w:val="bottom"/>
          </w:tcPr>
          <w:p>
            <w:pPr>
              <w:spacing w:after="0"/>
              <w:rPr>
                <w:sz w:val="12"/>
                <w:szCs w:val="12"/>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3E5588"/>
              </w:rPr>
              <w:t>Cash equivalents:</w:t>
            </w:r>
          </w:p>
        </w:tc>
        <w:tc>
          <w:tcPr>
            <w:tcW w:w="140" w:type="dxa"/>
            <w:vAlign w:val="bottom"/>
            <w:tcBorders>
              <w:top w:val="single" w:sz="8" w:color="3E5588"/>
            </w:tcBorders>
            <w:shd w:val="clear" w:color="auto" w:fill="CCEEFF"/>
          </w:tcPr>
          <w:p>
            <w:pPr>
              <w:spacing w:after="0"/>
              <w:rPr>
                <w:sz w:val="18"/>
                <w:szCs w:val="18"/>
                <w:color w:val="auto"/>
              </w:rPr>
            </w:pPr>
          </w:p>
        </w:tc>
        <w:tc>
          <w:tcPr>
            <w:tcW w:w="56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3E5588"/>
            </w:tcBorders>
            <w:shd w:val="clear" w:color="auto" w:fill="CCEEFF"/>
          </w:tcPr>
          <w:p>
            <w:pPr>
              <w:spacing w:after="0"/>
              <w:rPr>
                <w:sz w:val="18"/>
                <w:szCs w:val="18"/>
                <w:color w:val="auto"/>
              </w:rPr>
            </w:pPr>
          </w:p>
        </w:tc>
        <w:tc>
          <w:tcPr>
            <w:tcW w:w="600" w:type="dxa"/>
            <w:vAlign w:val="bottom"/>
            <w:tcBorders>
              <w:top w:val="single" w:sz="8" w:color="3E5588"/>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3E5588"/>
            </w:tcBorders>
            <w:shd w:val="clear" w:color="auto" w:fill="CCEEFF"/>
          </w:tcPr>
          <w:p>
            <w:pPr>
              <w:spacing w:after="0"/>
              <w:rPr>
                <w:sz w:val="18"/>
                <w:szCs w:val="18"/>
                <w:color w:val="auto"/>
              </w:rPr>
            </w:pPr>
          </w:p>
        </w:tc>
        <w:tc>
          <w:tcPr>
            <w:tcW w:w="200" w:type="dxa"/>
            <w:vAlign w:val="bottom"/>
            <w:tcBorders>
              <w:top w:val="single" w:sz="8" w:color="3E5588"/>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3E5588"/>
            </w:tcBorders>
            <w:shd w:val="clear" w:color="auto" w:fill="CCEEFF"/>
          </w:tcPr>
          <w:p>
            <w:pPr>
              <w:spacing w:after="0"/>
              <w:rPr>
                <w:sz w:val="18"/>
                <w:szCs w:val="18"/>
                <w:color w:val="auto"/>
              </w:rPr>
            </w:pPr>
          </w:p>
        </w:tc>
        <w:tc>
          <w:tcPr>
            <w:tcW w:w="34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3E5588"/>
              </w:rPr>
              <w:t>Money market funds</w:t>
            </w:r>
          </w:p>
        </w:tc>
        <w:tc>
          <w:tcPr>
            <w:tcW w:w="140" w:type="dxa"/>
            <w:vAlign w:val="bottom"/>
          </w:tcPr>
          <w:p>
            <w:pPr>
              <w:jc w:val="right"/>
              <w:spacing w:after="0"/>
              <w:rPr>
                <w:sz w:val="20"/>
                <w:szCs w:val="20"/>
                <w:color w:val="auto"/>
              </w:rPr>
            </w:pPr>
            <w:r>
              <w:rPr>
                <w:rFonts w:ascii="Arial" w:cs="Arial" w:eastAsia="Arial" w:hAnsi="Arial"/>
                <w:sz w:val="15"/>
                <w:szCs w:val="15"/>
                <w:color w:val="3E5588"/>
                <w:w w:val="71"/>
              </w:rPr>
              <w:t>$</w:t>
            </w:r>
          </w:p>
        </w:tc>
        <w:tc>
          <w:tcPr>
            <w:tcW w:w="560" w:type="dxa"/>
            <w:vAlign w:val="bottom"/>
          </w:tcPr>
          <w:p>
            <w:pPr>
              <w:ind w:left="80"/>
              <w:spacing w:after="0"/>
              <w:rPr>
                <w:sz w:val="20"/>
                <w:szCs w:val="20"/>
                <w:color w:val="auto"/>
              </w:rPr>
            </w:pPr>
            <w:r>
              <w:rPr>
                <w:rFonts w:ascii="Arial" w:cs="Arial" w:eastAsia="Arial" w:hAnsi="Arial"/>
                <w:sz w:val="18"/>
                <w:szCs w:val="18"/>
                <w:color w:val="3E5588"/>
                <w:w w:val="83"/>
              </w:rPr>
              <w:t>62,452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3E5588"/>
              </w:rPr>
              <w:t>$</w:t>
            </w:r>
          </w:p>
        </w:tc>
        <w:tc>
          <w:tcPr>
            <w:tcW w:w="680" w:type="dxa"/>
            <w:vAlign w:val="bottom"/>
            <w:gridSpan w:val="2"/>
          </w:tcPr>
          <w:p>
            <w:pPr>
              <w:ind w:left="120"/>
              <w:spacing w:after="0"/>
              <w:rPr>
                <w:sz w:val="20"/>
                <w:szCs w:val="20"/>
                <w:color w:val="auto"/>
              </w:rPr>
            </w:pPr>
            <w:r>
              <w:rPr>
                <w:rFonts w:ascii="Arial" w:cs="Arial" w:eastAsia="Arial" w:hAnsi="Arial"/>
                <w:sz w:val="18"/>
                <w:szCs w:val="18"/>
                <w:color w:val="3E5588"/>
                <w:w w:val="98"/>
              </w:rPr>
              <w:t>62,452</w:t>
            </w:r>
          </w:p>
        </w:tc>
        <w:tc>
          <w:tcPr>
            <w:tcW w:w="460" w:type="dxa"/>
            <w:vAlign w:val="bottom"/>
            <w:gridSpan w:val="2"/>
          </w:tcPr>
          <w:p>
            <w:pPr>
              <w:jc w:val="right"/>
              <w:ind w:right="232"/>
              <w:spacing w:after="0"/>
              <w:rPr>
                <w:sz w:val="20"/>
                <w:szCs w:val="20"/>
                <w:color w:val="auto"/>
              </w:rPr>
            </w:pPr>
            <w:r>
              <w:rPr>
                <w:rFonts w:ascii="Arial" w:cs="Arial" w:eastAsia="Arial" w:hAnsi="Arial"/>
                <w:sz w:val="18"/>
                <w:szCs w:val="18"/>
                <w:color w:val="3E5588"/>
              </w:rPr>
              <w:t>$</w:t>
            </w:r>
          </w:p>
        </w:tc>
        <w:tc>
          <w:tcPr>
            <w:tcW w:w="300" w:type="dxa"/>
            <w:vAlign w:val="bottom"/>
            <w:gridSpan w:val="2"/>
          </w:tcPr>
          <w:p>
            <w:pPr>
              <w:ind w:left="20"/>
              <w:spacing w:after="0"/>
              <w:rPr>
                <w:sz w:val="20"/>
                <w:szCs w:val="20"/>
                <w:color w:val="auto"/>
              </w:rPr>
            </w:pPr>
            <w:r>
              <w:rPr>
                <w:rFonts w:ascii="Arial" w:cs="Arial" w:eastAsia="Arial" w:hAnsi="Arial"/>
                <w:sz w:val="18"/>
                <w:szCs w:val="18"/>
                <w:color w:val="3E5588"/>
              </w:rPr>
              <w:t>—</w:t>
            </w:r>
          </w:p>
        </w:tc>
        <w:tc>
          <w:tcPr>
            <w:tcW w:w="300" w:type="dxa"/>
            <w:vAlign w:val="bottom"/>
            <w:gridSpan w:val="2"/>
          </w:tcPr>
          <w:p>
            <w:pPr>
              <w:jc w:val="right"/>
              <w:ind w:right="92"/>
              <w:spacing w:after="0"/>
              <w:rPr>
                <w:sz w:val="20"/>
                <w:szCs w:val="20"/>
                <w:color w:val="auto"/>
              </w:rPr>
            </w:pPr>
            <w:r>
              <w:rPr>
                <w:rFonts w:ascii="Arial" w:cs="Arial" w:eastAsia="Arial" w:hAnsi="Arial"/>
                <w:sz w:val="18"/>
                <w:szCs w:val="18"/>
                <w:color w:val="3E5588"/>
              </w:rPr>
              <w:t>$</w:t>
            </w:r>
          </w:p>
        </w:tc>
        <w:tc>
          <w:tcPr>
            <w:tcW w:w="500" w:type="dxa"/>
            <w:vAlign w:val="bottom"/>
            <w:gridSpan w:val="2"/>
          </w:tcPr>
          <w:p>
            <w:pPr>
              <w:ind w:left="160"/>
              <w:spacing w:after="0"/>
              <w:rPr>
                <w:sz w:val="20"/>
                <w:szCs w:val="20"/>
                <w:color w:val="auto"/>
              </w:rPr>
            </w:pPr>
            <w:r>
              <w:rPr>
                <w:rFonts w:ascii="Arial" w:cs="Arial" w:eastAsia="Arial" w:hAnsi="Arial"/>
                <w:sz w:val="18"/>
                <w:szCs w:val="18"/>
                <w:color w:val="3E5588"/>
              </w:rPr>
              <w:t>—</w:t>
            </w:r>
          </w:p>
        </w:tc>
      </w:tr>
      <w:tr>
        <w:trPr>
          <w:trHeight w:val="20"/>
        </w:trPr>
        <w:tc>
          <w:tcPr>
            <w:tcW w:w="4780" w:type="dxa"/>
            <w:vAlign w:val="bottom"/>
          </w:tcPr>
          <w:p>
            <w:pPr>
              <w:spacing w:after="0" w:line="20" w:lineRule="exact"/>
              <w:rPr>
                <w:sz w:val="1"/>
                <w:szCs w:val="1"/>
                <w:color w:val="auto"/>
              </w:rPr>
            </w:pPr>
          </w:p>
        </w:tc>
        <w:tc>
          <w:tcPr>
            <w:tcW w:w="140" w:type="dxa"/>
            <w:vAlign w:val="bottom"/>
            <w:shd w:val="clear" w:color="auto" w:fill="3E5588"/>
          </w:tcPr>
          <w:p>
            <w:pPr>
              <w:spacing w:after="0" w:line="20" w:lineRule="exact"/>
              <w:rPr>
                <w:sz w:val="1"/>
                <w:szCs w:val="1"/>
                <w:color w:val="auto"/>
              </w:rPr>
            </w:pPr>
          </w:p>
        </w:tc>
        <w:tc>
          <w:tcPr>
            <w:tcW w:w="56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600" w:type="dxa"/>
            <w:vAlign w:val="bottom"/>
            <w:shd w:val="clear" w:color="auto" w:fill="3E558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3E5588"/>
          </w:tcPr>
          <w:p>
            <w:pPr>
              <w:spacing w:after="0" w:line="20" w:lineRule="exact"/>
              <w:rPr>
                <w:sz w:val="1"/>
                <w:szCs w:val="1"/>
                <w:color w:val="auto"/>
              </w:rPr>
            </w:pPr>
          </w:p>
        </w:tc>
        <w:tc>
          <w:tcPr>
            <w:tcW w:w="20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3E5588"/>
          </w:tcPr>
          <w:p>
            <w:pPr>
              <w:spacing w:after="0" w:line="20" w:lineRule="exact"/>
              <w:rPr>
                <w:sz w:val="1"/>
                <w:szCs w:val="1"/>
                <w:color w:val="auto"/>
              </w:rPr>
            </w:pPr>
          </w:p>
        </w:tc>
        <w:tc>
          <w:tcPr>
            <w:tcW w:w="3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3E5588"/>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E5588"/>
                <w:w w:val="71"/>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3E5588"/>
                <w:w w:val="83"/>
              </w:rPr>
              <w:t>62,452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3E5588"/>
                <w:w w:val="98"/>
              </w:rPr>
              <w:t>62,452</w:t>
            </w:r>
          </w:p>
        </w:tc>
        <w:tc>
          <w:tcPr>
            <w:tcW w:w="4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3E5588"/>
              </w:rPr>
              <w:t>$</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3E5588"/>
              </w:rPr>
              <w:t>—</w:t>
            </w:r>
          </w:p>
        </w:tc>
        <w:tc>
          <w:tcPr>
            <w:tcW w:w="3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3E5588"/>
              </w:rPr>
              <w:t>$</w:t>
            </w:r>
          </w:p>
        </w:tc>
        <w:tc>
          <w:tcPr>
            <w:tcW w:w="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3E5588"/>
              </w:rPr>
              <w:t>—</w:t>
            </w:r>
          </w:p>
        </w:tc>
      </w:tr>
      <w:tr>
        <w:trPr>
          <w:trHeight w:val="20"/>
        </w:trPr>
        <w:tc>
          <w:tcPr>
            <w:tcW w:w="4780" w:type="dxa"/>
            <w:vAlign w:val="bottom"/>
          </w:tcPr>
          <w:p>
            <w:pPr>
              <w:spacing w:after="0" w:line="20" w:lineRule="exact"/>
              <w:rPr>
                <w:sz w:val="1"/>
                <w:szCs w:val="1"/>
                <w:color w:val="auto"/>
              </w:rPr>
            </w:pPr>
          </w:p>
        </w:tc>
        <w:tc>
          <w:tcPr>
            <w:tcW w:w="140" w:type="dxa"/>
            <w:vAlign w:val="bottom"/>
            <w:tcBorders>
              <w:top w:val="single" w:sz="8" w:color="3E5588"/>
              <w:bottom w:val="single" w:sz="8" w:color="3E5588"/>
            </w:tcBorders>
          </w:tcPr>
          <w:p>
            <w:pPr>
              <w:spacing w:after="0" w:line="20" w:lineRule="exact"/>
              <w:rPr>
                <w:sz w:val="1"/>
                <w:szCs w:val="1"/>
                <w:color w:val="auto"/>
              </w:rPr>
            </w:pPr>
          </w:p>
        </w:tc>
        <w:tc>
          <w:tcPr>
            <w:tcW w:w="56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600" w:type="dxa"/>
            <w:vAlign w:val="bottom"/>
            <w:tcBorders>
              <w:top w:val="single" w:sz="8" w:color="3E5588"/>
              <w:bottom w:val="single" w:sz="8" w:color="3E5588"/>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3E5588"/>
              <w:bottom w:val="single" w:sz="8" w:color="3E5588"/>
            </w:tcBorders>
          </w:tcPr>
          <w:p>
            <w:pPr>
              <w:spacing w:after="0" w:line="20" w:lineRule="exact"/>
              <w:rPr>
                <w:sz w:val="1"/>
                <w:szCs w:val="1"/>
                <w:color w:val="auto"/>
              </w:rPr>
            </w:pPr>
          </w:p>
        </w:tc>
        <w:tc>
          <w:tcPr>
            <w:tcW w:w="20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3E5588"/>
              <w:bottom w:val="single" w:sz="8" w:color="3E5588"/>
            </w:tcBorders>
          </w:tcPr>
          <w:p>
            <w:pPr>
              <w:spacing w:after="0" w:line="20" w:lineRule="exact"/>
              <w:rPr>
                <w:sz w:val="1"/>
                <w:szCs w:val="1"/>
                <w:color w:val="auto"/>
              </w:rPr>
            </w:pPr>
          </w:p>
        </w:tc>
        <w:tc>
          <w:tcPr>
            <w:tcW w:w="34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There have been no transfers between fair value levels during the three months ended March 31, 2018 or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4.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Property and equipment, net consisted of the following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3E5588"/>
                <w:w w:val="85"/>
              </w:rPr>
              <w:t>December 31,</w:t>
            </w:r>
          </w:p>
        </w:tc>
        <w:tc>
          <w:tcPr>
            <w:tcW w:w="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E5588"/>
                <w:w w:val="92"/>
              </w:rPr>
              <w:t>March 31,</w:t>
            </w:r>
          </w:p>
        </w:tc>
      </w:tr>
      <w:tr>
        <w:trPr>
          <w:trHeight w:val="161"/>
        </w:trPr>
        <w:tc>
          <w:tcPr>
            <w:tcW w:w="59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right"/>
              <w:ind w:right="256"/>
              <w:spacing w:after="0"/>
              <w:rPr>
                <w:sz w:val="20"/>
                <w:szCs w:val="20"/>
                <w:color w:val="auto"/>
              </w:rPr>
            </w:pPr>
            <w:r>
              <w:rPr>
                <w:rFonts w:ascii="Arial" w:cs="Arial" w:eastAsia="Arial" w:hAnsi="Arial"/>
                <w:sz w:val="14"/>
                <w:szCs w:val="14"/>
                <w:b w:val="1"/>
                <w:bCs w:val="1"/>
                <w:color w:val="3E5588"/>
              </w:rPr>
              <w:t>2018</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3E5588"/>
            </w:tcBorders>
          </w:tcPr>
          <w:p>
            <w:pPr>
              <w:spacing w:after="0"/>
              <w:rPr>
                <w:sz w:val="14"/>
                <w:szCs w:val="14"/>
                <w:color w:val="auto"/>
              </w:rPr>
            </w:pPr>
          </w:p>
        </w:tc>
        <w:tc>
          <w:tcPr>
            <w:tcW w:w="580" w:type="dxa"/>
            <w:vAlign w:val="bottom"/>
            <w:tcBorders>
              <w:bottom w:val="single" w:sz="8" w:color="3E5588"/>
            </w:tcBorders>
          </w:tcPr>
          <w:p>
            <w:pPr>
              <w:jc w:val="right"/>
              <w:ind w:right="154"/>
              <w:spacing w:after="0"/>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4"/>
                <w:szCs w:val="14"/>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Lab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4,847</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3E5588"/>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5,305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3E5588"/>
              </w:rPr>
              <w:t>Furniture and fixtures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E5588"/>
              </w:rPr>
              <w:t>542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542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Computer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517</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512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3E5588"/>
              </w:rPr>
              <w:t>Software</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E5588"/>
              </w:rPr>
              <w:t>90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90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Leasehold improvements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6,174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6,174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3E5588"/>
              </w:rPr>
              <w:t>Construction in process</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3E5588"/>
              </w:rPr>
              <w:t>334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E5588"/>
          </w:tcPr>
          <w:p>
            <w:pPr>
              <w:spacing w:after="0" w:line="20" w:lineRule="exact"/>
              <w:rPr>
                <w:sz w:val="1"/>
                <w:szCs w:val="1"/>
                <w:color w:val="auto"/>
              </w:rPr>
            </w:pPr>
          </w:p>
        </w:tc>
        <w:tc>
          <w:tcPr>
            <w:tcW w:w="5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Total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12,504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12,623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3E5588"/>
              </w:rPr>
              <w:t>Less: accumulated depreciation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3E5588"/>
              </w:rPr>
              <w:t>(1,958)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3E5588"/>
              </w:rPr>
              <w:t>(2,398)</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860" w:type="dxa"/>
            <w:vAlign w:val="bottom"/>
            <w:shd w:val="clear" w:color="auto" w:fill="3E558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3E5588"/>
          </w:tcPr>
          <w:p>
            <w:pPr>
              <w:spacing w:after="0" w:line="20" w:lineRule="exact"/>
              <w:rPr>
                <w:sz w:val="1"/>
                <w:szCs w:val="1"/>
                <w:color w:val="auto"/>
              </w:rPr>
            </w:pPr>
          </w:p>
        </w:tc>
        <w:tc>
          <w:tcPr>
            <w:tcW w:w="5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Property and equipment,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3E5588"/>
              </w:rPr>
              <w:t>10,546</w:t>
            </w:r>
          </w:p>
        </w:tc>
        <w:tc>
          <w:tcPr>
            <w:tcW w:w="2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3E5588"/>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10,225</w:t>
            </w: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860" w:type="dxa"/>
            <w:vAlign w:val="bottom"/>
            <w:tcBorders>
              <w:top w:val="single" w:sz="8" w:color="3E5588"/>
              <w:bottom w:val="single" w:sz="8" w:color="3E5588"/>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3E5588"/>
              <w:bottom w:val="single" w:sz="8" w:color="3E5588"/>
            </w:tcBorders>
          </w:tcPr>
          <w:p>
            <w:pPr>
              <w:spacing w:after="0" w:line="20" w:lineRule="exact"/>
              <w:rPr>
                <w:sz w:val="1"/>
                <w:szCs w:val="1"/>
                <w:color w:val="auto"/>
              </w:rPr>
            </w:pPr>
          </w:p>
        </w:tc>
        <w:tc>
          <w:tcPr>
            <w:tcW w:w="5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Depreciation expense for the three months ended March 31, 2018 and 2019 was $0.2 million and $0.5 million,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5. Additional Balance Sheet Detail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Prepaid expenses and other current assets consisted of the following (in thousands):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E5588"/>
                <w:w w:val="85"/>
              </w:rPr>
              <w:t>December 31,</w:t>
            </w:r>
          </w:p>
        </w:tc>
        <w:tc>
          <w:tcPr>
            <w:tcW w:w="14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E5588"/>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center"/>
              <w:ind w:right="17"/>
              <w:spacing w:after="0"/>
              <w:rPr>
                <w:sz w:val="20"/>
                <w:szCs w:val="20"/>
                <w:color w:val="auto"/>
              </w:rPr>
            </w:pPr>
            <w:r>
              <w:rPr>
                <w:rFonts w:ascii="Arial" w:cs="Arial" w:eastAsia="Arial" w:hAnsi="Arial"/>
                <w:sz w:val="14"/>
                <w:szCs w:val="14"/>
                <w:b w:val="1"/>
                <w:bCs w:val="1"/>
                <w:color w:val="3E5588"/>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3E5588"/>
            </w:tcBorders>
          </w:tcPr>
          <w:p>
            <w:pPr>
              <w:spacing w:after="0"/>
              <w:rPr>
                <w:sz w:val="14"/>
                <w:szCs w:val="14"/>
                <w:color w:val="auto"/>
              </w:rPr>
            </w:pPr>
          </w:p>
        </w:tc>
        <w:tc>
          <w:tcPr>
            <w:tcW w:w="580" w:type="dxa"/>
            <w:vAlign w:val="bottom"/>
            <w:tcBorders>
              <w:bottom w:val="single" w:sz="8" w:color="3E5588"/>
            </w:tcBorders>
          </w:tcPr>
          <w:p>
            <w:pPr>
              <w:jc w:val="center"/>
              <w:ind w:right="95"/>
              <w:spacing w:after="0"/>
              <w:rPr>
                <w:sz w:val="20"/>
                <w:szCs w:val="20"/>
                <w:color w:val="auto"/>
              </w:rPr>
            </w:pPr>
            <w:r>
              <w:rPr>
                <w:rFonts w:ascii="Arial" w:cs="Arial" w:eastAsia="Arial" w:hAnsi="Arial"/>
                <w:sz w:val="14"/>
                <w:szCs w:val="14"/>
                <w:b w:val="1"/>
                <w:bCs w:val="1"/>
                <w:color w:val="3E5588"/>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Prepaid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460</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3E5588"/>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508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3E5588"/>
              </w:rPr>
              <w:t>Prepaid sign-on bonuses subject to vesting provisions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229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Leasehold improvement allowance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366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366</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3E5588"/>
              </w:rPr>
              <w:t>Interest income receivable</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135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123</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238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318</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3E5588"/>
              </w:rPr>
              <w:t>Total prepaid expenses and other current assets</w:t>
            </w:r>
          </w:p>
        </w:tc>
        <w:tc>
          <w:tcPr>
            <w:tcW w:w="1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8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1,298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3E5588"/>
              <w:bottom w:val="single" w:sz="8" w:color="3E5588"/>
            </w:tcBorders>
          </w:tcPr>
          <w:p>
            <w:pPr>
              <w:jc w:val="right"/>
              <w:ind w:right="2"/>
              <w:spacing w:after="0"/>
              <w:rPr>
                <w:sz w:val="20"/>
                <w:szCs w:val="20"/>
                <w:color w:val="auto"/>
              </w:rPr>
            </w:pPr>
            <w:r>
              <w:rPr>
                <w:rFonts w:ascii="Arial" w:cs="Arial" w:eastAsia="Arial" w:hAnsi="Arial"/>
                <w:sz w:val="18"/>
                <w:szCs w:val="18"/>
                <w:color w:val="3E5588"/>
                <w:w w:val="79"/>
              </w:rPr>
              <w:t>$</w:t>
            </w:r>
          </w:p>
        </w:tc>
        <w:tc>
          <w:tcPr>
            <w:tcW w:w="5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1,544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3E5588"/>
              </w:rPr>
              <w:t>Accrued expenses and other current liabilities consisted of the following (in thousands):</w:t>
            </w:r>
          </w:p>
        </w:tc>
        <w:tc>
          <w:tcPr>
            <w:tcW w:w="100" w:type="dxa"/>
            <w:vAlign w:val="bottom"/>
            <w:tcBorders>
              <w:bottom w:val="single" w:sz="8" w:color="3E5588"/>
            </w:tcBorders>
          </w:tcPr>
          <w:p>
            <w:pPr>
              <w:spacing w:after="0" w:line="20" w:lineRule="exact"/>
              <w:rPr>
                <w:sz w:val="1"/>
                <w:szCs w:val="1"/>
                <w:color w:val="auto"/>
              </w:rPr>
            </w:pPr>
          </w:p>
        </w:tc>
        <w:tc>
          <w:tcPr>
            <w:tcW w:w="860" w:type="dxa"/>
            <w:vAlign w:val="bottom"/>
            <w:tcBorders>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3E5588"/>
            </w:tcBorders>
          </w:tcPr>
          <w:p>
            <w:pPr>
              <w:spacing w:after="0" w:line="20" w:lineRule="exact"/>
              <w:rPr>
                <w:sz w:val="1"/>
                <w:szCs w:val="1"/>
                <w:color w:val="auto"/>
              </w:rPr>
            </w:pPr>
          </w:p>
        </w:tc>
        <w:tc>
          <w:tcPr>
            <w:tcW w:w="58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3E5588"/>
                <w:w w:val="85"/>
              </w:rPr>
              <w:t>December 31,</w:t>
            </w:r>
          </w:p>
        </w:tc>
        <w:tc>
          <w:tcPr>
            <w:tcW w:w="140" w:type="dxa"/>
            <w:vAlign w:val="bottom"/>
          </w:tcPr>
          <w:p>
            <w:pPr>
              <w:spacing w:after="0"/>
              <w:rPr>
                <w:sz w:val="24"/>
                <w:szCs w:val="2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E5588"/>
                <w:w w:val="92"/>
              </w:rPr>
              <w:t>March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860" w:type="dxa"/>
            <w:vAlign w:val="bottom"/>
            <w:tcBorders>
              <w:bottom w:val="single" w:sz="8" w:color="3E5588"/>
            </w:tcBorders>
          </w:tcPr>
          <w:p>
            <w:pPr>
              <w:jc w:val="center"/>
              <w:ind w:right="17"/>
              <w:spacing w:after="0"/>
              <w:rPr>
                <w:sz w:val="20"/>
                <w:szCs w:val="20"/>
                <w:color w:val="auto"/>
              </w:rPr>
            </w:pPr>
            <w:r>
              <w:rPr>
                <w:rFonts w:ascii="Arial" w:cs="Arial" w:eastAsia="Arial" w:hAnsi="Arial"/>
                <w:sz w:val="14"/>
                <w:szCs w:val="14"/>
                <w:b w:val="1"/>
                <w:bCs w:val="1"/>
                <w:color w:val="3E5588"/>
                <w:w w:val="89"/>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3E5588"/>
            </w:tcBorders>
          </w:tcPr>
          <w:p>
            <w:pPr>
              <w:spacing w:after="0"/>
              <w:rPr>
                <w:sz w:val="14"/>
                <w:szCs w:val="14"/>
                <w:color w:val="auto"/>
              </w:rPr>
            </w:pPr>
          </w:p>
        </w:tc>
        <w:tc>
          <w:tcPr>
            <w:tcW w:w="580" w:type="dxa"/>
            <w:vAlign w:val="bottom"/>
            <w:tcBorders>
              <w:bottom w:val="single" w:sz="8" w:color="3E5588"/>
            </w:tcBorders>
          </w:tcPr>
          <w:p>
            <w:pPr>
              <w:jc w:val="center"/>
              <w:ind w:right="95"/>
              <w:spacing w:after="0"/>
              <w:rPr>
                <w:sz w:val="20"/>
                <w:szCs w:val="20"/>
                <w:color w:val="auto"/>
              </w:rPr>
            </w:pPr>
            <w:r>
              <w:rPr>
                <w:rFonts w:ascii="Arial" w:cs="Arial" w:eastAsia="Arial" w:hAnsi="Arial"/>
                <w:sz w:val="14"/>
                <w:szCs w:val="14"/>
                <w:b w:val="1"/>
                <w:bCs w:val="1"/>
                <w:color w:val="3E5588"/>
                <w:w w:val="89"/>
              </w:rPr>
              <w:t>2019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External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3E5588"/>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437</w:t>
            </w:r>
          </w:p>
        </w:tc>
        <w:tc>
          <w:tcPr>
            <w:tcW w:w="3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3E5588"/>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889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3E5588"/>
              </w:rPr>
              <w:t>Payroll and benefits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1,448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527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Professional services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254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170</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3E5588"/>
              </w:rPr>
              <w:t>Capital lease obligation, current portion</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47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Restricted stock liability, current portion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15</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3E5588"/>
              </w:rPr>
              <w:t>Property and equipment purchases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3E5588"/>
              </w:rPr>
              <w:t>174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3E5588"/>
              </w:rPr>
              <w:t>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120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51</w:t>
            </w:r>
          </w:p>
        </w:tc>
        <w:tc>
          <w:tcPr>
            <w:tcW w:w="0" w:type="dxa"/>
            <w:vAlign w:val="bottom"/>
          </w:tcPr>
          <w:p>
            <w:pPr>
              <w:spacing w:after="0"/>
              <w:rPr>
                <w:sz w:val="1"/>
                <w:szCs w:val="1"/>
                <w:color w:val="auto"/>
              </w:rPr>
            </w:pPr>
          </w:p>
        </w:tc>
      </w:tr>
      <w:tr>
        <w:trPr>
          <w:trHeight w:val="210"/>
        </w:trPr>
        <w:tc>
          <w:tcPr>
            <w:tcW w:w="7320" w:type="dxa"/>
            <w:vAlign w:val="bottom"/>
            <w:gridSpan w:val="2"/>
          </w:tcPr>
          <w:p>
            <w:pPr>
              <w:ind w:left="1380"/>
              <w:spacing w:after="0"/>
              <w:rPr>
                <w:sz w:val="20"/>
                <w:szCs w:val="20"/>
                <w:color w:val="auto"/>
              </w:rPr>
            </w:pPr>
            <w:r>
              <w:rPr>
                <w:rFonts w:ascii="Arial" w:cs="Arial" w:eastAsia="Arial" w:hAnsi="Arial"/>
                <w:sz w:val="18"/>
                <w:szCs w:val="18"/>
                <w:color w:val="3E5588"/>
              </w:rPr>
              <w:t>Total accrued expenses and other current liabilities</w:t>
            </w:r>
          </w:p>
        </w:tc>
        <w:tc>
          <w:tcPr>
            <w:tcW w:w="1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8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2,497</w:t>
            </w:r>
          </w:p>
        </w:tc>
        <w:tc>
          <w:tcPr>
            <w:tcW w:w="20" w:type="dxa"/>
            <w:vAlign w:val="bottom"/>
            <w:tcBorders>
              <w:bottom w:val="single" w:sz="8" w:color="3E5588"/>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3E5588"/>
              <w:bottom w:val="single" w:sz="8" w:color="3E5588"/>
            </w:tcBorders>
          </w:tcPr>
          <w:p>
            <w:pPr>
              <w:jc w:val="right"/>
              <w:ind w:right="2"/>
              <w:spacing w:after="0"/>
              <w:rPr>
                <w:sz w:val="20"/>
                <w:szCs w:val="20"/>
                <w:color w:val="auto"/>
              </w:rPr>
            </w:pPr>
            <w:r>
              <w:rPr>
                <w:rFonts w:ascii="Arial" w:cs="Arial" w:eastAsia="Arial" w:hAnsi="Arial"/>
                <w:sz w:val="18"/>
                <w:szCs w:val="18"/>
                <w:color w:val="3E5588"/>
                <w:w w:val="79"/>
              </w:rPr>
              <w:t>$</w:t>
            </w:r>
          </w:p>
        </w:tc>
        <w:tc>
          <w:tcPr>
            <w:tcW w:w="58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1,699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bottom w:val="single" w:sz="8" w:color="3E5588"/>
            </w:tcBorders>
          </w:tcPr>
          <w:p>
            <w:pPr>
              <w:spacing w:after="0" w:line="20" w:lineRule="exact"/>
              <w:rPr>
                <w:sz w:val="1"/>
                <w:szCs w:val="1"/>
                <w:color w:val="auto"/>
              </w:rPr>
            </w:pPr>
          </w:p>
        </w:tc>
        <w:tc>
          <w:tcPr>
            <w:tcW w:w="860" w:type="dxa"/>
            <w:vAlign w:val="bottom"/>
            <w:tcBorders>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3E5588"/>
            </w:tcBorders>
          </w:tcPr>
          <w:p>
            <w:pPr>
              <w:spacing w:after="0" w:line="20" w:lineRule="exact"/>
              <w:rPr>
                <w:sz w:val="1"/>
                <w:szCs w:val="1"/>
                <w:color w:val="auto"/>
              </w:rPr>
            </w:pPr>
          </w:p>
        </w:tc>
        <w:tc>
          <w:tcPr>
            <w:tcW w:w="58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6. Convertible Preferred Stock</w:t>
      </w:r>
    </w:p>
    <w:p>
      <w:pPr>
        <w:spacing w:after="0" w:line="231" w:lineRule="exact"/>
        <w:rPr>
          <w:sz w:val="20"/>
          <w:szCs w:val="20"/>
          <w:color w:val="auto"/>
        </w:rPr>
      </w:pPr>
    </w:p>
    <w:p>
      <w:pPr>
        <w:jc w:val="both"/>
        <w:ind w:firstLine="450"/>
        <w:spacing w:after="0" w:line="294" w:lineRule="auto"/>
        <w:rPr>
          <w:sz w:val="20"/>
          <w:szCs w:val="20"/>
          <w:color w:val="auto"/>
        </w:rPr>
      </w:pPr>
      <w:r>
        <w:rPr>
          <w:rFonts w:ascii="Arial" w:cs="Arial" w:eastAsia="Arial" w:hAnsi="Arial"/>
          <w:sz w:val="16"/>
          <w:szCs w:val="16"/>
          <w:color w:val="3E5588"/>
        </w:rPr>
        <w:t>As of December 31, 2018, 100,000,000 shares of convertible preferred stock were authorized, issued, and outstanding, of which 60,000,000 shares were designated as $0.001 par value Series A convertible preferred stock (the "Series A Preferred Stock"), and 40,000,000 shares were designated as $0.001 par value Series B convertible preferred stock (the "Series B Preferred Stock", and together with the Series A Preferred Stock, the "Preferred Stock"). As of March 31, 2019, 112,500,000 shares of Preferred Stock were authorized, issued, and outstanding, of which 60,000,000 shares were designated as $0.001 par value Series A Preferred Stock, and 52,500,000 shares were designated as $0.001 par value Series B Preferred Stock.</w:t>
      </w:r>
    </w:p>
    <w:p>
      <w:pPr>
        <w:spacing w:after="0" w:line="170" w:lineRule="exact"/>
        <w:rPr>
          <w:sz w:val="20"/>
          <w:szCs w:val="20"/>
          <w:color w:val="auto"/>
        </w:rPr>
      </w:pPr>
    </w:p>
    <w:p>
      <w:pPr>
        <w:jc w:val="both"/>
        <w:ind w:firstLine="376"/>
        <w:spacing w:after="0" w:line="306" w:lineRule="auto"/>
        <w:rPr>
          <w:sz w:val="20"/>
          <w:szCs w:val="20"/>
          <w:color w:val="auto"/>
        </w:rPr>
      </w:pPr>
      <w:r>
        <w:rPr>
          <w:rFonts w:ascii="Arial" w:cs="Arial" w:eastAsia="Arial" w:hAnsi="Arial"/>
          <w:sz w:val="16"/>
          <w:szCs w:val="16"/>
          <w:color w:val="3E5588"/>
        </w:rPr>
        <w:t>During the three months ended March 31, 2019, the Company issued 12,500,000 shares of Series B Preferred Stock in connection with the GSK Agreement (Note 9). The rights, privileges, and preferences of the Series B Preferred Stock issued in connection with the GSK Agreement are consistent with the rights, privileges, and preferences of the Series B Preferred Stock issued during the year ended December 31, 2018.</w:t>
      </w:r>
    </w:p>
    <w:p>
      <w:pPr>
        <w:spacing w:after="0" w:line="161"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3E5588"/>
        </w:rPr>
        <w:t>No dividends have been declared since inception. Aggregate cumulative dividends associated with the Series A Preferred Stock and the Series B Preferred Stock as of December 31, 2018 were $7.2 million and $2.3 million, respectively. Aggregate cumulative dividends associated with the Series A Preferred Stock and the Series B Preferred Stock as of March 31, 2019 were $8.4 million and $4.1 million,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7. Common Stock</w:t>
      </w:r>
    </w:p>
    <w:p>
      <w:pPr>
        <w:spacing w:after="0" w:line="231" w:lineRule="exact"/>
        <w:rPr>
          <w:sz w:val="20"/>
          <w:szCs w:val="20"/>
          <w:color w:val="auto"/>
        </w:rPr>
      </w:pPr>
    </w:p>
    <w:p>
      <w:pPr>
        <w:jc w:val="both"/>
        <w:ind w:firstLine="390"/>
        <w:spacing w:after="0" w:line="332" w:lineRule="auto"/>
        <w:rPr>
          <w:sz w:val="20"/>
          <w:szCs w:val="20"/>
          <w:color w:val="auto"/>
        </w:rPr>
      </w:pPr>
      <w:r>
        <w:rPr>
          <w:rFonts w:ascii="Arial" w:cs="Arial" w:eastAsia="Arial" w:hAnsi="Arial"/>
          <w:sz w:val="16"/>
          <w:szCs w:val="16"/>
          <w:color w:val="3E5588"/>
        </w:rPr>
        <w:t>Common stockholders are entitled to receive dividends, as may be declared by the Company's board of directors, if any, subject to the preferential dividend rights of the Preferred Stock. No dividends have been declared or paid during the three months ended March 31, 2018 or 2019.</w:t>
      </w:r>
    </w:p>
    <w:p>
      <w:pPr>
        <w:spacing w:after="0" w:line="139" w:lineRule="exact"/>
        <w:rPr>
          <w:sz w:val="20"/>
          <w:szCs w:val="20"/>
          <w:color w:val="auto"/>
        </w:rPr>
      </w:pPr>
    </w:p>
    <w:p>
      <w:pPr>
        <w:jc w:val="both"/>
        <w:ind w:firstLine="384"/>
        <w:spacing w:after="0" w:line="268" w:lineRule="auto"/>
        <w:rPr>
          <w:sz w:val="20"/>
          <w:szCs w:val="20"/>
          <w:color w:val="auto"/>
        </w:rPr>
      </w:pPr>
      <w:r>
        <w:rPr>
          <w:rFonts w:ascii="Arial" w:cs="Arial" w:eastAsia="Arial" w:hAnsi="Arial"/>
          <w:sz w:val="18"/>
          <w:szCs w:val="18"/>
          <w:color w:val="3E5588"/>
        </w:rPr>
        <w:t>During the three months ended March 31, 2019, the Company's Certificate of Incorporation was amended and restated to increase the number of authorized shares of Common Stock from 135,000,000 to 147,500,000 shares.</w:t>
      </w:r>
    </w:p>
    <w:p>
      <w:pPr>
        <w:spacing w:after="0" w:line="186"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3E5588"/>
        </w:rPr>
        <w:t>The Company had reserved the following shares of Common Stock for the potential conversion of Preferred Stock and for the future issuance of Common Stock pursuant to the Company's 2016 Stock Incentive Plan, as amended from time to time (the "2016 Plan"):</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120" w:type="dxa"/>
            <w:vAlign w:val="bottom"/>
            <w:gridSpan w:val="3"/>
          </w:tcPr>
          <w:p>
            <w:pPr>
              <w:ind w:left="100"/>
              <w:spacing w:after="0"/>
              <w:rPr>
                <w:sz w:val="20"/>
                <w:szCs w:val="20"/>
                <w:color w:val="auto"/>
              </w:rPr>
            </w:pPr>
            <w:r>
              <w:rPr>
                <w:rFonts w:ascii="Arial" w:cs="Arial" w:eastAsia="Arial" w:hAnsi="Arial"/>
                <w:sz w:val="14"/>
                <w:szCs w:val="14"/>
                <w:b w:val="1"/>
                <w:bCs w:val="1"/>
                <w:color w:val="3E5588"/>
              </w:rPr>
              <w:t>December 31,</w:t>
            </w: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3E5588"/>
              </w:rPr>
              <w:t>March 31,</w:t>
            </w:r>
          </w:p>
        </w:tc>
      </w:tr>
      <w:tr>
        <w:trPr>
          <w:trHeight w:val="161"/>
        </w:trPr>
        <w:tc>
          <w:tcPr>
            <w:tcW w:w="5780" w:type="dxa"/>
            <w:vAlign w:val="bottom"/>
          </w:tcPr>
          <w:p>
            <w:pPr>
              <w:spacing w:after="0"/>
              <w:rPr>
                <w:sz w:val="14"/>
                <w:szCs w:val="14"/>
                <w:color w:val="auto"/>
              </w:rPr>
            </w:pPr>
          </w:p>
        </w:tc>
        <w:tc>
          <w:tcPr>
            <w:tcW w:w="960" w:type="dxa"/>
            <w:vAlign w:val="bottom"/>
            <w:tcBorders>
              <w:bottom w:val="single" w:sz="8" w:color="3E5588"/>
            </w:tcBorders>
          </w:tcPr>
          <w:p>
            <w:pPr>
              <w:jc w:val="right"/>
              <w:ind w:right="259"/>
              <w:spacing w:after="0"/>
              <w:rPr>
                <w:sz w:val="20"/>
                <w:szCs w:val="20"/>
                <w:color w:val="auto"/>
              </w:rPr>
            </w:pPr>
            <w:r>
              <w:rPr>
                <w:rFonts w:ascii="Arial" w:cs="Arial" w:eastAsia="Arial" w:hAnsi="Arial"/>
                <w:sz w:val="14"/>
                <w:szCs w:val="14"/>
                <w:b w:val="1"/>
                <w:bCs w:val="1"/>
                <w:color w:val="3E5588"/>
              </w:rPr>
              <w:t>2018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Borders>
              <w:bottom w:val="single" w:sz="8" w:color="3E5588"/>
            </w:tcBorders>
          </w:tcPr>
          <w:p>
            <w:pPr>
              <w:jc w:val="right"/>
              <w:ind w:right="239"/>
              <w:spacing w:after="0"/>
              <w:rPr>
                <w:sz w:val="20"/>
                <w:szCs w:val="20"/>
                <w:color w:val="auto"/>
              </w:rPr>
            </w:pPr>
            <w:r>
              <w:rPr>
                <w:rFonts w:ascii="Arial" w:cs="Arial" w:eastAsia="Arial" w:hAnsi="Arial"/>
                <w:sz w:val="14"/>
                <w:szCs w:val="14"/>
                <w:b w:val="1"/>
                <w:bCs w:val="1"/>
                <w:color w:val="3E5588"/>
              </w:rPr>
              <w:t>2019</w:t>
            </w:r>
          </w:p>
        </w:tc>
        <w:tc>
          <w:tcPr>
            <w:tcW w:w="160" w:type="dxa"/>
            <w:vAlign w:val="bottom"/>
          </w:tcPr>
          <w:p>
            <w:pPr>
              <w:spacing w:after="0"/>
              <w:rPr>
                <w:sz w:val="14"/>
                <w:szCs w:val="14"/>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3E5588"/>
              </w:rPr>
              <w:t>Shares reserved for conversion of outstanding Series A Preferred Stock</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8,571,427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8,571,427</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3E5588"/>
              </w:rPr>
              <w:t>Shares reserved for conversion of outstanding Series B Preferred Stock</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3E5588"/>
              </w:rPr>
              <w:t>5,714,277</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3E5588"/>
              </w:rPr>
              <w:t>7,499,991</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3E5588"/>
                <w:w w:val="99"/>
              </w:rPr>
              <w:t>Shares reserved for future issuance under the 2016 Stock Incentive Plan</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919,030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366,623</w:t>
            </w:r>
          </w:p>
        </w:tc>
      </w:tr>
      <w:tr>
        <w:trPr>
          <w:trHeight w:val="210"/>
        </w:trPr>
        <w:tc>
          <w:tcPr>
            <w:tcW w:w="5780" w:type="dxa"/>
            <w:vAlign w:val="bottom"/>
          </w:tcPr>
          <w:p>
            <w:pPr>
              <w:spacing w:after="0"/>
              <w:rPr>
                <w:sz w:val="18"/>
                <w:szCs w:val="18"/>
                <w:color w:val="auto"/>
              </w:rPr>
            </w:pPr>
          </w:p>
        </w:tc>
        <w:tc>
          <w:tcPr>
            <w:tcW w:w="96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15,204,734</w:t>
            </w:r>
          </w:p>
        </w:tc>
        <w:tc>
          <w:tcPr>
            <w:tcW w:w="20" w:type="dxa"/>
            <w:vAlign w:val="bottom"/>
            <w:tcBorders>
              <w:bottom w:val="single" w:sz="8" w:color="3E5588"/>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99"/>
              </w:rPr>
              <w:t>16,438,041</w:t>
            </w:r>
          </w:p>
        </w:tc>
        <w:tc>
          <w:tcPr>
            <w:tcW w:w="160" w:type="dxa"/>
            <w:vAlign w:val="bottom"/>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960" w:type="dxa"/>
            <w:vAlign w:val="bottom"/>
            <w:tcBorders>
              <w:bottom w:val="single" w:sz="8" w:color="3E5588"/>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8. Stock-based Compensation Expense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Grants Under the 2016 Stock Incentive Plan</w:t>
      </w:r>
    </w:p>
    <w:p>
      <w:pPr>
        <w:spacing w:after="0" w:line="225"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3E5588"/>
        </w:rPr>
        <w:t>In July 2016, the Company adopted the 2016 Plan, under which it may grant restricted stock awards, restricted stock units, incentive stock options, non-statutory stock options, and other stock-based awards to eligible employees, officers, directors, consultants, and advisors. The total number of shares of Common Stock that were authorized for issuance under the 2016 Plan was 3,209,285 as of December 31, 2018. In January 2019, the 2016 Plan was amended to increase the number of shares of Common Stock reserved for issuance under the 2016 Plan by 357,143 shares. The total number of shares of Common Stock that were authorized for issuance under the 2016 Plan was 3,566,428 as of March 31, 2019.</w:t>
      </w:r>
    </w:p>
    <w:p>
      <w:pPr>
        <w:spacing w:after="0" w:line="170"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3E5588"/>
        </w:rPr>
        <w:t>For financial reporting purposes, the Company performed Common Stock valuations with the assistance of a third-party specialist as of March 15, 2019, November 30, 2018, August 24, 2018, June 1, 2018, December 31, 2017, and December 31, 2016 to determine stock-based compensation expense for restricted stock awards and stock options.</w:t>
      </w:r>
    </w:p>
    <w:p>
      <w:pPr>
        <w:spacing w:after="0" w:line="194" w:lineRule="exact"/>
        <w:rPr>
          <w:sz w:val="20"/>
          <w:szCs w:val="20"/>
          <w:color w:val="auto"/>
        </w:rPr>
      </w:pPr>
    </w:p>
    <w:p>
      <w:pPr>
        <w:jc w:val="both"/>
        <w:ind w:firstLine="459"/>
        <w:spacing w:after="0" w:line="332" w:lineRule="auto"/>
        <w:rPr>
          <w:sz w:val="20"/>
          <w:szCs w:val="20"/>
          <w:color w:val="auto"/>
        </w:rPr>
      </w:pPr>
      <w:r>
        <w:rPr>
          <w:rFonts w:ascii="Arial" w:cs="Arial" w:eastAsia="Arial" w:hAnsi="Arial"/>
          <w:sz w:val="16"/>
          <w:szCs w:val="16"/>
          <w:color w:val="3E5588"/>
        </w:rPr>
        <w:t>Shares of Common Stock repurchased from employees and non-employees are shares held in the Company's treasury ("Treasury Shares"). The board of directors may, at its discretion, authorize that the Treasury Shares be returned to the pool of authorized but unissued Common Stock.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8. Stock-based Compensation Expense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summarizes the Company's restricted stock activity under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3E5588"/>
                <w:w w:val="97"/>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E5588"/>
                <w:w w:val="88"/>
              </w:rPr>
              <w:t>Weighted Average Grant</w:t>
            </w:r>
          </w:p>
        </w:tc>
      </w:tr>
      <w:tr>
        <w:trPr>
          <w:trHeight w:val="161"/>
        </w:trPr>
        <w:tc>
          <w:tcPr>
            <w:tcW w:w="5280" w:type="dxa"/>
            <w:vAlign w:val="bottom"/>
          </w:tcPr>
          <w:p>
            <w:pPr>
              <w:spacing w:after="0"/>
              <w:rPr>
                <w:sz w:val="14"/>
                <w:szCs w:val="14"/>
                <w:color w:val="auto"/>
              </w:rPr>
            </w:pPr>
          </w:p>
        </w:tc>
        <w:tc>
          <w:tcPr>
            <w:tcW w:w="780" w:type="dxa"/>
            <w:vAlign w:val="bottom"/>
            <w:tcBorders>
              <w:bottom w:val="single" w:sz="8" w:color="3E5588"/>
            </w:tcBorders>
          </w:tcPr>
          <w:p>
            <w:pPr>
              <w:jc w:val="right"/>
              <w:ind w:right="118"/>
              <w:spacing w:after="0"/>
              <w:rPr>
                <w:sz w:val="20"/>
                <w:szCs w:val="20"/>
                <w:color w:val="auto"/>
              </w:rPr>
            </w:pPr>
            <w:r>
              <w:rPr>
                <w:rFonts w:ascii="Arial" w:cs="Arial" w:eastAsia="Arial" w:hAnsi="Arial"/>
                <w:sz w:val="14"/>
                <w:szCs w:val="14"/>
                <w:b w:val="1"/>
                <w:bCs w:val="1"/>
                <w:color w:val="3E5588"/>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3E5588"/>
            </w:tcBorders>
          </w:tcPr>
          <w:p>
            <w:pPr>
              <w:spacing w:after="0"/>
              <w:rPr>
                <w:sz w:val="14"/>
                <w:szCs w:val="14"/>
                <w:color w:val="auto"/>
              </w:rPr>
            </w:pPr>
          </w:p>
        </w:tc>
        <w:tc>
          <w:tcPr>
            <w:tcW w:w="1380" w:type="dxa"/>
            <w:vAlign w:val="bottom"/>
            <w:tcBorders>
              <w:bottom w:val="single" w:sz="8" w:color="3E5588"/>
            </w:tcBorders>
          </w:tcPr>
          <w:p>
            <w:pPr>
              <w:jc w:val="center"/>
              <w:ind w:right="136"/>
              <w:spacing w:after="0"/>
              <w:rPr>
                <w:sz w:val="20"/>
                <w:szCs w:val="20"/>
                <w:color w:val="auto"/>
              </w:rPr>
            </w:pPr>
            <w:r>
              <w:rPr>
                <w:rFonts w:ascii="Arial" w:cs="Arial" w:eastAsia="Arial" w:hAnsi="Arial"/>
                <w:sz w:val="14"/>
                <w:szCs w:val="14"/>
                <w:b w:val="1"/>
                <w:bCs w:val="1"/>
                <w:color w:val="3E5588"/>
                <w:w w:val="90"/>
              </w:rPr>
              <w:t>Date Fair Value</w:t>
            </w:r>
          </w:p>
        </w:tc>
        <w:tc>
          <w:tcPr>
            <w:tcW w:w="160" w:type="dxa"/>
            <w:vAlign w:val="bottom"/>
          </w:tcPr>
          <w:p>
            <w:pPr>
              <w:spacing w:after="0"/>
              <w:rPr>
                <w:sz w:val="14"/>
                <w:szCs w:val="14"/>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757,022</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3.07</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3E5588"/>
              </w:rPr>
              <w:t>Granted</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(105,980)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3.04</w:t>
            </w: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3E5588"/>
              </w:rPr>
              <w:t>Repurchased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3E5588"/>
              </w:rPr>
              <w:t>(43,922)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3.06</w:t>
            </w:r>
          </w:p>
        </w:tc>
      </w:tr>
      <w:tr>
        <w:trPr>
          <w:trHeight w:val="20"/>
        </w:trPr>
        <w:tc>
          <w:tcPr>
            <w:tcW w:w="5280" w:type="dxa"/>
            <w:vAlign w:val="bottom"/>
          </w:tcPr>
          <w:p>
            <w:pPr>
              <w:spacing w:after="0" w:line="20" w:lineRule="exact"/>
              <w:rPr>
                <w:sz w:val="1"/>
                <w:szCs w:val="1"/>
                <w:color w:val="auto"/>
              </w:rPr>
            </w:pPr>
          </w:p>
        </w:tc>
        <w:tc>
          <w:tcPr>
            <w:tcW w:w="78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3E5588"/>
          </w:tcPr>
          <w:p>
            <w:pPr>
              <w:spacing w:after="0" w:line="20" w:lineRule="exact"/>
              <w:rPr>
                <w:sz w:val="1"/>
                <w:szCs w:val="1"/>
                <w:color w:val="auto"/>
              </w:rPr>
            </w:pPr>
          </w:p>
        </w:tc>
        <w:tc>
          <w:tcPr>
            <w:tcW w:w="13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3E5588"/>
              </w:rPr>
              <w:t>Unvested at March 31,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607,120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3.07</w:t>
            </w:r>
          </w:p>
        </w:tc>
      </w:tr>
      <w:tr>
        <w:trPr>
          <w:trHeight w:val="20"/>
        </w:trPr>
        <w:tc>
          <w:tcPr>
            <w:tcW w:w="5280" w:type="dxa"/>
            <w:vAlign w:val="bottom"/>
          </w:tcPr>
          <w:p>
            <w:pPr>
              <w:spacing w:after="0" w:line="20" w:lineRule="exact"/>
              <w:rPr>
                <w:sz w:val="1"/>
                <w:szCs w:val="1"/>
                <w:color w:val="auto"/>
              </w:rPr>
            </w:pPr>
          </w:p>
        </w:tc>
        <w:tc>
          <w:tcPr>
            <w:tcW w:w="78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3E5588"/>
              <w:bottom w:val="single" w:sz="8" w:color="3E5588"/>
            </w:tcBorders>
          </w:tcPr>
          <w:p>
            <w:pPr>
              <w:spacing w:after="0" w:line="20" w:lineRule="exact"/>
              <w:rPr>
                <w:sz w:val="1"/>
                <w:szCs w:val="1"/>
                <w:color w:val="auto"/>
              </w:rPr>
            </w:pPr>
          </w:p>
        </w:tc>
        <w:tc>
          <w:tcPr>
            <w:tcW w:w="13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summarizes the Company's stock option activity under the 2016 Plan since December 31, 2018:</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3E5588"/>
                <w:w w:val="88"/>
              </w:rPr>
              <w:t>Weighted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Average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9"/>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3E5588"/>
                <w:w w:val="85"/>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9"/>
              </w:rPr>
              <w:t>Contractual</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3E5588"/>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93"/>
              </w:rPr>
              <w:t>Term</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3E5588"/>
              </w:rPr>
              <w:t>Aggregate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920" w:type="dxa"/>
            <w:vAlign w:val="bottom"/>
            <w:tcBorders>
              <w:bottom w:val="single" w:sz="8" w:color="3E5588"/>
            </w:tcBorders>
          </w:tcPr>
          <w:p>
            <w:pPr>
              <w:jc w:val="right"/>
              <w:ind w:right="197"/>
              <w:spacing w:after="0"/>
              <w:rPr>
                <w:sz w:val="20"/>
                <w:szCs w:val="20"/>
                <w:color w:val="auto"/>
              </w:rPr>
            </w:pPr>
            <w:r>
              <w:rPr>
                <w:rFonts w:ascii="Arial" w:cs="Arial" w:eastAsia="Arial" w:hAnsi="Arial"/>
                <w:sz w:val="14"/>
                <w:szCs w:val="14"/>
                <w:b w:val="1"/>
                <w:bCs w:val="1"/>
                <w:color w:val="3E5588"/>
              </w:rPr>
              <w:t>Shares</w:t>
            </w:r>
          </w:p>
        </w:tc>
        <w:tc>
          <w:tcPr>
            <w:tcW w:w="1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920" w:type="dxa"/>
            <w:vAlign w:val="bottom"/>
            <w:tcBorders>
              <w:bottom w:val="single" w:sz="8" w:color="3E5588"/>
            </w:tcBorders>
          </w:tcPr>
          <w:p>
            <w:pPr>
              <w:jc w:val="center"/>
              <w:ind w:right="19"/>
              <w:spacing w:after="0"/>
              <w:rPr>
                <w:sz w:val="20"/>
                <w:szCs w:val="20"/>
                <w:color w:val="auto"/>
              </w:rPr>
            </w:pPr>
            <w:r>
              <w:rPr>
                <w:rFonts w:ascii="Arial" w:cs="Arial" w:eastAsia="Arial" w:hAnsi="Arial"/>
                <w:sz w:val="14"/>
                <w:szCs w:val="14"/>
                <w:b w:val="1"/>
                <w:bCs w:val="1"/>
                <w:color w:val="3E5588"/>
                <w:w w:val="85"/>
              </w:rPr>
              <w:t>Exercise Price</w:t>
            </w:r>
          </w:p>
        </w:tc>
        <w:tc>
          <w:tcPr>
            <w:tcW w:w="160" w:type="dxa"/>
            <w:vAlign w:val="bottom"/>
          </w:tcPr>
          <w:p>
            <w:pPr>
              <w:spacing w:after="0"/>
              <w:rPr>
                <w:sz w:val="14"/>
                <w:szCs w:val="14"/>
                <w:color w:val="auto"/>
              </w:rPr>
            </w:pPr>
          </w:p>
        </w:tc>
        <w:tc>
          <w:tcPr>
            <w:tcW w:w="86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6"/>
              </w:rPr>
              <w:t>(in years)</w:t>
            </w:r>
          </w:p>
        </w:tc>
        <w:tc>
          <w:tcPr>
            <w:tcW w:w="160" w:type="dxa"/>
            <w:vAlign w:val="bottom"/>
          </w:tcPr>
          <w:p>
            <w:pPr>
              <w:spacing w:after="0"/>
              <w:rPr>
                <w:sz w:val="14"/>
                <w:szCs w:val="14"/>
                <w:color w:val="auto"/>
              </w:rPr>
            </w:pPr>
          </w:p>
        </w:tc>
        <w:tc>
          <w:tcPr>
            <w:tcW w:w="80" w:type="dxa"/>
            <w:vAlign w:val="bottom"/>
            <w:tcBorders>
              <w:bottom w:val="single" w:sz="8" w:color="3E5588"/>
            </w:tcBorders>
          </w:tcPr>
          <w:p>
            <w:pPr>
              <w:spacing w:after="0"/>
              <w:rPr>
                <w:sz w:val="14"/>
                <w:szCs w:val="14"/>
                <w:color w:val="auto"/>
              </w:rPr>
            </w:pPr>
          </w:p>
        </w:tc>
        <w:tc>
          <w:tcPr>
            <w:tcW w:w="940" w:type="dxa"/>
            <w:vAlign w:val="bottom"/>
            <w:tcBorders>
              <w:bottom w:val="single" w:sz="8" w:color="3E5588"/>
            </w:tcBorders>
          </w:tcPr>
          <w:p>
            <w:pPr>
              <w:jc w:val="right"/>
              <w:spacing w:after="0"/>
              <w:rPr>
                <w:sz w:val="20"/>
                <w:szCs w:val="20"/>
                <w:color w:val="auto"/>
              </w:rPr>
            </w:pPr>
            <w:r>
              <w:rPr>
                <w:rFonts w:ascii="Arial" w:cs="Arial" w:eastAsia="Arial" w:hAnsi="Arial"/>
                <w:sz w:val="14"/>
                <w:szCs w:val="14"/>
                <w:b w:val="1"/>
                <w:bCs w:val="1"/>
                <w:color w:val="3E5588"/>
                <w:w w:val="87"/>
              </w:rPr>
              <w:t>Intrinsic 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3E5588"/>
              </w:rPr>
              <w:t>Outstanding at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507,891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7.12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9.84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367,427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3E5588"/>
              </w:rPr>
              <w:t>Granted</w:t>
            </w:r>
          </w:p>
        </w:tc>
        <w:tc>
          <w:tcPr>
            <w:tcW w:w="920" w:type="dxa"/>
            <w:vAlign w:val="bottom"/>
          </w:tcPr>
          <w:p>
            <w:pPr>
              <w:jc w:val="right"/>
              <w:spacing w:after="0"/>
              <w:rPr>
                <w:sz w:val="20"/>
                <w:szCs w:val="20"/>
                <w:color w:val="auto"/>
              </w:rPr>
            </w:pPr>
            <w:r>
              <w:rPr>
                <w:rFonts w:ascii="Arial" w:cs="Arial" w:eastAsia="Arial" w:hAnsi="Arial"/>
                <w:sz w:val="18"/>
                <w:szCs w:val="18"/>
                <w:color w:val="3E5588"/>
              </w:rPr>
              <w:t>1,020,496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E5588"/>
              </w:rPr>
              <w:t>7.85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3E5588"/>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3E5588"/>
              </w:rPr>
              <w:t>Cancelled</w:t>
            </w:r>
          </w:p>
        </w:tc>
        <w:tc>
          <w:tcPr>
            <w:tcW w:w="920" w:type="dxa"/>
            <w:vAlign w:val="bottom"/>
            <w:tcBorders>
              <w:bottom w:val="single" w:sz="8" w:color="3E5588"/>
            </w:tcBorders>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3E5588"/>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3E5588"/>
              </w:rPr>
              <w:t>Outstanding at March 31, 2019</w:t>
            </w:r>
          </w:p>
        </w:tc>
        <w:tc>
          <w:tcPr>
            <w:tcW w:w="920" w:type="dxa"/>
            <w:vAlign w:val="bottom"/>
            <w:tcBorders>
              <w:bottom w:val="single" w:sz="8" w:color="3E5588"/>
            </w:tcBorders>
            <w:shd w:val="clear" w:color="auto" w:fill="CCEEFF"/>
          </w:tcPr>
          <w:p>
            <w:pPr>
              <w:jc w:val="right"/>
              <w:spacing w:after="0"/>
              <w:rPr>
                <w:sz w:val="20"/>
                <w:szCs w:val="20"/>
                <w:color w:val="auto"/>
              </w:rPr>
            </w:pPr>
            <w:r>
              <w:rPr>
                <w:rFonts w:ascii="Arial" w:cs="Arial" w:eastAsia="Arial" w:hAnsi="Arial"/>
                <w:sz w:val="18"/>
                <w:szCs w:val="18"/>
                <w:color w:val="3E5588"/>
              </w:rPr>
              <w:t>1,528,387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7.60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9.74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1,109,354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3E5588"/>
              </w:rPr>
              <w:t>Exercisable at March 31, 2019</w:t>
            </w:r>
          </w:p>
        </w:tc>
        <w:tc>
          <w:tcPr>
            <w:tcW w:w="920" w:type="dxa"/>
            <w:vAlign w:val="bottom"/>
            <w:tcBorders>
              <w:bottom w:val="single" w:sz="8" w:color="3E5588"/>
            </w:tcBorders>
          </w:tcPr>
          <w:p>
            <w:pPr>
              <w:spacing w:after="0" w:line="20" w:lineRule="exact"/>
              <w:rPr>
                <w:sz w:val="1"/>
                <w:szCs w:val="1"/>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3E5588"/>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3E5588"/>
              </w:rPr>
              <w:t>6.82</w:t>
            </w: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3E5588"/>
              </w:rPr>
              <w:t>9.62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3E5588"/>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3E5588"/>
              </w:rPr>
              <w:t>113,092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gridSpan w:val="2"/>
            <w:vMerge w:val="continue"/>
          </w:tcPr>
          <w:p>
            <w:pPr>
              <w:spacing w:after="0"/>
              <w:rPr>
                <w:sz w:val="17"/>
                <w:szCs w:val="17"/>
                <w:color w:val="auto"/>
              </w:rPr>
            </w:pPr>
          </w:p>
        </w:tc>
        <w:tc>
          <w:tcPr>
            <w:tcW w:w="920" w:type="dxa"/>
            <w:vAlign w:val="bottom"/>
            <w:tcBorders>
              <w:bottom w:val="single" w:sz="8" w:color="3E5588"/>
            </w:tcBorders>
          </w:tcPr>
          <w:p>
            <w:pPr>
              <w:jc w:val="right"/>
              <w:spacing w:after="0" w:line="196" w:lineRule="exact"/>
              <w:rPr>
                <w:sz w:val="20"/>
                <w:szCs w:val="20"/>
                <w:color w:val="auto"/>
              </w:rPr>
            </w:pPr>
            <w:r>
              <w:rPr>
                <w:rFonts w:ascii="Arial" w:cs="Arial" w:eastAsia="Arial" w:hAnsi="Arial"/>
                <w:sz w:val="18"/>
                <w:szCs w:val="18"/>
                <w:color w:val="3E5588"/>
              </w:rPr>
              <w:t>74,680</w:t>
            </w:r>
          </w:p>
        </w:tc>
        <w:tc>
          <w:tcPr>
            <w:tcW w:w="240" w:type="dxa"/>
            <w:vAlign w:val="bottom"/>
            <w:gridSpan w:val="2"/>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5"/>
        <w:spacing w:after="0" w:line="332" w:lineRule="auto"/>
        <w:rPr>
          <w:sz w:val="20"/>
          <w:szCs w:val="20"/>
          <w:color w:val="auto"/>
        </w:rPr>
      </w:pPr>
      <w:r>
        <w:rPr>
          <w:rFonts w:ascii="Arial" w:cs="Arial" w:eastAsia="Arial" w:hAnsi="Arial"/>
          <w:sz w:val="16"/>
          <w:szCs w:val="16"/>
          <w:color w:val="3E5588"/>
        </w:rPr>
        <w:t>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w:t>
      </w:r>
    </w:p>
    <w:p>
      <w:pPr>
        <w:spacing w:after="0" w:line="139" w:lineRule="exact"/>
        <w:rPr>
          <w:sz w:val="20"/>
          <w:szCs w:val="20"/>
          <w:color w:val="auto"/>
        </w:rPr>
      </w:pPr>
    </w:p>
    <w:p>
      <w:pPr>
        <w:jc w:val="both"/>
        <w:ind w:firstLine="418"/>
        <w:spacing w:after="0" w:line="259" w:lineRule="auto"/>
        <w:rPr>
          <w:sz w:val="20"/>
          <w:szCs w:val="20"/>
          <w:color w:val="auto"/>
        </w:rPr>
      </w:pPr>
      <w:r>
        <w:rPr>
          <w:rFonts w:ascii="Arial" w:cs="Arial" w:eastAsia="Arial" w:hAnsi="Arial"/>
          <w:sz w:val="18"/>
          <w:szCs w:val="18"/>
          <w:color w:val="3E5588"/>
        </w:rPr>
        <w:t>The weighted average grant date fair value of stock options granted during the three months ended March 31, 2019 was $5.56 per share. As of March 31, 2019, no stock options have been exercised since inception. The fair value of stock options granted during the three months ended March 31, 2019 under the 2016 Plan has been calculated on the date of grant using the following weighted average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00" w:type="dxa"/>
            <w:vAlign w:val="bottom"/>
            <w:gridSpan w:val="3"/>
          </w:tcPr>
          <w:p>
            <w:pPr>
              <w:jc w:val="center"/>
              <w:ind w:right="1880"/>
              <w:spacing w:after="0"/>
              <w:rPr>
                <w:sz w:val="20"/>
                <w:szCs w:val="20"/>
                <w:color w:val="auto"/>
              </w:rPr>
            </w:pPr>
            <w:r>
              <w:rPr>
                <w:rFonts w:ascii="Arial" w:cs="Arial" w:eastAsia="Arial" w:hAnsi="Arial"/>
                <w:sz w:val="14"/>
                <w:szCs w:val="14"/>
                <w:b w:val="1"/>
                <w:bCs w:val="1"/>
                <w:color w:val="3E5588"/>
                <w:w w:val="88"/>
              </w:rPr>
              <w:t>Three Months Ended</w:t>
            </w:r>
          </w:p>
        </w:tc>
      </w:tr>
      <w:tr>
        <w:trPr>
          <w:trHeight w:val="161"/>
        </w:trPr>
        <w:tc>
          <w:tcPr>
            <w:tcW w:w="17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2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90"/>
              </w:rPr>
              <w:t>March 31, 2019</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3E5588"/>
              </w:rPr>
              <w:t>Risk-free interest rate</w:t>
            </w:r>
          </w:p>
        </w:tc>
        <w:tc>
          <w:tcPr>
            <w:tcW w:w="5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3E5588"/>
              </w:rPr>
              <w:t>2.6%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3E5588"/>
              </w:rPr>
              <w:t>Expected dividend yield</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3E5588"/>
              </w:rPr>
              <w:t>0.0%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3E5588"/>
              </w:rPr>
              <w:t>Expected term (years)</w:t>
            </w:r>
          </w:p>
        </w:tc>
        <w:tc>
          <w:tcPr>
            <w:tcW w:w="5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E5588"/>
              </w:rPr>
              <w:t>6.0</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3E5588"/>
              </w:rPr>
              <w:t>Expected stock price volatility</w:t>
            </w:r>
          </w:p>
        </w:tc>
        <w:tc>
          <w:tcPr>
            <w:tcW w:w="5000" w:type="dxa"/>
            <w:vAlign w:val="bottom"/>
            <w:gridSpan w:val="3"/>
          </w:tcPr>
          <w:p>
            <w:pPr>
              <w:jc w:val="right"/>
              <w:ind w:right="20"/>
              <w:spacing w:after="0"/>
              <w:rPr>
                <w:sz w:val="20"/>
                <w:szCs w:val="20"/>
                <w:color w:val="auto"/>
              </w:rPr>
            </w:pPr>
            <w:r>
              <w:rPr>
                <w:rFonts w:ascii="Arial" w:cs="Arial" w:eastAsia="Arial" w:hAnsi="Arial"/>
                <w:sz w:val="18"/>
                <w:szCs w:val="18"/>
                <w:color w:val="3E5588"/>
              </w:rPr>
              <w:t>81.4%</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20" w:type="dxa"/>
            <w:vAlign w:val="bottom"/>
            <w:gridSpan w:val="4"/>
          </w:tcPr>
          <w:p>
            <w:pPr>
              <w:ind w:left="840"/>
              <w:spacing w:after="0"/>
              <w:rPr>
                <w:sz w:val="20"/>
                <w:szCs w:val="20"/>
                <w:color w:val="auto"/>
              </w:rPr>
            </w:pPr>
            <w:r>
              <w:rPr>
                <w:rFonts w:ascii="Arial" w:cs="Arial" w:eastAsia="Arial" w:hAnsi="Arial"/>
                <w:sz w:val="18"/>
                <w:szCs w:val="18"/>
                <w:color w:val="3E5588"/>
              </w:rPr>
              <w:t>F-45</w:t>
            </w:r>
          </w:p>
        </w:tc>
      </w:tr>
      <w:tr>
        <w:trPr>
          <w:trHeight w:val="228"/>
        </w:trPr>
        <w:tc>
          <w:tcPr>
            <w:tcW w:w="1720" w:type="dxa"/>
            <w:vAlign w:val="bottom"/>
            <w:tcBorders>
              <w:bottom w:val="single" w:sz="8" w:color="3E5588"/>
            </w:tcBorders>
          </w:tcPr>
          <w:p>
            <w:pPr>
              <w:spacing w:after="0"/>
              <w:rPr>
                <w:sz w:val="19"/>
                <w:szCs w:val="19"/>
                <w:color w:val="auto"/>
              </w:rPr>
            </w:pPr>
          </w:p>
        </w:tc>
        <w:tc>
          <w:tcPr>
            <w:tcW w:w="2980" w:type="dxa"/>
            <w:vAlign w:val="bottom"/>
            <w:tcBorders>
              <w:bottom w:val="single" w:sz="8" w:color="3E5588"/>
            </w:tcBorders>
          </w:tcPr>
          <w:p>
            <w:pPr>
              <w:spacing w:after="0"/>
              <w:rPr>
                <w:sz w:val="19"/>
                <w:szCs w:val="19"/>
                <w:color w:val="auto"/>
              </w:rPr>
            </w:pPr>
          </w:p>
        </w:tc>
        <w:tc>
          <w:tcPr>
            <w:tcW w:w="3420" w:type="dxa"/>
            <w:vAlign w:val="bottom"/>
            <w:tcBorders>
              <w:bottom w:val="single" w:sz="8" w:color="3E5588"/>
            </w:tcBorders>
          </w:tcPr>
          <w:p>
            <w:pPr>
              <w:spacing w:after="0"/>
              <w:rPr>
                <w:sz w:val="19"/>
                <w:szCs w:val="19"/>
                <w:color w:val="auto"/>
              </w:rPr>
            </w:pPr>
          </w:p>
        </w:tc>
        <w:tc>
          <w:tcPr>
            <w:tcW w:w="1420" w:type="dxa"/>
            <w:vAlign w:val="bottom"/>
            <w:tcBorders>
              <w:bottom w:val="single" w:sz="8" w:color="3E5588"/>
            </w:tcBorders>
          </w:tcPr>
          <w:p>
            <w:pPr>
              <w:spacing w:after="0"/>
              <w:rPr>
                <w:sz w:val="19"/>
                <w:szCs w:val="19"/>
                <w:color w:val="auto"/>
              </w:rPr>
            </w:pPr>
          </w:p>
        </w:tc>
        <w:tc>
          <w:tcPr>
            <w:tcW w:w="160" w:type="dxa"/>
            <w:vAlign w:val="bottom"/>
            <w:tcBorders>
              <w:bottom w:val="single" w:sz="8" w:color="3E5588"/>
            </w:tcBorders>
          </w:tcPr>
          <w:p>
            <w:pPr>
              <w:spacing w:after="0"/>
              <w:rPr>
                <w:sz w:val="19"/>
                <w:szCs w:val="19"/>
                <w:color w:val="auto"/>
              </w:rPr>
            </w:pPr>
          </w:p>
        </w:tc>
        <w:tc>
          <w:tcPr>
            <w:tcW w:w="1720" w:type="dxa"/>
            <w:vAlign w:val="bottom"/>
            <w:tcBorders>
              <w:bottom w:val="single" w:sz="8" w:color="3E5588"/>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8. Stock-based Compensation Expense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Grants Outside the 2016 Stock Incentive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following table summarizes the Company's restricted stock activity outside of the 2016 Plan since December 31,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3E5588"/>
                <w:w w:val="99"/>
              </w:rPr>
              <w:t>Number of</w:t>
            </w:r>
          </w:p>
        </w:tc>
        <w:tc>
          <w:tcPr>
            <w:tcW w:w="60" w:type="dxa"/>
            <w:vAlign w:val="bottom"/>
          </w:tcPr>
          <w:p>
            <w:pPr>
              <w:spacing w:after="0"/>
              <w:rPr>
                <w:sz w:val="14"/>
                <w:szCs w:val="14"/>
                <w:color w:val="auto"/>
              </w:rPr>
            </w:pPr>
          </w:p>
        </w:tc>
        <w:tc>
          <w:tcPr>
            <w:tcW w:w="1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3E5588"/>
                <w:w w:val="88"/>
              </w:rPr>
              <w:t>Weighted Average Grant</w:t>
            </w:r>
          </w:p>
        </w:tc>
      </w:tr>
      <w:tr>
        <w:trPr>
          <w:trHeight w:val="161"/>
        </w:trPr>
        <w:tc>
          <w:tcPr>
            <w:tcW w:w="5220" w:type="dxa"/>
            <w:vAlign w:val="bottom"/>
          </w:tcPr>
          <w:p>
            <w:pPr>
              <w:spacing w:after="0"/>
              <w:rPr>
                <w:sz w:val="14"/>
                <w:szCs w:val="14"/>
                <w:color w:val="auto"/>
              </w:rPr>
            </w:pPr>
          </w:p>
        </w:tc>
        <w:tc>
          <w:tcPr>
            <w:tcW w:w="840" w:type="dxa"/>
            <w:vAlign w:val="bottom"/>
            <w:tcBorders>
              <w:bottom w:val="single" w:sz="8" w:color="3E5588"/>
            </w:tcBorders>
          </w:tcPr>
          <w:p>
            <w:pPr>
              <w:jc w:val="right"/>
              <w:ind w:right="158"/>
              <w:spacing w:after="0"/>
              <w:rPr>
                <w:sz w:val="20"/>
                <w:szCs w:val="20"/>
                <w:color w:val="auto"/>
              </w:rPr>
            </w:pPr>
            <w:r>
              <w:rPr>
                <w:rFonts w:ascii="Arial" w:cs="Arial" w:eastAsia="Arial" w:hAnsi="Arial"/>
                <w:sz w:val="14"/>
                <w:szCs w:val="14"/>
                <w:b w:val="1"/>
                <w:bCs w:val="1"/>
                <w:color w:val="3E5588"/>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bottom w:val="single" w:sz="8" w:color="3E5588"/>
            </w:tcBorders>
          </w:tcPr>
          <w:p>
            <w:pPr>
              <w:spacing w:after="0"/>
              <w:rPr>
                <w:sz w:val="14"/>
                <w:szCs w:val="14"/>
                <w:color w:val="auto"/>
              </w:rPr>
            </w:pPr>
          </w:p>
        </w:tc>
        <w:tc>
          <w:tcPr>
            <w:tcW w:w="1380" w:type="dxa"/>
            <w:vAlign w:val="bottom"/>
            <w:tcBorders>
              <w:bottom w:val="single" w:sz="8" w:color="3E5588"/>
            </w:tcBorders>
          </w:tcPr>
          <w:p>
            <w:pPr>
              <w:jc w:val="center"/>
              <w:ind w:right="136"/>
              <w:spacing w:after="0"/>
              <w:rPr>
                <w:sz w:val="20"/>
                <w:szCs w:val="20"/>
                <w:color w:val="auto"/>
              </w:rPr>
            </w:pPr>
            <w:r>
              <w:rPr>
                <w:rFonts w:ascii="Arial" w:cs="Arial" w:eastAsia="Arial" w:hAnsi="Arial"/>
                <w:sz w:val="14"/>
                <w:szCs w:val="14"/>
                <w:b w:val="1"/>
                <w:bCs w:val="1"/>
                <w:color w:val="3E5588"/>
                <w:w w:val="90"/>
              </w:rPr>
              <w:t>Date Fair Value</w:t>
            </w:r>
          </w:p>
        </w:tc>
        <w:tc>
          <w:tcPr>
            <w:tcW w:w="160" w:type="dxa"/>
            <w:vAlign w:val="bottom"/>
          </w:tcPr>
          <w:p>
            <w:pPr>
              <w:spacing w:after="0"/>
              <w:rPr>
                <w:sz w:val="14"/>
                <w:szCs w:val="14"/>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3E5588"/>
              </w:rPr>
              <w:t>Unvested at December 31, 2018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446,789</w:t>
            </w: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3E5588"/>
              </w:rPr>
              <w:t>Granted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3E5588"/>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16"/>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Vested</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3E5588"/>
              </w:rPr>
              <w:t>(28,033)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16"/>
        </w:trPr>
        <w:tc>
          <w:tcPr>
            <w:tcW w:w="5220" w:type="dxa"/>
            <w:vAlign w:val="bottom"/>
          </w:tcPr>
          <w:p>
            <w:pPr>
              <w:ind w:left="180"/>
              <w:spacing w:after="0"/>
              <w:rPr>
                <w:sz w:val="20"/>
                <w:szCs w:val="20"/>
                <w:color w:val="auto"/>
              </w:rPr>
            </w:pPr>
            <w:r>
              <w:rPr>
                <w:rFonts w:ascii="Arial" w:cs="Arial" w:eastAsia="Arial" w:hAnsi="Arial"/>
                <w:sz w:val="18"/>
                <w:szCs w:val="18"/>
                <w:color w:val="3E5588"/>
              </w:rPr>
              <w:t>Repurchased</w:t>
            </w:r>
          </w:p>
        </w:tc>
        <w:tc>
          <w:tcPr>
            <w:tcW w:w="840" w:type="dxa"/>
            <w:vAlign w:val="bottom"/>
          </w:tcPr>
          <w:p>
            <w:pPr>
              <w:jc w:val="right"/>
              <w:spacing w:after="0"/>
              <w:rPr>
                <w:sz w:val="20"/>
                <w:szCs w:val="20"/>
                <w:color w:val="auto"/>
              </w:rPr>
            </w:pPr>
            <w:r>
              <w:rPr>
                <w:rFonts w:ascii="Arial" w:cs="Arial" w:eastAsia="Arial" w:hAnsi="Arial"/>
                <w:sz w:val="18"/>
                <w:szCs w:val="18"/>
                <w:color w:val="3E5588"/>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3E5588"/>
              </w:rPr>
              <w:t>—</w:t>
            </w:r>
          </w:p>
        </w:tc>
      </w:tr>
      <w:tr>
        <w:trPr>
          <w:trHeight w:val="20"/>
        </w:trPr>
        <w:tc>
          <w:tcPr>
            <w:tcW w:w="5220" w:type="dxa"/>
            <w:vAlign w:val="bottom"/>
          </w:tcPr>
          <w:p>
            <w:pPr>
              <w:spacing w:after="0" w:line="20" w:lineRule="exact"/>
              <w:rPr>
                <w:sz w:val="1"/>
                <w:szCs w:val="1"/>
                <w:color w:val="auto"/>
              </w:rPr>
            </w:pPr>
          </w:p>
        </w:tc>
        <w:tc>
          <w:tcPr>
            <w:tcW w:w="840" w:type="dxa"/>
            <w:vAlign w:val="bottom"/>
            <w:shd w:val="clear" w:color="auto" w:fill="3E558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3E5588"/>
          </w:tcPr>
          <w:p>
            <w:pPr>
              <w:spacing w:after="0" w:line="20" w:lineRule="exact"/>
              <w:rPr>
                <w:sz w:val="1"/>
                <w:szCs w:val="1"/>
                <w:color w:val="auto"/>
              </w:rPr>
            </w:pPr>
          </w:p>
        </w:tc>
        <w:tc>
          <w:tcPr>
            <w:tcW w:w="13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3E5588"/>
              </w:rPr>
              <w:t>Unvested at March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418,756</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3E5588"/>
              </w:rPr>
              <w:t>$</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2.94</w:t>
            </w:r>
          </w:p>
        </w:tc>
      </w:tr>
      <w:tr>
        <w:trPr>
          <w:trHeight w:val="20"/>
        </w:trPr>
        <w:tc>
          <w:tcPr>
            <w:tcW w:w="5220" w:type="dxa"/>
            <w:vAlign w:val="bottom"/>
          </w:tcPr>
          <w:p>
            <w:pPr>
              <w:spacing w:after="0" w:line="20" w:lineRule="exact"/>
              <w:rPr>
                <w:sz w:val="1"/>
                <w:szCs w:val="1"/>
                <w:color w:val="auto"/>
              </w:rPr>
            </w:pPr>
          </w:p>
        </w:tc>
        <w:tc>
          <w:tcPr>
            <w:tcW w:w="840" w:type="dxa"/>
            <w:vAlign w:val="bottom"/>
            <w:tcBorders>
              <w:top w:val="single" w:sz="8" w:color="3E5588"/>
              <w:bottom w:val="single" w:sz="8" w:color="3E5588"/>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3E5588"/>
              <w:bottom w:val="single" w:sz="8" w:color="3E5588"/>
            </w:tcBorders>
          </w:tcPr>
          <w:p>
            <w:pPr>
              <w:spacing w:after="0" w:line="20" w:lineRule="exact"/>
              <w:rPr>
                <w:sz w:val="1"/>
                <w:szCs w:val="1"/>
                <w:color w:val="auto"/>
              </w:rPr>
            </w:pPr>
          </w:p>
        </w:tc>
        <w:tc>
          <w:tcPr>
            <w:tcW w:w="13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3E5588"/>
        </w:rPr>
        <w:t>The aggregate intrinsic value of all restricted stock awards that vested during the three months ended March 31, 2019 was $1.4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Stock-based Compensation Expense</w:t>
      </w:r>
    </w:p>
    <w:p>
      <w:pPr>
        <w:spacing w:after="0" w:line="225" w:lineRule="exact"/>
        <w:rPr>
          <w:sz w:val="20"/>
          <w:szCs w:val="20"/>
          <w:color w:val="auto"/>
        </w:rPr>
      </w:pPr>
    </w:p>
    <w:p>
      <w:pPr>
        <w:jc w:val="both"/>
        <w:ind w:right="20" w:firstLine="396"/>
        <w:spacing w:after="0" w:line="268" w:lineRule="auto"/>
        <w:rPr>
          <w:sz w:val="20"/>
          <w:szCs w:val="20"/>
          <w:color w:val="auto"/>
        </w:rPr>
      </w:pPr>
      <w:r>
        <w:rPr>
          <w:rFonts w:ascii="Arial" w:cs="Arial" w:eastAsia="Arial" w:hAnsi="Arial"/>
          <w:sz w:val="18"/>
          <w:szCs w:val="18"/>
          <w:color w:val="3E5588"/>
        </w:rPr>
        <w:t>The total compensation cost recognized in the statements of operations associated with all stock-based compensation awards granted by the Company is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2"/>
              <w:spacing w:after="0"/>
              <w:rPr>
                <w:sz w:val="20"/>
                <w:szCs w:val="20"/>
                <w:color w:val="auto"/>
              </w:rPr>
            </w:pPr>
            <w:r>
              <w:rPr>
                <w:rFonts w:ascii="Arial" w:cs="Arial" w:eastAsia="Arial" w:hAnsi="Arial"/>
                <w:sz w:val="14"/>
                <w:szCs w:val="14"/>
                <w:b w:val="1"/>
                <w:bCs w:val="1"/>
                <w:color w:val="3E5588"/>
                <w:w w:val="87"/>
              </w:rPr>
              <w:t>Three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3E5588"/>
                <w:w w:val="89"/>
              </w:rPr>
              <w:t>Three Months</w:t>
            </w:r>
          </w:p>
        </w:tc>
      </w:tr>
      <w:tr>
        <w:trPr>
          <w:trHeight w:val="149"/>
        </w:trPr>
        <w:tc>
          <w:tcPr>
            <w:tcW w:w="4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3E5588"/>
                <w:w w:val="84"/>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3E5588"/>
                <w:w w:val="88"/>
              </w:rPr>
              <w:t>Ended</w:t>
            </w:r>
          </w:p>
        </w:tc>
      </w:tr>
      <w:tr>
        <w:trPr>
          <w:trHeight w:val="161"/>
        </w:trPr>
        <w:tc>
          <w:tcPr>
            <w:tcW w:w="4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980" w:type="dxa"/>
            <w:vAlign w:val="bottom"/>
            <w:tcBorders>
              <w:bottom w:val="single" w:sz="8" w:color="3E5588"/>
            </w:tcBorders>
          </w:tcPr>
          <w:p>
            <w:pPr>
              <w:jc w:val="center"/>
              <w:ind w:right="22"/>
              <w:spacing w:after="0"/>
              <w:rPr>
                <w:sz w:val="20"/>
                <w:szCs w:val="20"/>
                <w:color w:val="auto"/>
              </w:rPr>
            </w:pPr>
            <w:r>
              <w:rPr>
                <w:rFonts w:ascii="Arial" w:cs="Arial" w:eastAsia="Arial" w:hAnsi="Arial"/>
                <w:sz w:val="14"/>
                <w:szCs w:val="14"/>
                <w:b w:val="1"/>
                <w:bCs w:val="1"/>
                <w:color w:val="3E5588"/>
                <w:w w:val="88"/>
              </w:rPr>
              <w:t>March 31, 2018</w:t>
            </w:r>
          </w:p>
        </w:tc>
        <w:tc>
          <w:tcPr>
            <w:tcW w:w="160" w:type="dxa"/>
            <w:vAlign w:val="bottom"/>
          </w:tcPr>
          <w:p>
            <w:pPr>
              <w:spacing w:after="0"/>
              <w:rPr>
                <w:sz w:val="14"/>
                <w:szCs w:val="14"/>
                <w:color w:val="auto"/>
              </w:rPr>
            </w:pPr>
          </w:p>
        </w:tc>
        <w:tc>
          <w:tcPr>
            <w:tcW w:w="100" w:type="dxa"/>
            <w:vAlign w:val="bottom"/>
            <w:tcBorders>
              <w:bottom w:val="single" w:sz="8" w:color="3E5588"/>
            </w:tcBorders>
          </w:tcPr>
          <w:p>
            <w:pPr>
              <w:spacing w:after="0"/>
              <w:rPr>
                <w:sz w:val="14"/>
                <w:szCs w:val="14"/>
                <w:color w:val="auto"/>
              </w:rPr>
            </w:pPr>
          </w:p>
        </w:tc>
        <w:tc>
          <w:tcPr>
            <w:tcW w:w="980" w:type="dxa"/>
            <w:vAlign w:val="bottom"/>
            <w:tcBorders>
              <w:bottom w:val="single" w:sz="8" w:color="3E5588"/>
            </w:tcBorders>
          </w:tcPr>
          <w:p>
            <w:pPr>
              <w:jc w:val="center"/>
              <w:ind w:right="22"/>
              <w:spacing w:after="0"/>
              <w:rPr>
                <w:sz w:val="20"/>
                <w:szCs w:val="20"/>
                <w:color w:val="auto"/>
              </w:rPr>
            </w:pPr>
            <w:r>
              <w:rPr>
                <w:rFonts w:ascii="Arial" w:cs="Arial" w:eastAsia="Arial" w:hAnsi="Arial"/>
                <w:sz w:val="14"/>
                <w:szCs w:val="14"/>
                <w:b w:val="1"/>
                <w:bCs w:val="1"/>
                <w:color w:val="3E5588"/>
                <w:w w:val="88"/>
              </w:rPr>
              <w:t>March 31, 2019</w:t>
            </w:r>
          </w:p>
        </w:tc>
        <w:tc>
          <w:tcPr>
            <w:tcW w:w="160" w:type="dxa"/>
            <w:vAlign w:val="bottom"/>
          </w:tcPr>
          <w:p>
            <w:pPr>
              <w:spacing w:after="0"/>
              <w:rPr>
                <w:sz w:val="14"/>
                <w:szCs w:val="1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3E5588"/>
              </w:rPr>
              <w:t>Research and development</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406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3E5588"/>
              </w:rPr>
              <w:t>General and administrative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3E5588"/>
              </w:rPr>
              <w:t>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3E5588"/>
              </w:rPr>
              <w:t>415</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9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3E5588"/>
          </w:tcPr>
          <w:p>
            <w:pPr>
              <w:spacing w:after="0" w:line="20" w:lineRule="exact"/>
              <w:rPr>
                <w:sz w:val="1"/>
                <w:szCs w:val="1"/>
                <w:color w:val="auto"/>
              </w:rPr>
            </w:pPr>
          </w:p>
        </w:tc>
        <w:tc>
          <w:tcPr>
            <w:tcW w:w="9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3E5588"/>
              </w:rPr>
              <w:t>Total stock-based compensation expense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E5588"/>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429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821</w:t>
            </w:r>
          </w:p>
        </w:tc>
      </w:tr>
      <w:tr>
        <w:trPr>
          <w:trHeight w:val="20"/>
        </w:trPr>
        <w:tc>
          <w:tcPr>
            <w:tcW w:w="4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9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9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8"/>
          <w:szCs w:val="18"/>
          <w:color w:val="3E5588"/>
        </w:rPr>
        <w:t>As of March 31, 2019, the Company had an aggregate of $10.5 million of unrecognized stock-based compensation expense, which is expected to be recognized over a weighted average period of 3.26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9. Asset Acquisition</w:t>
      </w:r>
    </w:p>
    <w:p>
      <w:pPr>
        <w:spacing w:after="0" w:line="231"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3E5588"/>
        </w:rPr>
        <w:t>In February 2019, the Company entered into a right of reference and license agreement (the "GSK Agreement") with subsidiaries of GlaxoSmithKline plc (collectively referred to as "GSK"), pursuant to which the Company has been granted an exclusive worldwide license to develop and commercialize losmapimod. Under the GSK Agreement, the Company also acquired reference rights to relevant regulatory and manufacturing documents and GSK's existing supply of losmapimod drug substance and product. The Company also has the right to sublicense its rights under the license agreement, subject to certain conditions. The Company is obligated to use commercially reasonable efforts to develop and commercialize losmapimod at its sole cost. The Company is also responsible for costs related to the filing and maintenance of the licensed patent rights.</w:t>
      </w:r>
    </w:p>
    <w:p>
      <w:pPr>
        <w:spacing w:after="0" w:line="17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3E5588"/>
        </w:rPr>
        <w:t>Under the GSK Agreement, the Company issued 12,500,000 million shares of Series B Preferred Stock to GSK with an estimated fair value of $25.5 million, or $2.04 per share, which was determined with the assistance of a third-party specialist contemporaneously with the issuance of the Series B Preferred Stock to GSK. In addition, the Company may owe GSK up to $37.5 million in certain specified clinical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3E5588"/>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9. Asset Acquisition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3E5588"/>
        </w:rPr>
        <w:t>regulatory milestones, of which $2.5 million is due upon the initiation of a Phase 2 clinical trial, and up to $60.0 million in certain specified sales milestones. The Company has agreed to pay tiered royalties on annual net sales of losmapimod that range from mid single-digit percentages to a low double-digit, but less than teens, percentage. The royalties are payable on a product-by-product and country-by-country basis, and may be reduced in specified circumstances. The Company also incurred $0.1 million of direct expenses related to the transaction, which the Company included in the total consideration for the transaction.</w:t>
      </w:r>
    </w:p>
    <w:p>
      <w:pPr>
        <w:spacing w:after="0" w:line="167"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3E5588"/>
        </w:rPr>
        <w:t>The GSK Agreement may be terminated by either party for a material breach by the other, subject to notice and cure provisions. Unless earlier terminated, the GSK Agreement will continue in effect until the expiration of the Company's royalty obligations, which expire on a country-by-country basis on the later of (i) ten years after the first commercial sale in the country or (ii) approval of a generic version of losmapimod by the applicable regulatory agency.</w:t>
      </w:r>
    </w:p>
    <w:p>
      <w:pPr>
        <w:spacing w:after="0" w:line="161" w:lineRule="exact"/>
        <w:rPr>
          <w:sz w:val="20"/>
          <w:szCs w:val="20"/>
          <w:color w:val="auto"/>
        </w:rPr>
      </w:pPr>
    </w:p>
    <w:p>
      <w:pPr>
        <w:jc w:val="both"/>
        <w:ind w:firstLine="373"/>
        <w:spacing w:after="0" w:line="286" w:lineRule="auto"/>
        <w:rPr>
          <w:sz w:val="20"/>
          <w:szCs w:val="20"/>
          <w:color w:val="auto"/>
        </w:rPr>
      </w:pPr>
      <w:r>
        <w:rPr>
          <w:rFonts w:ascii="Arial" w:cs="Arial" w:eastAsia="Arial" w:hAnsi="Arial"/>
          <w:sz w:val="16"/>
          <w:szCs w:val="16"/>
          <w:color w:val="3E5588"/>
        </w:rPr>
        <w:t>The Company concluded the arrangement did not result in the acquisition of a business, as substantially all of the fair value of the gross assets acquired was concentrated in a single in-process research and development asset, losmapimod. In addition, the Company did not obtain any substantive processes in connection to the GSK Agreement and losmapimod was not generating revenue at the time the GSK Agreement was executed. Therefore, the Company accounted for the arrangement as an asset acquisition. The Company also concluded that the acquired assets do not have an alternative future use, and therefore the fair value attributable to the GSK Agreement of $25.6 million, inclusive of transaction costs, was recorded as in-process research and development expense (a component of research and development expenses) in the Company's consolidated statement of operations and comprehensive loss for the three months ended March 31, 2019, which is the period in which the Company obtained (i) the license to losmapimod, (ii) the right to reference relevant regulatory and manufacturing documents, and (iii) GSK's existing supply of losmapimod drug substance and product. Additionally, the Company will recognize clinical and regulatory milestone payments when the underlying contingency is resolved and the consideration is paid or becomes payable. The milestone payments will be capitalized or expensed depending on the nature of the associated asset as of the date of recognition. The Company will record sales milestone payments and royalties as additional expense of the related product sales in the period in which the corresponding sales occur.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10.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Operating Leases</w:t>
      </w:r>
    </w:p>
    <w:p>
      <w:pPr>
        <w:spacing w:after="0" w:line="225"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3E5588"/>
        </w:rPr>
        <w:t>In May 2016, the Company entered into a sublease agreement for approximately 8,143 square feet of office and laboratory space at its prior corporate headquarters in Cambridge, Massachusetts. The sublease for this space terminated on June 30, 2018. Rent expense associated with this sublease for the three months ended March 31, 2018 was $0.1 million.</w:t>
      </w:r>
    </w:p>
    <w:p>
      <w:pPr>
        <w:spacing w:after="0" w:line="194"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3E5588"/>
        </w:rPr>
        <w:t>In November 2017, the Company entered into a lease agreement for its current corporate headquarters for approximately 28,731 square feet of office and laboratory space in Cambridge, Massachusetts. The lease has a total commitment of $25.1 million over the ten year term, and includes escalating rent payments.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December 31, 2018 and March 31, 2019. Rent expense associated with this lease for the three months ended March 31, 2018 and 2019 was approximately $0.5 million and $0.5 million,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10. Commitments and Contingencies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The future minimum lease payments associated with the lease for the Company's current headquarters as of March 31, 2019, are as follows (in thousands):</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333"/>
        </w:trPr>
        <w:tc>
          <w:tcPr>
            <w:tcW w:w="820" w:type="dxa"/>
            <w:vAlign w:val="bottom"/>
            <w:shd w:val="clear" w:color="auto" w:fill="CCEEFF"/>
          </w:tcPr>
          <w:p>
            <w:pPr>
              <w:spacing w:after="0"/>
              <w:rPr>
                <w:sz w:val="20"/>
                <w:szCs w:val="20"/>
                <w:color w:val="auto"/>
              </w:rPr>
            </w:pPr>
            <w:r>
              <w:rPr>
                <w:rFonts w:ascii="Arial" w:cs="Arial" w:eastAsia="Arial" w:hAnsi="Arial"/>
                <w:sz w:val="18"/>
                <w:szCs w:val="18"/>
                <w:color w:val="3E5588"/>
              </w:rPr>
              <w:t>2019</w:t>
            </w:r>
            <w:r>
              <w:rPr>
                <w:rFonts w:ascii="Arial" w:cs="Arial" w:eastAsia="Arial" w:hAnsi="Arial"/>
                <w:sz w:val="29"/>
                <w:szCs w:val="29"/>
                <w:color w:val="3E5588"/>
                <w:vertAlign w:val="superscript"/>
              </w:rPr>
              <w:t>(1)</w:t>
            </w:r>
          </w:p>
        </w:tc>
        <w:tc>
          <w:tcPr>
            <w:tcW w:w="3840" w:type="dxa"/>
            <w:vAlign w:val="bottom"/>
            <w:shd w:val="clear" w:color="auto" w:fill="CCEEFF"/>
          </w:tcPr>
          <w:p>
            <w:pPr>
              <w:spacing w:after="0"/>
              <w:rPr>
                <w:sz w:val="24"/>
                <w:szCs w:val="24"/>
                <w:color w:val="auto"/>
              </w:rPr>
            </w:pPr>
          </w:p>
        </w:tc>
        <w:tc>
          <w:tcPr>
            <w:tcW w:w="26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3E5588"/>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1,673</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3E5588"/>
              </w:rPr>
              <w:t>2020</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3E5588"/>
              </w:rPr>
              <w:t>2,285</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3E5588"/>
              </w:rPr>
              <w:t>2021</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2,354</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3E5588"/>
              </w:rPr>
              <w:t>2022</w:t>
            </w:r>
          </w:p>
        </w:tc>
        <w:tc>
          <w:tcPr>
            <w:tcW w:w="38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3E5588"/>
              </w:rPr>
              <w:t>2,424</w:t>
            </w:r>
          </w:p>
        </w:tc>
      </w:tr>
      <w:tr>
        <w:trPr>
          <w:trHeight w:val="216"/>
        </w:trPr>
        <w:tc>
          <w:tcPr>
            <w:tcW w:w="820" w:type="dxa"/>
            <w:vAlign w:val="bottom"/>
            <w:shd w:val="clear" w:color="auto" w:fill="CCEEFF"/>
          </w:tcPr>
          <w:p>
            <w:pPr>
              <w:spacing w:after="0"/>
              <w:rPr>
                <w:sz w:val="20"/>
                <w:szCs w:val="20"/>
                <w:color w:val="auto"/>
              </w:rPr>
            </w:pPr>
            <w:r>
              <w:rPr>
                <w:rFonts w:ascii="Arial" w:cs="Arial" w:eastAsia="Arial" w:hAnsi="Arial"/>
                <w:sz w:val="18"/>
                <w:szCs w:val="18"/>
                <w:color w:val="3E5588"/>
              </w:rPr>
              <w:t>2023</w:t>
            </w:r>
          </w:p>
        </w:tc>
        <w:tc>
          <w:tcPr>
            <w:tcW w:w="384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2,497</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3E5588"/>
              </w:rPr>
              <w:t>Thereafter</w:t>
            </w: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3E5588"/>
                <w:w w:val="94"/>
              </w:rPr>
              <w:t>12,187</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shd w:val="clear" w:color="auto" w:fill="3E5588"/>
          </w:tcPr>
          <w:p>
            <w:pPr>
              <w:spacing w:after="0" w:line="20" w:lineRule="exact"/>
              <w:rPr>
                <w:sz w:val="1"/>
                <w:szCs w:val="1"/>
                <w:color w:val="auto"/>
              </w:rPr>
            </w:pPr>
          </w:p>
        </w:tc>
        <w:tc>
          <w:tcPr>
            <w:tcW w:w="54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3E5588"/>
              </w:rPr>
              <w:t>Total minimum lease payments</w:t>
            </w: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3E5588"/>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w w:val="94"/>
              </w:rPr>
              <w:t>23,420</w:t>
            </w:r>
          </w:p>
        </w:tc>
      </w:tr>
      <w:tr>
        <w:trPr>
          <w:trHeight w:val="20"/>
        </w:trPr>
        <w:tc>
          <w:tcPr>
            <w:tcW w:w="8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Borders>
              <w:top w:val="single" w:sz="8" w:color="3E5588"/>
              <w:bottom w:val="single" w:sz="8" w:color="3E5588"/>
            </w:tcBorders>
          </w:tcPr>
          <w:p>
            <w:pPr>
              <w:spacing w:after="0" w:line="20" w:lineRule="exact"/>
              <w:rPr>
                <w:sz w:val="1"/>
                <w:szCs w:val="1"/>
                <w:color w:val="auto"/>
              </w:rPr>
            </w:pPr>
          </w:p>
        </w:tc>
        <w:tc>
          <w:tcPr>
            <w:tcW w:w="54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820" w:type="dxa"/>
            <w:vAlign w:val="bottom"/>
            <w:tcBorders>
              <w:bottom w:val="single" w:sz="8" w:color="3E5588"/>
            </w:tcBorders>
          </w:tcPr>
          <w:p>
            <w:pPr>
              <w:spacing w:after="0"/>
              <w:rPr>
                <w:sz w:val="7"/>
                <w:szCs w:val="7"/>
                <w:color w:val="auto"/>
              </w:rPr>
            </w:pPr>
          </w:p>
        </w:tc>
        <w:tc>
          <w:tcPr>
            <w:tcW w:w="3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17"/>
        </w:numPr>
        <w:rPr>
          <w:rFonts w:ascii="Arial" w:cs="Arial" w:eastAsia="Arial" w:hAnsi="Arial"/>
          <w:sz w:val="18"/>
          <w:szCs w:val="18"/>
          <w:color w:val="3E5588"/>
        </w:rPr>
      </w:pPr>
      <w:r>
        <w:rPr>
          <w:rFonts w:ascii="Arial" w:cs="Arial" w:eastAsia="Arial" w:hAnsi="Arial"/>
          <w:sz w:val="18"/>
          <w:szCs w:val="18"/>
          <w:color w:val="3E5588"/>
        </w:rPr>
        <w:t>Amounts are for the nine months ending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Other Agreements</w:t>
      </w:r>
    </w:p>
    <w:p>
      <w:pPr>
        <w:spacing w:after="0" w:line="225" w:lineRule="exact"/>
        <w:rPr>
          <w:sz w:val="20"/>
          <w:szCs w:val="20"/>
          <w:color w:val="auto"/>
        </w:rPr>
      </w:pPr>
    </w:p>
    <w:p>
      <w:pPr>
        <w:jc w:val="both"/>
        <w:ind w:firstLine="372"/>
        <w:spacing w:after="0" w:line="259" w:lineRule="auto"/>
        <w:rPr>
          <w:sz w:val="20"/>
          <w:szCs w:val="20"/>
          <w:color w:val="auto"/>
        </w:rPr>
      </w:pPr>
      <w:r>
        <w:rPr>
          <w:rFonts w:ascii="Arial" w:cs="Arial" w:eastAsia="Arial" w:hAnsi="Arial"/>
          <w:sz w:val="18"/>
          <w:szCs w:val="18"/>
          <w:color w:val="3E5588"/>
        </w:rPr>
        <w:t>The Company has agreements with third parties in the normal course of business under which it can license certain developed technologies. If the Company exercises its rights to license the technologies it may be subject to additional fees and milestone payments. As of March 31, 2019, the Company has not exercised its rights to license such technologies.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Indemnification Agreements</w:t>
      </w:r>
    </w:p>
    <w:p>
      <w:pPr>
        <w:spacing w:after="0" w:line="225" w:lineRule="exact"/>
        <w:rPr>
          <w:sz w:val="20"/>
          <w:szCs w:val="20"/>
          <w:color w:val="auto"/>
        </w:rPr>
      </w:pPr>
    </w:p>
    <w:p>
      <w:pPr>
        <w:jc w:val="both"/>
        <w:ind w:firstLine="427"/>
        <w:spacing w:after="0" w:line="290" w:lineRule="auto"/>
        <w:rPr>
          <w:sz w:val="20"/>
          <w:szCs w:val="20"/>
          <w:color w:val="auto"/>
        </w:rPr>
      </w:pPr>
      <w:r>
        <w:rPr>
          <w:rFonts w:ascii="Arial" w:cs="Arial" w:eastAsia="Arial" w:hAnsi="Arial"/>
          <w:sz w:val="16"/>
          <w:szCs w:val="16"/>
          <w:color w:val="3E5588"/>
        </w:rPr>
        <w:t>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December 31, 2018 or March 31, 2019.</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Legal Proceedings</w:t>
      </w:r>
    </w:p>
    <w:p>
      <w:pPr>
        <w:spacing w:after="0" w:line="225"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color w:val="3E5588"/>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months ended March 31, 2018 or 2019.</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11. Defined Contribution Plan</w:t>
      </w:r>
    </w:p>
    <w:p>
      <w:pPr>
        <w:spacing w:after="0" w:line="231" w:lineRule="exact"/>
        <w:rPr>
          <w:sz w:val="20"/>
          <w:szCs w:val="20"/>
          <w:color w:val="auto"/>
        </w:rPr>
      </w:pPr>
    </w:p>
    <w:p>
      <w:pPr>
        <w:jc w:val="both"/>
        <w:ind w:firstLine="425"/>
        <w:spacing w:after="0" w:line="332" w:lineRule="auto"/>
        <w:rPr>
          <w:sz w:val="20"/>
          <w:szCs w:val="20"/>
          <w:color w:val="auto"/>
        </w:rPr>
      </w:pPr>
      <w:r>
        <w:rPr>
          <w:rFonts w:ascii="Arial" w:cs="Arial" w:eastAsia="Arial" w:hAnsi="Arial"/>
          <w:sz w:val="16"/>
          <w:szCs w:val="16"/>
          <w:color w:val="3E5588"/>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11. Defined Contribution Plan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3E5588"/>
        </w:rPr>
        <w:t>compensation on a pretax basis. As currently established, the Company is not required to make and has not made any contributions to the 401(k) Plan.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12. Net Loss per Share and Pro Forma Net Loss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Net Loss per Share</w:t>
      </w:r>
    </w:p>
    <w:p>
      <w:pPr>
        <w:spacing w:after="0" w:line="225" w:lineRule="exact"/>
        <w:rPr>
          <w:sz w:val="20"/>
          <w:szCs w:val="20"/>
          <w:color w:val="auto"/>
        </w:rPr>
      </w:pPr>
    </w:p>
    <w:p>
      <w:pPr>
        <w:jc w:val="both"/>
        <w:ind w:firstLine="493"/>
        <w:spacing w:after="0" w:line="268" w:lineRule="auto"/>
        <w:rPr>
          <w:sz w:val="20"/>
          <w:szCs w:val="20"/>
          <w:color w:val="auto"/>
        </w:rPr>
      </w:pPr>
      <w:r>
        <w:rPr>
          <w:rFonts w:ascii="Arial" w:cs="Arial" w:eastAsia="Arial" w:hAnsi="Arial"/>
          <w:sz w:val="18"/>
          <w:szCs w:val="18"/>
          <w:color w:val="3E5588"/>
        </w:rPr>
        <w:t>The following common stock equivalents were excluded from the calculation of diluted net loss per share attributable to common stockholders for the periods indicated because including them would have had an anti-dilutive effect:</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3E5588"/>
                <w:w w:val="87"/>
              </w:rPr>
              <w:t>Three Months</w:t>
            </w: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3E5588"/>
                <w:w w:val="89"/>
              </w:rPr>
              <w:t>Three Months</w:t>
            </w:r>
          </w:p>
        </w:tc>
      </w:tr>
      <w:tr>
        <w:trPr>
          <w:trHeight w:val="149"/>
        </w:trPr>
        <w:tc>
          <w:tcPr>
            <w:tcW w:w="5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3E5588"/>
                <w:w w:val="84"/>
              </w:rPr>
              <w:t>Ended</w:t>
            </w:r>
          </w:p>
        </w:tc>
        <w:tc>
          <w:tcPr>
            <w:tcW w:w="16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3E5588"/>
                <w:w w:val="88"/>
              </w:rPr>
              <w:t>Ended</w:t>
            </w:r>
          </w:p>
        </w:tc>
      </w:tr>
      <w:tr>
        <w:trPr>
          <w:trHeight w:val="161"/>
        </w:trPr>
        <w:tc>
          <w:tcPr>
            <w:tcW w:w="5500" w:type="dxa"/>
            <w:vAlign w:val="bottom"/>
          </w:tcPr>
          <w:p>
            <w:pPr>
              <w:spacing w:after="0"/>
              <w:rPr>
                <w:sz w:val="14"/>
                <w:szCs w:val="14"/>
                <w:color w:val="auto"/>
              </w:rPr>
            </w:pPr>
          </w:p>
        </w:tc>
        <w:tc>
          <w:tcPr>
            <w:tcW w:w="108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8"/>
              </w:rPr>
              <w:t>March 31, 2018</w:t>
            </w:r>
          </w:p>
        </w:tc>
        <w:tc>
          <w:tcPr>
            <w:tcW w:w="160" w:type="dxa"/>
            <w:vAlign w:val="bottom"/>
          </w:tcPr>
          <w:p>
            <w:pPr>
              <w:spacing w:after="0"/>
              <w:rPr>
                <w:sz w:val="14"/>
                <w:szCs w:val="14"/>
                <w:color w:val="auto"/>
              </w:rPr>
            </w:pPr>
          </w:p>
        </w:tc>
        <w:tc>
          <w:tcPr>
            <w:tcW w:w="1080" w:type="dxa"/>
            <w:vAlign w:val="bottom"/>
            <w:tcBorders>
              <w:bottom w:val="single" w:sz="8" w:color="3E5588"/>
            </w:tcBorders>
          </w:tcPr>
          <w:p>
            <w:pPr>
              <w:jc w:val="center"/>
              <w:spacing w:after="0"/>
              <w:rPr>
                <w:sz w:val="20"/>
                <w:szCs w:val="20"/>
                <w:color w:val="auto"/>
              </w:rPr>
            </w:pPr>
            <w:r>
              <w:rPr>
                <w:rFonts w:ascii="Arial" w:cs="Arial" w:eastAsia="Arial" w:hAnsi="Arial"/>
                <w:sz w:val="14"/>
                <w:szCs w:val="14"/>
                <w:b w:val="1"/>
                <w:bCs w:val="1"/>
                <w:color w:val="3E5588"/>
                <w:w w:val="88"/>
              </w:rPr>
              <w:t>March 31, 2019</w:t>
            </w:r>
          </w:p>
        </w:tc>
        <w:tc>
          <w:tcPr>
            <w:tcW w:w="160" w:type="dxa"/>
            <w:vAlign w:val="bottom"/>
          </w:tcPr>
          <w:p>
            <w:pPr>
              <w:spacing w:after="0"/>
              <w:rPr>
                <w:sz w:val="14"/>
                <w:szCs w:val="14"/>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3E5588"/>
              </w:rPr>
              <w:t>Series A Preferred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6,761,903</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E5588"/>
              </w:rPr>
              <w:t>8,571,427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3E5588"/>
              </w:rPr>
              <w:t>Series B Preferred Stock</w:t>
            </w:r>
          </w:p>
        </w:tc>
        <w:tc>
          <w:tcPr>
            <w:tcW w:w="1080" w:type="dxa"/>
            <w:vAlign w:val="bottom"/>
          </w:tcPr>
          <w:p>
            <w:pPr>
              <w:jc w:val="right"/>
              <w:spacing w:after="0"/>
              <w:rPr>
                <w:sz w:val="20"/>
                <w:szCs w:val="20"/>
                <w:color w:val="auto"/>
              </w:rPr>
            </w:pPr>
            <w:r>
              <w:rPr>
                <w:rFonts w:ascii="Arial" w:cs="Arial" w:eastAsia="Arial" w:hAnsi="Arial"/>
                <w:sz w:val="18"/>
                <w:szCs w:val="18"/>
                <w:color w:val="3E5588"/>
              </w:rPr>
              <w:t>—</w:t>
            </w:r>
          </w:p>
        </w:tc>
        <w:tc>
          <w:tcPr>
            <w:tcW w:w="1400" w:type="dxa"/>
            <w:vAlign w:val="bottom"/>
            <w:gridSpan w:val="3"/>
          </w:tcPr>
          <w:p>
            <w:pPr>
              <w:jc w:val="right"/>
              <w:ind w:right="160"/>
              <w:spacing w:after="0"/>
              <w:rPr>
                <w:sz w:val="20"/>
                <w:szCs w:val="20"/>
                <w:color w:val="auto"/>
              </w:rPr>
            </w:pPr>
            <w:r>
              <w:rPr>
                <w:rFonts w:ascii="Arial" w:cs="Arial" w:eastAsia="Arial" w:hAnsi="Arial"/>
                <w:sz w:val="18"/>
                <w:szCs w:val="18"/>
                <w:color w:val="3E5588"/>
              </w:rPr>
              <w:t>7,499,991</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3E5588"/>
              </w:rPr>
              <w:t>Outstanding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3E5588"/>
              </w:rPr>
              <w:t>1,528,387</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3E5588"/>
              </w:rPr>
              <w:t>Unvested restricted stock awards</w:t>
            </w:r>
          </w:p>
        </w:tc>
        <w:tc>
          <w:tcPr>
            <w:tcW w:w="1080" w:type="dxa"/>
            <w:vAlign w:val="bottom"/>
          </w:tcPr>
          <w:p>
            <w:pPr>
              <w:jc w:val="right"/>
              <w:spacing w:after="0"/>
              <w:rPr>
                <w:sz w:val="20"/>
                <w:szCs w:val="20"/>
                <w:color w:val="auto"/>
              </w:rPr>
            </w:pPr>
            <w:r>
              <w:rPr>
                <w:rFonts w:ascii="Arial" w:cs="Arial" w:eastAsia="Arial" w:hAnsi="Arial"/>
                <w:sz w:val="18"/>
                <w:szCs w:val="18"/>
                <w:color w:val="3E5588"/>
              </w:rPr>
              <w:t>1,768,750</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3E5588"/>
              </w:rPr>
              <w:t>1,025,876</w:t>
            </w:r>
          </w:p>
        </w:tc>
      </w:tr>
      <w:tr>
        <w:trPr>
          <w:trHeight w:val="20"/>
        </w:trPr>
        <w:tc>
          <w:tcPr>
            <w:tcW w:w="5500" w:type="dxa"/>
            <w:vAlign w:val="bottom"/>
          </w:tcPr>
          <w:p>
            <w:pPr>
              <w:spacing w:after="0" w:line="20" w:lineRule="exact"/>
              <w:rPr>
                <w:sz w:val="1"/>
                <w:szCs w:val="1"/>
                <w:color w:val="auto"/>
              </w:rPr>
            </w:pPr>
          </w:p>
        </w:tc>
        <w:tc>
          <w:tcPr>
            <w:tcW w:w="10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3E558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3E5588"/>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3E5588"/>
              </w:rPr>
              <w:t>8,530,653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18,625,681</w:t>
            </w:r>
          </w:p>
        </w:tc>
      </w:tr>
      <w:tr>
        <w:trPr>
          <w:trHeight w:val="20"/>
        </w:trPr>
        <w:tc>
          <w:tcPr>
            <w:tcW w:w="5500" w:type="dxa"/>
            <w:vAlign w:val="bottom"/>
          </w:tcPr>
          <w:p>
            <w:pPr>
              <w:spacing w:after="0" w:line="20" w:lineRule="exact"/>
              <w:rPr>
                <w:sz w:val="1"/>
                <w:szCs w:val="1"/>
                <w:color w:val="auto"/>
              </w:rPr>
            </w:pPr>
          </w:p>
        </w:tc>
        <w:tc>
          <w:tcPr>
            <w:tcW w:w="10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Pro Forma Net Loss per Share</w:t>
      </w:r>
    </w:p>
    <w:p>
      <w:pPr>
        <w:spacing w:after="0" w:line="225" w:lineRule="exact"/>
        <w:rPr>
          <w:sz w:val="20"/>
          <w:szCs w:val="20"/>
          <w:color w:val="auto"/>
        </w:rPr>
      </w:pPr>
    </w:p>
    <w:p>
      <w:pPr>
        <w:jc w:val="both"/>
        <w:ind w:firstLine="348"/>
        <w:spacing w:after="0" w:line="290" w:lineRule="auto"/>
        <w:rPr>
          <w:sz w:val="20"/>
          <w:szCs w:val="20"/>
          <w:color w:val="auto"/>
        </w:rPr>
      </w:pPr>
      <w:r>
        <w:rPr>
          <w:rFonts w:ascii="Arial" w:cs="Arial" w:eastAsia="Arial" w:hAnsi="Arial"/>
          <w:sz w:val="16"/>
          <w:szCs w:val="16"/>
          <w:color w:val="3E5588"/>
        </w:rPr>
        <w:t>The pro forma basic and diluted net loss per share attributable to common stockholders for the three months ended March 31, 2019 give effect to adjustments arising upon the closing of a qualified IPO. The pro forma basic and diluted weighted average common shares outstanding used in the calculation of pro forma basic and diluted net loss per share attributable to common stockholders for the three months ended March 31, 2019 give effect to the automatic conversion upon a qualified IPO of all outstanding shares of Preferred Stock into shares of Common Stock as if the conversion had occurred on the later of January 1, 2019 or the issuance date of the Preferred Stock. Accordingly, the pro forma basic and diluted net loss per share attributable to stockholders does not include the effects of the cumulative preferred stock dividends. Shares to be sold in the offering are excluded from the pro forma basic and diluted loss per share attributable to common stockholders calculations.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12. Net Loss per Share and Pro Forma Net Loss per Share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3E5588"/>
        </w:rPr>
        <w:t>The following table summarizes the Company's pro forma net loss per share attributable to common stockholders (in thousands, except per share data):</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3E5588"/>
                <w:w w:val="86"/>
              </w:rPr>
              <w:t>Three Months Ended</w:t>
            </w:r>
          </w:p>
        </w:tc>
      </w:t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3E5588"/>
              </w:rPr>
              <w:t>March 31, 2019</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3E5588"/>
              </w:rPr>
              <w:t>Numerator:</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3E5588"/>
            </w:tcBorders>
            <w:shd w:val="clear" w:color="auto" w:fill="CCEEFF"/>
          </w:tcPr>
          <w:p>
            <w:pPr>
              <w:spacing w:after="0"/>
              <w:rPr>
                <w:sz w:val="18"/>
                <w:szCs w:val="18"/>
                <w:color w:val="auto"/>
              </w:rPr>
            </w:pPr>
          </w:p>
        </w:tc>
        <w:tc>
          <w:tcPr>
            <w:tcW w:w="1320" w:type="dxa"/>
            <w:vAlign w:val="bottom"/>
            <w:tcBorders>
              <w:top w:val="single" w:sz="8" w:color="3E5588"/>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3E5588"/>
              </w:rPr>
              <w:t>Net loss attributable to common stockholders</w:t>
            </w:r>
          </w:p>
        </w:tc>
        <w:tc>
          <w:tcPr>
            <w:tcW w:w="260" w:type="dxa"/>
            <w:vAlign w:val="bottom"/>
            <w:gridSpan w:val="2"/>
          </w:tcPr>
          <w:p>
            <w:pPr>
              <w:jc w:val="right"/>
              <w:spacing w:after="0"/>
              <w:rPr>
                <w:sz w:val="20"/>
                <w:szCs w:val="20"/>
                <w:color w:val="auto"/>
              </w:rPr>
            </w:pPr>
            <w:r>
              <w:rPr>
                <w:rFonts w:ascii="Arial" w:cs="Arial" w:eastAsia="Arial" w:hAnsi="Arial"/>
                <w:sz w:val="18"/>
                <w:szCs w:val="18"/>
                <w:color w:val="3E5588"/>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3E5588"/>
              </w:rPr>
              <w:t>(39,884)</w:t>
            </w: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Cumulative convertible preferred stock dividends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3,041</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3E5588"/>
              </w:rPr>
              <w:t>Pro forma net loss attributable to common stockholders</w:t>
            </w:r>
          </w:p>
        </w:tc>
        <w:tc>
          <w:tcPr>
            <w:tcW w:w="160" w:type="dxa"/>
            <w:vAlign w:val="bottom"/>
          </w:tcPr>
          <w:p>
            <w:pPr>
              <w:spacing w:after="0"/>
              <w:rPr>
                <w:sz w:val="18"/>
                <w:szCs w:val="18"/>
                <w:color w:val="auto"/>
              </w:rPr>
            </w:pPr>
          </w:p>
        </w:tc>
        <w:tc>
          <w:tcPr>
            <w:tcW w:w="10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w w:val="79"/>
              </w:rPr>
              <w:t>$</w:t>
            </w:r>
          </w:p>
        </w:tc>
        <w:tc>
          <w:tcPr>
            <w:tcW w:w="13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(36,843)</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3E5588"/>
            </w:tcBorders>
          </w:tcPr>
          <w:p>
            <w:pPr>
              <w:spacing w:after="0" w:line="20" w:lineRule="exact"/>
              <w:rPr>
                <w:sz w:val="1"/>
                <w:szCs w:val="1"/>
                <w:color w:val="auto"/>
              </w:rPr>
            </w:pPr>
          </w:p>
        </w:tc>
        <w:tc>
          <w:tcPr>
            <w:tcW w:w="13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3E5588"/>
              </w:rPr>
              <w:t>Denominator: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431"/>
        </w:trPr>
        <w:tc>
          <w:tcPr>
            <w:tcW w:w="6240" w:type="dxa"/>
            <w:vAlign w:val="bottom"/>
          </w:tcPr>
          <w:p>
            <w:pPr>
              <w:ind w:left="180"/>
              <w:spacing w:after="0"/>
              <w:rPr>
                <w:sz w:val="20"/>
                <w:szCs w:val="20"/>
                <w:color w:val="auto"/>
              </w:rPr>
            </w:pPr>
            <w:r>
              <w:rPr>
                <w:rFonts w:ascii="Arial" w:cs="Arial" w:eastAsia="Arial" w:hAnsi="Arial"/>
                <w:sz w:val="18"/>
                <w:szCs w:val="18"/>
                <w:color w:val="3E5588"/>
              </w:rPr>
              <w:t>Weighted average common shares outstanding</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3E5588"/>
              </w:rPr>
              <w:t>1,642</w:t>
            </w:r>
          </w:p>
        </w:tc>
      </w:tr>
      <w:tr>
        <w:trPr>
          <w:trHeight w:val="20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3E5588"/>
                <w:w w:val="90"/>
              </w:rPr>
              <w:t>Pro forma weighted average shares outstanding after giving effect to the conversion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3E5588"/>
              </w:rPr>
              <w:t>of Preferred Stock</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3E5588"/>
              </w:rPr>
              <w:t>15,298</w:t>
            </w:r>
          </w:p>
        </w:tc>
      </w:tr>
      <w:tr>
        <w:trPr>
          <w:trHeight w:val="210"/>
        </w:trPr>
        <w:tc>
          <w:tcPr>
            <w:tcW w:w="6240" w:type="dxa"/>
            <w:vAlign w:val="bottom"/>
          </w:tcPr>
          <w:p>
            <w:pPr>
              <w:ind w:left="180"/>
              <w:spacing w:after="0"/>
              <w:rPr>
                <w:sz w:val="20"/>
                <w:szCs w:val="20"/>
                <w:color w:val="auto"/>
              </w:rPr>
            </w:pPr>
            <w:r>
              <w:rPr>
                <w:rFonts w:ascii="Arial" w:cs="Arial" w:eastAsia="Arial" w:hAnsi="Arial"/>
                <w:sz w:val="18"/>
                <w:szCs w:val="18"/>
                <w:color w:val="3E5588"/>
              </w:rPr>
              <w:t>Pro forma weighted average shares outstanding</w:t>
            </w:r>
          </w:p>
        </w:tc>
        <w:tc>
          <w:tcPr>
            <w:tcW w:w="160" w:type="dxa"/>
            <w:vAlign w:val="bottom"/>
          </w:tcPr>
          <w:p>
            <w:pPr>
              <w:spacing w:after="0"/>
              <w:rPr>
                <w:sz w:val="18"/>
                <w:szCs w:val="18"/>
                <w:color w:val="auto"/>
              </w:rPr>
            </w:pPr>
          </w:p>
        </w:tc>
        <w:tc>
          <w:tcPr>
            <w:tcW w:w="100" w:type="dxa"/>
            <w:vAlign w:val="bottom"/>
            <w:tcBorders>
              <w:top w:val="single" w:sz="8" w:color="3E5588"/>
              <w:bottom w:val="single" w:sz="8" w:color="3E5588"/>
            </w:tcBorders>
          </w:tcPr>
          <w:p>
            <w:pPr>
              <w:spacing w:after="0"/>
              <w:rPr>
                <w:sz w:val="18"/>
                <w:szCs w:val="18"/>
                <w:color w:val="auto"/>
              </w:rPr>
            </w:pPr>
          </w:p>
        </w:tc>
        <w:tc>
          <w:tcPr>
            <w:tcW w:w="1320" w:type="dxa"/>
            <w:vAlign w:val="bottom"/>
            <w:tcBorders>
              <w:top w:val="single" w:sz="8" w:color="3E5588"/>
              <w:bottom w:val="single" w:sz="8" w:color="3E5588"/>
            </w:tcBorders>
          </w:tcPr>
          <w:p>
            <w:pPr>
              <w:jc w:val="right"/>
              <w:spacing w:after="0"/>
              <w:rPr>
                <w:sz w:val="20"/>
                <w:szCs w:val="20"/>
                <w:color w:val="auto"/>
              </w:rPr>
            </w:pPr>
            <w:r>
              <w:rPr>
                <w:rFonts w:ascii="Arial" w:cs="Arial" w:eastAsia="Arial" w:hAnsi="Arial"/>
                <w:sz w:val="18"/>
                <w:szCs w:val="18"/>
                <w:color w:val="3E5588"/>
              </w:rPr>
              <w:t>16,940</w:t>
            </w:r>
          </w:p>
        </w:tc>
        <w:tc>
          <w:tcPr>
            <w:tcW w:w="16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3E5588"/>
            </w:tcBorders>
          </w:tcPr>
          <w:p>
            <w:pPr>
              <w:spacing w:after="0" w:line="20" w:lineRule="exact"/>
              <w:rPr>
                <w:sz w:val="1"/>
                <w:szCs w:val="1"/>
                <w:color w:val="auto"/>
              </w:rPr>
            </w:pPr>
          </w:p>
        </w:tc>
        <w:tc>
          <w:tcPr>
            <w:tcW w:w="1320" w:type="dxa"/>
            <w:vAlign w:val="bottom"/>
            <w:tcBorders>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8"/>
        </w:trPr>
        <w:tc>
          <w:tcPr>
            <w:tcW w:w="6240" w:type="dxa"/>
            <w:vAlign w:val="bottom"/>
            <w:shd w:val="clear" w:color="auto" w:fill="CCEEFF"/>
          </w:tcPr>
          <w:p>
            <w:pPr>
              <w:spacing w:after="0" w:line="189" w:lineRule="exact"/>
              <w:rPr>
                <w:sz w:val="20"/>
                <w:szCs w:val="20"/>
                <w:color w:val="auto"/>
              </w:rPr>
            </w:pPr>
            <w:r>
              <w:rPr>
                <w:rFonts w:ascii="Arial" w:cs="Arial" w:eastAsia="Arial" w:hAnsi="Arial"/>
                <w:sz w:val="18"/>
                <w:szCs w:val="18"/>
                <w:color w:val="3E5588"/>
                <w:w w:val="91"/>
              </w:rPr>
              <w:t>Pro forma basic and diluted loss per share attributable to common stockholders, basic</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3E5588"/>
              </w:rPr>
              <w:t>and 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3E5588"/>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3E5588"/>
              </w:rPr>
              <w:t>(2.17)</w:t>
            </w: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3E5588"/>
              <w:bottom w:val="single" w:sz="8" w:color="3E5588"/>
            </w:tcBorders>
          </w:tcPr>
          <w:p>
            <w:pPr>
              <w:spacing w:after="0" w:line="20" w:lineRule="exact"/>
              <w:rPr>
                <w:sz w:val="1"/>
                <w:szCs w:val="1"/>
                <w:color w:val="auto"/>
              </w:rPr>
            </w:pPr>
          </w:p>
        </w:tc>
        <w:tc>
          <w:tcPr>
            <w:tcW w:w="1320" w:type="dxa"/>
            <w:vAlign w:val="bottom"/>
            <w:tcBorders>
              <w:top w:val="single" w:sz="8" w:color="3E5588"/>
              <w:bottom w:val="single" w:sz="8" w:color="3E5588"/>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13. Related-Party Transactions</w:t>
      </w:r>
    </w:p>
    <w:p>
      <w:pPr>
        <w:spacing w:after="0" w:line="231" w:lineRule="exact"/>
        <w:rPr>
          <w:sz w:val="20"/>
          <w:szCs w:val="20"/>
          <w:color w:val="auto"/>
        </w:rPr>
      </w:pPr>
    </w:p>
    <w:p>
      <w:pPr>
        <w:jc w:val="both"/>
        <w:ind w:firstLine="544"/>
        <w:spacing w:after="0" w:line="318" w:lineRule="auto"/>
        <w:rPr>
          <w:sz w:val="20"/>
          <w:szCs w:val="20"/>
          <w:color w:val="auto"/>
        </w:rPr>
      </w:pPr>
      <w:r>
        <w:rPr>
          <w:rFonts w:ascii="Arial" w:cs="Arial" w:eastAsia="Arial" w:hAnsi="Arial"/>
          <w:sz w:val="15"/>
          <w:szCs w:val="15"/>
          <w:color w:val="3E5588"/>
        </w:rPr>
        <w:t>During the three months ended March 31, 2018 and 2019, the Company paid fees to Third Rock Ventures, LLC ("TRV"), an affiliate of one of the Company's principal stockholders, in exchange for consulting services. The Company recorded expenses related to such fees of less than $0.1 million during each of the three months ended March 31, 2018 and 2019. As of both December 31, 2018 and March 31, 2019, there was less than $0.1 million of amounts due to TRV for such services that were included in accounts payable and accrued expenses. Additionally, consultants that provide services to the Company are employees of TRV. The Company has issued an aggregate of 142,284 shares of Common Stock to these consultants in exchange for their continuing consulting services.</w:t>
      </w:r>
    </w:p>
    <w:p>
      <w:pPr>
        <w:spacing w:after="0" w:line="154" w:lineRule="exact"/>
        <w:rPr>
          <w:sz w:val="20"/>
          <w:szCs w:val="20"/>
          <w:color w:val="auto"/>
        </w:rPr>
      </w:pPr>
    </w:p>
    <w:p>
      <w:pPr>
        <w:jc w:val="both"/>
        <w:ind w:firstLine="354"/>
        <w:spacing w:after="0" w:line="268" w:lineRule="auto"/>
        <w:rPr>
          <w:sz w:val="20"/>
          <w:szCs w:val="20"/>
          <w:color w:val="auto"/>
        </w:rPr>
      </w:pPr>
      <w:r>
        <w:rPr>
          <w:rFonts w:ascii="Arial" w:cs="Arial" w:eastAsia="Arial" w:hAnsi="Arial"/>
          <w:sz w:val="18"/>
          <w:szCs w:val="18"/>
          <w:color w:val="3E5588"/>
        </w:rPr>
        <w:t>During the three months ended March 31, 2018, the Company recorded other income of $0.4 million related to the sale of drug material to an entity affiliated with TRV.</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14. Subsequent Events</w:t>
      </w:r>
    </w:p>
    <w:p>
      <w:pPr>
        <w:spacing w:after="0" w:line="231" w:lineRule="exact"/>
        <w:rPr>
          <w:sz w:val="20"/>
          <w:szCs w:val="20"/>
          <w:color w:val="auto"/>
        </w:rPr>
      </w:pPr>
    </w:p>
    <w:p>
      <w:pPr>
        <w:jc w:val="both"/>
        <w:ind w:right="20" w:firstLine="474"/>
        <w:spacing w:after="0" w:line="332" w:lineRule="auto"/>
        <w:rPr>
          <w:sz w:val="20"/>
          <w:szCs w:val="20"/>
          <w:color w:val="auto"/>
        </w:rPr>
      </w:pPr>
      <w:r>
        <w:rPr>
          <w:rFonts w:ascii="Arial" w:cs="Arial" w:eastAsia="Arial" w:hAnsi="Arial"/>
          <w:sz w:val="16"/>
          <w:szCs w:val="16"/>
          <w:color w:val="3E5588"/>
        </w:rPr>
        <w:t>For its consolidated financial statements as of March 31, 2019 and for the three months then ended, the Company evaluated subsequent events through June 5, 2019, the date on which those consolidated financial statements were issued, except for Note 14(a), as to which the date is July 8, 2019.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E5588"/>
        </w:rPr>
        <w:t>(a)  Other</w:t>
      </w:r>
    </w:p>
    <w:p>
      <w:pPr>
        <w:spacing w:after="0" w:line="225"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3E5588"/>
        </w:rPr>
        <w:t>On July 5, 2019, the Company eliminated the gross proceeds threshold of $45 million for a firm-commitment underwritten public offering that would result in the automatic conversion of all outstanding shares of Preferred Stock into Common Stock. On July 5, 2019, the Company effected a one-for-seven reverse stock split of the Company's common stock. All share and per share amounts in the financial statements and notes thereto have been retroactively adjusted for all periods presented to give effect to this reverse stock split, including reclassifying an amount equal to the reduction in par value of common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E5588"/>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3E5588"/>
        </w:rPr>
        <w:t>14. Subsequent Events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3E5588"/>
        </w:rPr>
        <w:t>stock to additional paid-in capital. Shares of common stock underlying outstanding stock options and other equity instruments were proportionately reduced and the respective exercise prices, if applicable, were proportionately increased in accordance with the terms of the appropriate securities agreements. Shares of common stock reserved for issuance upon the conversion of our convertible preferred stock were proportionately reduced and the respective conversion prices were proportionately increased. Stockholders entitled to fractional shares as a result of the reverse stock split will receive a cash payment in lieu of receiving fractional shares.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3E5588"/>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32"/>
          <w:szCs w:val="32"/>
          <w:i w:val="1"/>
          <w:iCs w:val="1"/>
          <w:color w:val="3E5588"/>
        </w:rPr>
        <w:t>4,500,000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156210</wp:posOffset>
            </wp:positionV>
            <wp:extent cx="2838450" cy="6946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38450"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3E5588"/>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3E5588"/>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144780</wp:posOffset>
            </wp:positionV>
            <wp:extent cx="153479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3E5588"/>
        </w:rPr>
        <w:t>MORGAN STANLEY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3E5588"/>
        </w:rPr>
        <w:t>BofA MERRILL LYNCH</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4"/>
          <w:szCs w:val="24"/>
          <w:i w:val="1"/>
          <w:iCs w:val="1"/>
          <w:color w:val="3E5588"/>
        </w:rPr>
        <w:t>SVB LEERINK</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3E5588"/>
        </w:rPr>
        <w:t>July 17, 2019</w:t>
      </w:r>
    </w:p>
    <w:p>
      <w:pPr>
        <w:spacing w:after="0" w:line="225" w:lineRule="exact"/>
        <w:rPr>
          <w:sz w:val="20"/>
          <w:szCs w:val="20"/>
          <w:color w:val="auto"/>
        </w:rPr>
      </w:pPr>
    </w:p>
    <w:p>
      <w:pPr>
        <w:jc w:val="both"/>
        <w:ind w:firstLine="423"/>
        <w:spacing w:after="0" w:line="259" w:lineRule="auto"/>
        <w:rPr>
          <w:sz w:val="20"/>
          <w:szCs w:val="20"/>
          <w:color w:val="auto"/>
        </w:rPr>
      </w:pPr>
      <w:r>
        <w:rPr>
          <w:rFonts w:ascii="Arial" w:cs="Arial" w:eastAsia="Arial" w:hAnsi="Arial"/>
          <w:sz w:val="18"/>
          <w:szCs w:val="18"/>
          <w:color w:val="3E5588"/>
        </w:rPr>
        <w:t>Until August 11, 2019 (25 days after the date of this prospectus), all dealers that effect transactions in these securities,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342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314960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8" w:name="page259"/>
    <w:bookmarkEnd w:id="2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54FE9F9"/>
    <w:multiLevelType w:val="hybridMultilevel"/>
    <w:lvl w:ilvl="0">
      <w:lvlJc w:val="left"/>
      <w:lvlText w:val="(%1)"/>
      <w:numFmt w:val="decimal"/>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1)"/>
      <w:numFmt w:val="decimal"/>
      <w:start w:val="1"/>
    </w:lvl>
  </w:abstractNum>
  <w:abstractNum w:abstractNumId="8">
    <w:nsid w:val="77AE35EB"/>
    <w:multiLevelType w:val="hybridMultilevel"/>
    <w:lvl w:ilvl="0">
      <w:lvlJc w:val="left"/>
      <w:lvlText w:val="(%1)"/>
      <w:numFmt w:val="decimal"/>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1)"/>
      <w:numFmt w:val="decimal"/>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
      <w:numFmt w:val="bullet"/>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1)"/>
      <w:numFmt w:val="decimal"/>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1)"/>
      <w:numFmt w:val="decimal"/>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
      <w:numFmt w:val="bullet"/>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1)"/>
      <w:numFmt w:val="decimal"/>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1)"/>
      <w:numFmt w:val="decimal"/>
      <w:start w:val="1"/>
    </w:lvl>
  </w:abstractNum>
  <w:abstractNum w:abstractNumId="80">
    <w:nsid w:val="7672BD23"/>
    <w:multiLevelType w:val="hybridMultilevel"/>
    <w:lvl w:ilvl="0">
      <w:lvlJc w:val="left"/>
      <w:lvlText w:val="(%1)"/>
      <w:numFmt w:val="decimal"/>
      <w:start w:val="1"/>
    </w:lvl>
  </w:abstractNum>
  <w:abstractNum w:abstractNumId="81">
    <w:nsid w:val="6FC75AF8"/>
    <w:multiLevelType w:val="hybridMultilevel"/>
    <w:lvl w:ilvl="0">
      <w:lvlJc w:val="left"/>
      <w:lvlText w:val="(%1)"/>
      <w:numFmt w:val="decimal"/>
      <w:start w:val="1"/>
    </w:lvl>
  </w:abstractNum>
  <w:abstractNum w:abstractNumId="82">
    <w:nsid w:val="6A5F7029"/>
    <w:multiLevelType w:val="hybridMultilevel"/>
    <w:lvl w:ilvl="0">
      <w:lvlJc w:val="left"/>
      <w:lvlText w:val="(%1)"/>
      <w:numFmt w:val="decimal"/>
      <w:start w:val="1"/>
    </w:lvl>
  </w:abstractNum>
  <w:abstractNum w:abstractNumId="83">
    <w:nsid w:val="7D5E18F8"/>
    <w:multiLevelType w:val="hybridMultilevel"/>
    <w:lvl w:ilvl="0">
      <w:lvlJc w:val="left"/>
      <w:lvlText w:val="•"/>
      <w:numFmt w:val="bullet"/>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
      <w:numFmt w:val="bullet"/>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
      <w:numFmt w:val="bullet"/>
      <w:start w:val="1"/>
    </w:lvl>
  </w:abstractNum>
  <w:abstractNum w:abstractNumId="91">
    <w:nsid w:val="71C91298"/>
    <w:multiLevelType w:val="hybridMultilevel"/>
    <w:lvl w:ilvl="0">
      <w:lvlJc w:val="left"/>
      <w:lvlText w:val="•"/>
      <w:numFmt w:val="bullet"/>
      <w:start w:val="1"/>
    </w:lvl>
  </w:abstractNum>
  <w:abstractNum w:abstractNumId="92">
    <w:nsid w:val="9DAF632"/>
    <w:multiLevelType w:val="hybridMultilevel"/>
    <w:lvl w:ilvl="0">
      <w:lvlJc w:val="left"/>
      <w:lvlText w:val="•"/>
      <w:numFmt w:val="bullet"/>
      <w:start w:val="1"/>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1"/>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
      <w:numFmt w:val="bullet"/>
      <w:start w:val="1"/>
    </w:lvl>
  </w:abstractNum>
  <w:abstractNum w:abstractNumId="98">
    <w:nsid w:val="288F1A34"/>
    <w:multiLevelType w:val="hybridMultilevel"/>
    <w:lvl w:ilvl="0">
      <w:lvlJc w:val="left"/>
      <w:lvlText w:val="•"/>
      <w:numFmt w:val="bullet"/>
      <w:start w:val="1"/>
    </w:lvl>
  </w:abstractNum>
  <w:abstractNum w:abstractNumId="99">
    <w:nsid w:val="2A155DBC"/>
    <w:multiLevelType w:val="hybridMultilevel"/>
    <w:lvl w:ilvl="0">
      <w:lvlJc w:val="left"/>
      <w:lvlText w:val="•"/>
      <w:numFmt w:val="bullet"/>
      <w:start w:val="1"/>
    </w:lvl>
  </w:abstractNum>
  <w:abstractNum w:abstractNumId="100">
    <w:nsid w:val="1D9F6E5F"/>
    <w:multiLevelType w:val="hybridMultilevel"/>
    <w:lvl w:ilvl="0">
      <w:lvlJc w:val="left"/>
      <w:lvlText w:val="(%1)"/>
      <w:numFmt w:val="decimal"/>
      <w:start w:val="1"/>
    </w:lvl>
  </w:abstractNum>
  <w:abstractNum w:abstractNumId="101">
    <w:nsid w:val="97E1B4E"/>
    <w:multiLevelType w:val="hybridMultilevel"/>
    <w:lvl w:ilvl="0">
      <w:lvlJc w:val="left"/>
      <w:lvlText w:val="•"/>
      <w:numFmt w:val="bullet"/>
      <w:start w:val="1"/>
    </w:lvl>
  </w:abstractNum>
  <w:abstractNum w:abstractNumId="102">
    <w:nsid w:val="51088277"/>
    <w:multiLevelType w:val="hybridMultilevel"/>
    <w:lvl w:ilvl="0">
      <w:lvlJc w:val="left"/>
      <w:lvlText w:val="•"/>
      <w:numFmt w:val="bullet"/>
      <w:start w:val="1"/>
    </w:lvl>
  </w:abstractNum>
  <w:abstractNum w:abstractNumId="103">
    <w:nsid w:val="1CA0C5FA"/>
    <w:multiLevelType w:val="hybridMultilevel"/>
    <w:lvl w:ilvl="0">
      <w:lvlJc w:val="left"/>
      <w:lvlText w:val="•"/>
      <w:numFmt w:val="bullet"/>
      <w:start w:val="1"/>
    </w:lvl>
  </w:abstractNum>
  <w:abstractNum w:abstractNumId="104">
    <w:nsid w:val="53584BCB"/>
    <w:multiLevelType w:val="hybridMultilevel"/>
    <w:lvl w:ilvl="0">
      <w:lvlJc w:val="left"/>
      <w:lvlText w:val="•"/>
      <w:numFmt w:val="bullet"/>
      <w:start w:val="1"/>
    </w:lvl>
  </w:abstractNum>
  <w:abstractNum w:abstractNumId="105">
    <w:nsid w:val="415E286C"/>
    <w:multiLevelType w:val="hybridMultilevel"/>
    <w:lvl w:ilvl="0">
      <w:lvlJc w:val="left"/>
      <w:lvlText w:val="•"/>
      <w:numFmt w:val="bullet"/>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
      <w:numFmt w:val="bullet"/>
      <w:start w:val="1"/>
    </w:lvl>
  </w:abstractNum>
  <w:abstractNum w:abstractNumId="108">
    <w:nsid w:val="45E6D486"/>
    <w:multiLevelType w:val="hybridMultilevel"/>
    <w:lvl w:ilvl="0">
      <w:lvlJc w:val="left"/>
      <w:lvlText w:val="(%1)"/>
      <w:numFmt w:val="decimal"/>
      <w:start w:val="1"/>
    </w:lvl>
  </w:abstractNum>
  <w:abstractNum w:abstractNumId="109">
    <w:nsid w:val="5C10FE21"/>
    <w:multiLevelType w:val="hybridMultilevel"/>
    <w:lvl w:ilvl="0">
      <w:lvlJc w:val="left"/>
      <w:lvlText w:val="•"/>
      <w:numFmt w:val="bullet"/>
      <w:start w:val="1"/>
    </w:lvl>
  </w:abstractNum>
  <w:abstractNum w:abstractNumId="110">
    <w:nsid w:val="E7FFA2B"/>
    <w:multiLevelType w:val="hybridMultilevel"/>
    <w:lvl w:ilvl="0">
      <w:lvlJc w:val="left"/>
      <w:lvlText w:val="•"/>
      <w:numFmt w:val="bullet"/>
      <w:start w:val="1"/>
    </w:lvl>
  </w:abstractNum>
  <w:abstractNum w:abstractNumId="111">
    <w:nsid w:val="3C5991AA"/>
    <w:multiLevelType w:val="hybridMultilevel"/>
    <w:lvl w:ilvl="0">
      <w:lvlJc w:val="left"/>
      <w:lvlText w:val="•"/>
      <w:numFmt w:val="bullet"/>
      <w:start w:val="1"/>
    </w:lvl>
  </w:abstractNum>
  <w:abstractNum w:abstractNumId="112">
    <w:nsid w:val="4BD8591A"/>
    <w:multiLevelType w:val="hybridMultilevel"/>
    <w:lvl w:ilvl="0">
      <w:lvlJc w:val="left"/>
      <w:lvlText w:val="•"/>
      <w:numFmt w:val="bullet"/>
      <w:start w:val="1"/>
    </w:lvl>
  </w:abstractNum>
  <w:abstractNum w:abstractNumId="113">
    <w:nsid w:val="78DF6A55"/>
    <w:multiLevelType w:val="hybridMultilevel"/>
    <w:lvl w:ilvl="0">
      <w:lvlJc w:val="left"/>
      <w:lvlText w:val="(%1)"/>
      <w:numFmt w:val="lowerLetter"/>
      <w:start w:val="1"/>
    </w:lvl>
  </w:abstractNum>
  <w:abstractNum w:abstractNumId="114">
    <w:nsid w:val="39B7AAA2"/>
    <w:multiLevelType w:val="hybridMultilevel"/>
    <w:lvl w:ilvl="0">
      <w:lvlJc w:val="left"/>
      <w:lvlText w:val="(%1)"/>
      <w:numFmt w:val="lowerLetter"/>
      <w:start w:val="1"/>
    </w:lvl>
  </w:abstractNum>
  <w:abstractNum w:abstractNumId="115">
    <w:nsid w:val="2B0D8DBE"/>
    <w:multiLevelType w:val="hybridMultilevel"/>
    <w:lvl w:ilvl="0">
      <w:lvlJc w:val="left"/>
      <w:lvlText w:val="(%1)"/>
      <w:numFmt w:val="lowerRoman"/>
      <w:start w:val="2"/>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2019-11-30T23:21:17Z</dcterms:created>
  <dcterms:modified xsi:type="dcterms:W3CDTF">2019-11-30T23:21:17Z</dcterms:modified>
</cp:coreProperties>
</file>