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Rachel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26, 2025 and is scheduled to vest with respect to all shares on the first anniversary of the grant date or, if earlier, immediately prior to the first annual meeting of stockholders occurring after the grant date,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Alan Musso, as attorney-in-fact for Rachel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712" TargetMode="External"/><Relationship Id="rId5" Type="http://schemas.openxmlformats.org/officeDocument/2006/relationships/hyperlink" Target="http://www.sec.gov/cgi-bin/browse-edgar?action=getcompany&amp;CIK=0001680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3347</Characters>
  <CharactersWithSpaces>3905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