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Thomson Peter 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6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80"/>
        <w:spacing w:after="0"/>
        <w:rPr>
          <w:sz w:val="20"/>
          <w:szCs w:val="20"/>
          <w:color w:val="auto"/>
        </w:rPr>
      </w:pPr>
      <w:r>
        <w:rPr>
          <w:rFonts w:ascii="Arial" w:cs="Arial" w:eastAsia="Arial" w:hAnsi="Arial"/>
          <w:sz w:val="17"/>
          <w:szCs w:val="17"/>
          <w:color w:val="0000FF"/>
        </w:rPr>
        <w:t>VP Finance &amp; Accounting</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12.69</w:t>
            </w:r>
          </w:p>
        </w:tc>
        <w:tc>
          <w:tcPr>
            <w:tcW w:w="1040" w:type="dxa"/>
            <w:vAlign w:val="bottom"/>
          </w:tcPr>
          <w:p>
            <w:pPr>
              <w:ind w:left="26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01/18/2032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40,000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January 19, 2022 and is scheduled to vest in equal quarterly installments over four years beginning on the vesting commencement date of January 1, 2022, subject to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Peter Thomson</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01/21/2022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9120"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2022-01-21T15:19:05Z</dcterms:created>
  <dcterms:modified xsi:type="dcterms:W3CDTF">2022-01-21T15:19:05Z</dcterms:modified>
</cp:coreProperties>
</file>