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157480</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160655</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6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report (Date of earliest event reported): October 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161925</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Fulcrum Therapeutics, Inc.</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158115</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tbl>
      <w:tblPr>
        <w:tblLayout w:type="fixed"/>
        <w:tblInd w:w="1520" w:type="dxa"/>
        <w:tblCellMar>
          <w:top w:w="0" w:type="dxa"/>
          <w:left w:w="0" w:type="dxa"/>
          <w:bottom w:w="0" w:type="dxa"/>
          <w:right w:w="0" w:type="dxa"/>
        </w:tblCellMar>
      </w:tblPr>
      <w:tr>
        <w:trPr>
          <w:trHeight w:val="143"/>
        </w:trPr>
        <w:tc>
          <w:tcPr>
            <w:tcW w:w="2700" w:type="dxa"/>
            <w:vAlign w:val="bottom"/>
          </w:tcPr>
          <w:p>
            <w:pPr>
              <w:jc w:val="center"/>
              <w:ind w:right="1526"/>
              <w:spacing w:after="0"/>
              <w:rPr>
                <w:sz w:val="20"/>
                <w:szCs w:val="20"/>
                <w:color w:val="auto"/>
              </w:rPr>
            </w:pPr>
            <w:r>
              <w:rPr>
                <w:rFonts w:ascii="Arial" w:cs="Arial" w:eastAsia="Arial" w:hAnsi="Arial"/>
                <w:sz w:val="12"/>
                <w:szCs w:val="12"/>
                <w:b w:val="1"/>
                <w:bCs w:val="1"/>
                <w:color w:val="auto"/>
                <w:w w:val="91"/>
              </w:rPr>
              <w:t>Delaware</w:t>
            </w:r>
          </w:p>
        </w:tc>
        <w:tc>
          <w:tcPr>
            <w:tcW w:w="1540" w:type="dxa"/>
            <w:vAlign w:val="bottom"/>
          </w:tcPr>
          <w:p>
            <w:pPr>
              <w:ind w:left="120"/>
              <w:spacing w:after="0"/>
              <w:rPr>
                <w:sz w:val="20"/>
                <w:szCs w:val="20"/>
                <w:color w:val="auto"/>
              </w:rPr>
            </w:pPr>
            <w:r>
              <w:rPr>
                <w:rFonts w:ascii="Arial" w:cs="Arial" w:eastAsia="Arial" w:hAnsi="Arial"/>
                <w:sz w:val="12"/>
                <w:szCs w:val="12"/>
                <w:b w:val="1"/>
                <w:bCs w:val="1"/>
                <w:color w:val="auto"/>
              </w:rPr>
              <w:t>001-38978</w:t>
            </w:r>
          </w:p>
        </w:tc>
        <w:tc>
          <w:tcPr>
            <w:tcW w:w="1640" w:type="dxa"/>
            <w:vAlign w:val="bottom"/>
          </w:tcPr>
          <w:p>
            <w:pPr>
              <w:jc w:val="right"/>
              <w:ind w:right="27"/>
              <w:spacing w:after="0"/>
              <w:rPr>
                <w:sz w:val="20"/>
                <w:szCs w:val="20"/>
                <w:color w:val="auto"/>
              </w:rPr>
            </w:pPr>
            <w:r>
              <w:rPr>
                <w:rFonts w:ascii="Arial" w:cs="Arial" w:eastAsia="Arial" w:hAnsi="Arial"/>
                <w:sz w:val="12"/>
                <w:szCs w:val="12"/>
                <w:b w:val="1"/>
                <w:bCs w:val="1"/>
                <w:color w:val="auto"/>
              </w:rPr>
              <w:t>47-4839948</w:t>
            </w:r>
          </w:p>
        </w:tc>
      </w:tr>
      <w:tr>
        <w:trPr>
          <w:trHeight w:val="99"/>
        </w:trPr>
        <w:tc>
          <w:tcPr>
            <w:tcW w:w="2700" w:type="dxa"/>
            <w:vAlign w:val="bottom"/>
          </w:tcPr>
          <w:p>
            <w:pPr>
              <w:jc w:val="center"/>
              <w:ind w:right="1506"/>
              <w:spacing w:after="0" w:line="100" w:lineRule="exact"/>
              <w:rPr>
                <w:sz w:val="20"/>
                <w:szCs w:val="20"/>
                <w:color w:val="auto"/>
              </w:rPr>
            </w:pPr>
            <w:r>
              <w:rPr>
                <w:rFonts w:ascii="Arial" w:cs="Arial" w:eastAsia="Arial" w:hAnsi="Arial"/>
                <w:sz w:val="10"/>
                <w:szCs w:val="10"/>
                <w:b w:val="1"/>
                <w:bCs w:val="1"/>
                <w:color w:val="auto"/>
                <w:w w:val="88"/>
              </w:rPr>
              <w:t>(State or Other Jurisdiction</w:t>
            </w:r>
          </w:p>
        </w:tc>
        <w:tc>
          <w:tcPr>
            <w:tcW w:w="1540" w:type="dxa"/>
            <w:vAlign w:val="bottom"/>
          </w:tcPr>
          <w:p>
            <w:pPr>
              <w:ind w:left="100"/>
              <w:spacing w:after="0" w:line="100"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7"/>
              <w:spacing w:after="0" w:line="100" w:lineRule="exact"/>
              <w:rPr>
                <w:sz w:val="20"/>
                <w:szCs w:val="20"/>
                <w:color w:val="auto"/>
              </w:rPr>
            </w:pPr>
            <w:r>
              <w:rPr>
                <w:rFonts w:ascii="Arial" w:cs="Arial" w:eastAsia="Arial" w:hAnsi="Arial"/>
                <w:sz w:val="10"/>
                <w:szCs w:val="10"/>
                <w:b w:val="1"/>
                <w:bCs w:val="1"/>
                <w:color w:val="auto"/>
                <w:w w:val="93"/>
              </w:rPr>
              <w:t>(IRS Employer</w:t>
            </w:r>
          </w:p>
        </w:tc>
      </w:tr>
      <w:tr>
        <w:trPr>
          <w:trHeight w:val="124"/>
        </w:trPr>
        <w:tc>
          <w:tcPr>
            <w:tcW w:w="2700" w:type="dxa"/>
            <w:vAlign w:val="bottom"/>
          </w:tcPr>
          <w:p>
            <w:pPr>
              <w:jc w:val="center"/>
              <w:ind w:right="1526"/>
              <w:spacing w:after="0"/>
              <w:rPr>
                <w:sz w:val="20"/>
                <w:szCs w:val="20"/>
                <w:color w:val="auto"/>
              </w:rPr>
            </w:pPr>
            <w:r>
              <w:rPr>
                <w:rFonts w:ascii="Arial" w:cs="Arial" w:eastAsia="Arial" w:hAnsi="Arial"/>
                <w:sz w:val="10"/>
                <w:szCs w:val="10"/>
                <w:b w:val="1"/>
                <w:bCs w:val="1"/>
                <w:color w:val="auto"/>
                <w:w w:val="89"/>
              </w:rPr>
              <w:t>of Incorporation)</w:t>
            </w:r>
          </w:p>
        </w:tc>
        <w:tc>
          <w:tcPr>
            <w:tcW w:w="1540" w:type="dxa"/>
            <w:vAlign w:val="bottom"/>
          </w:tcPr>
          <w:p>
            <w:pPr>
              <w:ind w:left="10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9"/>
              </w:rPr>
              <w:t>Identification No.)</w:t>
            </w:r>
          </w:p>
        </w:tc>
      </w:tr>
      <w:tr>
        <w:trPr>
          <w:trHeight w:val="275"/>
        </w:trPr>
        <w:tc>
          <w:tcPr>
            <w:tcW w:w="2700" w:type="dxa"/>
            <w:vAlign w:val="bottom"/>
          </w:tcPr>
          <w:p>
            <w:pPr>
              <w:jc w:val="center"/>
              <w:ind w:left="806"/>
              <w:spacing w:after="0"/>
              <w:rPr>
                <w:sz w:val="20"/>
                <w:szCs w:val="20"/>
                <w:color w:val="auto"/>
              </w:rPr>
            </w:pPr>
            <w:r>
              <w:rPr>
                <w:rFonts w:ascii="Arial" w:cs="Arial" w:eastAsia="Arial" w:hAnsi="Arial"/>
                <w:sz w:val="12"/>
                <w:szCs w:val="12"/>
                <w:b w:val="1"/>
                <w:bCs w:val="1"/>
                <w:color w:val="auto"/>
                <w:w w:val="91"/>
              </w:rPr>
              <w:t>26 Landsdowne Street</w:t>
            </w:r>
          </w:p>
        </w:tc>
        <w:tc>
          <w:tcPr>
            <w:tcW w:w="15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52"/>
        </w:trPr>
        <w:tc>
          <w:tcPr>
            <w:tcW w:w="2700" w:type="dxa"/>
            <w:vAlign w:val="bottom"/>
          </w:tcPr>
          <w:p>
            <w:pPr>
              <w:jc w:val="center"/>
              <w:ind w:left="806"/>
              <w:spacing w:after="0"/>
              <w:rPr>
                <w:sz w:val="20"/>
                <w:szCs w:val="20"/>
                <w:color w:val="auto"/>
              </w:rPr>
            </w:pPr>
            <w:r>
              <w:rPr>
                <w:rFonts w:ascii="Arial" w:cs="Arial" w:eastAsia="Arial" w:hAnsi="Arial"/>
                <w:sz w:val="12"/>
                <w:szCs w:val="12"/>
                <w:b w:val="1"/>
                <w:bCs w:val="1"/>
                <w:color w:val="auto"/>
                <w:w w:val="90"/>
              </w:rPr>
              <w:t>Cambridge, Massachusetts</w:t>
            </w:r>
          </w:p>
        </w:tc>
        <w:tc>
          <w:tcPr>
            <w:tcW w:w="1540" w:type="dxa"/>
            <w:vAlign w:val="bottom"/>
          </w:tcPr>
          <w:p>
            <w:pPr>
              <w:spacing w:after="0"/>
              <w:rPr>
                <w:sz w:val="13"/>
                <w:szCs w:val="13"/>
                <w:color w:val="auto"/>
              </w:rPr>
            </w:pPr>
          </w:p>
        </w:tc>
        <w:tc>
          <w:tcPr>
            <w:tcW w:w="1640" w:type="dxa"/>
            <w:vAlign w:val="bottom"/>
          </w:tcPr>
          <w:p>
            <w:pPr>
              <w:jc w:val="right"/>
              <w:ind w:right="187"/>
              <w:spacing w:after="0"/>
              <w:rPr>
                <w:sz w:val="20"/>
                <w:szCs w:val="20"/>
                <w:color w:val="auto"/>
              </w:rPr>
            </w:pPr>
            <w:r>
              <w:rPr>
                <w:rFonts w:ascii="Arial" w:cs="Arial" w:eastAsia="Arial" w:hAnsi="Arial"/>
                <w:sz w:val="12"/>
                <w:szCs w:val="12"/>
                <w:b w:val="1"/>
                <w:bCs w:val="1"/>
                <w:color w:val="auto"/>
              </w:rPr>
              <w:t>02139</w:t>
            </w:r>
          </w:p>
        </w:tc>
      </w:tr>
      <w:tr>
        <w:trPr>
          <w:trHeight w:val="124"/>
        </w:trPr>
        <w:tc>
          <w:tcPr>
            <w:tcW w:w="2700" w:type="dxa"/>
            <w:vAlign w:val="bottom"/>
          </w:tcPr>
          <w:p>
            <w:pPr>
              <w:jc w:val="center"/>
              <w:ind w:left="806"/>
              <w:spacing w:after="0"/>
              <w:rPr>
                <w:sz w:val="20"/>
                <w:szCs w:val="20"/>
                <w:color w:val="auto"/>
              </w:rPr>
            </w:pPr>
            <w:r>
              <w:rPr>
                <w:rFonts w:ascii="Arial" w:cs="Arial" w:eastAsia="Arial" w:hAnsi="Arial"/>
                <w:sz w:val="10"/>
                <w:szCs w:val="10"/>
                <w:b w:val="1"/>
                <w:bCs w:val="1"/>
                <w:color w:val="auto"/>
                <w:w w:val="86"/>
              </w:rPr>
              <w:t>(Address of Principal Executive Offices)</w:t>
            </w:r>
          </w:p>
        </w:tc>
        <w:tc>
          <w:tcPr>
            <w:tcW w:w="1540" w:type="dxa"/>
            <w:vAlign w:val="bottom"/>
          </w:tcPr>
          <w:p>
            <w:pPr>
              <w:spacing w:after="0"/>
              <w:rPr>
                <w:sz w:val="10"/>
                <w:szCs w:val="10"/>
                <w:color w:val="auto"/>
              </w:rPr>
            </w:pP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8"/>
              </w:rPr>
              <w:t>(Zip Code)</w:t>
            </w:r>
          </w:p>
        </w:tc>
      </w:tr>
    </w:tbl>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 (617) 651-8851</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148590</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58" w:lineRule="exact"/>
        <w:rPr>
          <w:sz w:val="24"/>
          <w:szCs w:val="24"/>
          <w:color w:val="auto"/>
        </w:rPr>
      </w:pPr>
    </w:p>
    <w:p>
      <w:pPr>
        <w:ind w:left="840" w:right="1139"/>
        <w:spacing w:after="0" w:line="277"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52"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1"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3"/>
        </w:trPr>
        <w:tc>
          <w:tcPr>
            <w:tcW w:w="2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1"/>
        </w:trPr>
        <w:tc>
          <w:tcPr>
            <w:tcW w:w="25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0"/>
              </w:rPr>
              <w:t>Common stock, par value $0.001</w:t>
            </w:r>
          </w:p>
        </w:tc>
        <w:tc>
          <w:tcPr>
            <w:tcW w:w="80" w:type="dxa"/>
            <w:vAlign w:val="bottom"/>
          </w:tcPr>
          <w:p>
            <w:pPr>
              <w:spacing w:after="0"/>
              <w:rPr>
                <w:sz w:val="10"/>
                <w:szCs w:val="10"/>
                <w:color w:val="auto"/>
              </w:rPr>
            </w:pPr>
          </w:p>
        </w:tc>
        <w:tc>
          <w:tcPr>
            <w:tcW w:w="23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FULC</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5"/>
              </w:rPr>
              <w:t>Nasdaq Global Market</w:t>
            </w:r>
          </w:p>
        </w:tc>
      </w:tr>
      <w:tr>
        <w:trPr>
          <w:trHeight w:val="157"/>
        </w:trPr>
        <w:tc>
          <w:tcPr>
            <w:tcW w:w="2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per share</w:t>
            </w:r>
          </w:p>
        </w:tc>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r>
    </w:tbl>
    <w:p>
      <w:pPr>
        <w:spacing w:after="0" w:line="145" w:lineRule="exact"/>
        <w:rPr>
          <w:sz w:val="24"/>
          <w:szCs w:val="24"/>
          <w:color w:val="auto"/>
        </w:rPr>
      </w:pPr>
    </w:p>
    <w:p>
      <w:pPr>
        <w:ind w:left="840" w:right="1019"/>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672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5" w:lineRule="exact"/>
        <w:rPr>
          <w:sz w:val="24"/>
          <w:szCs w:val="24"/>
          <w:color w:val="auto"/>
        </w:rPr>
      </w:pPr>
    </w:p>
    <w:p>
      <w:pPr>
        <w:ind w:left="840" w:right="101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90170</wp:posOffset>
            </wp:positionV>
            <wp:extent cx="46780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118745</wp:posOffset>
            </wp:positionV>
            <wp:extent cx="46780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3" w:lineRule="exact"/>
        <w:rPr>
          <w:sz w:val="20"/>
          <w:szCs w:val="20"/>
          <w:color w:val="auto"/>
        </w:rPr>
      </w:pPr>
    </w:p>
    <w:p>
      <w:pPr>
        <w:ind w:left="840" w:right="839"/>
        <w:spacing w:after="0" w:line="257" w:lineRule="auto"/>
        <w:rPr>
          <w:sz w:val="20"/>
          <w:szCs w:val="20"/>
          <w:color w:val="auto"/>
        </w:rPr>
      </w:pPr>
      <w:r>
        <w:rPr>
          <w:rFonts w:ascii="Arial" w:cs="Arial" w:eastAsia="Arial" w:hAnsi="Arial"/>
          <w:sz w:val="12"/>
          <w:szCs w:val="12"/>
          <w:color w:val="auto"/>
        </w:rPr>
        <w:t>On October 4, 2019, Fulcrum Therapeutics, Inc. (the “Company”) issued a press release announcing data from its Phase 1 clinical trial of losmapimod in facioscapulohumeral muscular dystrophy patients and healthy volunteers. The Phase 1 data were presented on October 4, 2019 in an oral presentation at the 24</w:t>
      </w:r>
      <w:r>
        <w:rPr>
          <w:rFonts w:ascii="Arial" w:cs="Arial" w:eastAsia="Arial" w:hAnsi="Arial"/>
          <w:sz w:val="10"/>
          <w:szCs w:val="10"/>
          <w:color w:val="auto"/>
        </w:rPr>
        <w:t>th</w:t>
      </w:r>
      <w:r>
        <w:rPr>
          <w:rFonts w:ascii="Arial" w:cs="Arial" w:eastAsia="Arial" w:hAnsi="Arial"/>
          <w:sz w:val="12"/>
          <w:szCs w:val="12"/>
          <w:color w:val="auto"/>
        </w:rPr>
        <w:t xml:space="preserve"> International Annual Congress of the World Muscle Society in Denmark, Copenhagen. A copy of the press release is furnished as Exhibit 99.1 to this Current Report on Form 8-K, and a copy of the materials to be presented during the oral presentation is furnished as Exhibit 99.2 to this Current Report on Form 8-K.</w:t>
      </w:r>
    </w:p>
    <w:p>
      <w:pPr>
        <w:spacing w:after="0" w:line="128" w:lineRule="exact"/>
        <w:rPr>
          <w:sz w:val="20"/>
          <w:szCs w:val="20"/>
          <w:color w:val="auto"/>
        </w:rPr>
      </w:pPr>
    </w:p>
    <w:p>
      <w:pPr>
        <w:ind w:left="840" w:right="859"/>
        <w:spacing w:after="0" w:line="260" w:lineRule="auto"/>
        <w:rPr>
          <w:sz w:val="20"/>
          <w:szCs w:val="20"/>
          <w:color w:val="auto"/>
        </w:rPr>
      </w:pPr>
      <w:r>
        <w:rPr>
          <w:rFonts w:ascii="Arial" w:cs="Arial" w:eastAsia="Arial" w:hAnsi="Arial"/>
          <w:sz w:val="12"/>
          <w:szCs w:val="12"/>
          <w:color w:val="auto"/>
        </w:rPr>
        <w:t>The information in Item 7.01 of this Current Report on Form 8-K, including Exhibits 99.1 and 99.2,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20"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92" w:lineRule="exact"/>
        <w:rPr>
          <w:sz w:val="20"/>
          <w:szCs w:val="20"/>
          <w:color w:val="auto"/>
        </w:rPr>
      </w:pPr>
    </w:p>
    <w:p>
      <w:pPr>
        <w:ind w:left="1120" w:hanging="289"/>
        <w:spacing w:after="0"/>
        <w:tabs>
          <w:tab w:leader="none" w:pos="1120"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Exhibits</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following exhibits are furnished herewith:</w:t>
      </w:r>
    </w:p>
    <w:p>
      <w:pPr>
        <w:spacing w:after="0" w:line="169"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Press Release issued by the Company on October 4, 2019</w:t>
        </w:r>
      </w:hyperlink>
    </w:p>
    <w:p>
      <w:pPr>
        <w:spacing w:after="0" w:line="79"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7">
        <w:r>
          <w:rPr>
            <w:rFonts w:ascii="Arial" w:cs="Arial" w:eastAsia="Arial" w:hAnsi="Arial"/>
            <w:sz w:val="10"/>
            <w:szCs w:val="10"/>
            <w:u w:val="single" w:color="auto"/>
            <w:color w:val="0000EE"/>
          </w:rPr>
          <w:t>Presentation by the Company on October 4, 2019</w:t>
        </w:r>
      </w:hyperlink>
    </w:p>
    <w:p>
      <w:pPr>
        <w:sectPr>
          <w:pgSz w:w="11900" w:h="16838" w:orient="portrait"/>
          <w:cols w:equalWidth="0" w:num="1">
            <w:col w:w="9019"/>
          </w:cols>
          <w:pgMar w:left="1440" w:top="226"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SIGNATURES</w:t>
      </w:r>
    </w:p>
    <w:p>
      <w:pPr>
        <w:spacing w:after="0" w:line="155" w:lineRule="exact"/>
        <w:rPr>
          <w:sz w:val="20"/>
          <w:szCs w:val="20"/>
          <w:color w:val="auto"/>
        </w:rPr>
      </w:pPr>
    </w:p>
    <w:p>
      <w:pPr>
        <w:ind w:left="840" w:right="879"/>
        <w:spacing w:after="0" w:line="277" w:lineRule="auto"/>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33" w:lineRule="exact"/>
        <w:rPr>
          <w:sz w:val="20"/>
          <w:szCs w:val="20"/>
          <w:color w:val="auto"/>
        </w:rPr>
      </w:pPr>
    </w:p>
    <w:tbl>
      <w:tblPr>
        <w:tblLayout w:type="fixed"/>
        <w:tblInd w:w="840" w:type="dxa"/>
        <w:tblCellMar>
          <w:top w:w="0" w:type="dxa"/>
          <w:left w:w="0" w:type="dxa"/>
          <w:bottom w:w="0" w:type="dxa"/>
          <w:right w:w="0" w:type="dxa"/>
        </w:tblCellMar>
      </w:tblPr>
      <w:tr>
        <w:trPr>
          <w:trHeight w:val="153"/>
        </w:trPr>
        <w:tc>
          <w:tcPr>
            <w:tcW w:w="2380" w:type="dxa"/>
            <w:vAlign w:val="bottom"/>
          </w:tcPr>
          <w:p>
            <w:pPr>
              <w:spacing w:after="0"/>
              <w:rPr>
                <w:sz w:val="13"/>
                <w:szCs w:val="13"/>
                <w:color w:val="auto"/>
              </w:rPr>
            </w:pPr>
          </w:p>
        </w:tc>
        <w:tc>
          <w:tcPr>
            <w:tcW w:w="4980" w:type="dxa"/>
            <w:vAlign w:val="bottom"/>
            <w:gridSpan w:val="2"/>
          </w:tcPr>
          <w:p>
            <w:pPr>
              <w:ind w:left="1300"/>
              <w:spacing w:after="0"/>
              <w:rPr>
                <w:sz w:val="20"/>
                <w:szCs w:val="20"/>
                <w:color w:val="auto"/>
              </w:rPr>
            </w:pPr>
            <w:r>
              <w:rPr>
                <w:rFonts w:ascii="Arial" w:cs="Arial" w:eastAsia="Arial" w:hAnsi="Arial"/>
                <w:sz w:val="12"/>
                <w:szCs w:val="12"/>
                <w:color w:val="auto"/>
              </w:rPr>
              <w:t>FULCRUM THERAPEUTICS, INC.</w:t>
            </w:r>
          </w:p>
        </w:tc>
      </w:tr>
      <w:tr>
        <w:trPr>
          <w:trHeight w:val="289"/>
        </w:trPr>
        <w:tc>
          <w:tcPr>
            <w:tcW w:w="2380" w:type="dxa"/>
            <w:vAlign w:val="bottom"/>
          </w:tcPr>
          <w:p>
            <w:pPr>
              <w:spacing w:after="0"/>
              <w:rPr>
                <w:sz w:val="20"/>
                <w:szCs w:val="20"/>
                <w:color w:val="auto"/>
              </w:rPr>
            </w:pPr>
            <w:r>
              <w:rPr>
                <w:rFonts w:ascii="Arial" w:cs="Arial" w:eastAsia="Arial" w:hAnsi="Arial"/>
                <w:sz w:val="12"/>
                <w:szCs w:val="12"/>
                <w:color w:val="auto"/>
              </w:rPr>
              <w:t>Date: October 4, 2019</w:t>
            </w:r>
          </w:p>
        </w:tc>
        <w:tc>
          <w:tcPr>
            <w:tcW w:w="1740" w:type="dxa"/>
            <w:vAlign w:val="bottom"/>
          </w:tcPr>
          <w:p>
            <w:pPr>
              <w:ind w:left="1300"/>
              <w:spacing w:after="0"/>
              <w:rPr>
                <w:sz w:val="20"/>
                <w:szCs w:val="20"/>
                <w:color w:val="auto"/>
              </w:rPr>
            </w:pPr>
            <w:r>
              <w:rPr>
                <w:rFonts w:ascii="Arial" w:cs="Arial" w:eastAsia="Arial" w:hAnsi="Arial"/>
                <w:sz w:val="12"/>
                <w:szCs w:val="12"/>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Robert J. Gould</w:t>
            </w:r>
          </w:p>
        </w:tc>
      </w:tr>
      <w:tr>
        <w:trPr>
          <w:trHeight w:val="134"/>
        </w:trPr>
        <w:tc>
          <w:tcPr>
            <w:tcW w:w="2380" w:type="dxa"/>
            <w:vAlign w:val="bottom"/>
          </w:tcPr>
          <w:p>
            <w:pPr>
              <w:spacing w:after="0"/>
              <w:rPr>
                <w:sz w:val="11"/>
                <w:szCs w:val="11"/>
                <w:color w:val="auto"/>
              </w:rPr>
            </w:pPr>
          </w:p>
        </w:tc>
        <w:tc>
          <w:tcPr>
            <w:tcW w:w="1740" w:type="dxa"/>
            <w:vAlign w:val="bottom"/>
          </w:tcPr>
          <w:p>
            <w:pPr>
              <w:ind w:left="1300"/>
              <w:spacing w:after="0" w:line="134" w:lineRule="exact"/>
              <w:rPr>
                <w:sz w:val="20"/>
                <w:szCs w:val="20"/>
                <w:color w:val="auto"/>
              </w:rPr>
            </w:pPr>
            <w:r>
              <w:rPr>
                <w:rFonts w:ascii="Arial" w:cs="Arial" w:eastAsia="Arial" w:hAnsi="Arial"/>
                <w:sz w:val="12"/>
                <w:szCs w:val="12"/>
                <w:color w:val="auto"/>
              </w:rPr>
              <w:t>Name:</w:t>
            </w:r>
          </w:p>
        </w:tc>
        <w:tc>
          <w:tcPr>
            <w:tcW w:w="3240" w:type="dxa"/>
            <w:vAlign w:val="bottom"/>
          </w:tcPr>
          <w:p>
            <w:pPr>
              <w:spacing w:after="0" w:line="134" w:lineRule="exact"/>
              <w:rPr>
                <w:sz w:val="20"/>
                <w:szCs w:val="20"/>
                <w:color w:val="auto"/>
              </w:rPr>
            </w:pPr>
            <w:r>
              <w:rPr>
                <w:rFonts w:ascii="Arial" w:cs="Arial" w:eastAsia="Arial" w:hAnsi="Arial"/>
                <w:sz w:val="12"/>
                <w:szCs w:val="12"/>
                <w:color w:val="auto"/>
              </w:rPr>
              <w:t>Robert J. Gould</w:t>
            </w:r>
          </w:p>
        </w:tc>
      </w:tr>
      <w:tr>
        <w:trPr>
          <w:trHeight w:val="153"/>
        </w:trPr>
        <w:tc>
          <w:tcPr>
            <w:tcW w:w="2380" w:type="dxa"/>
            <w:vAlign w:val="bottom"/>
          </w:tcPr>
          <w:p>
            <w:pPr>
              <w:spacing w:after="0"/>
              <w:rPr>
                <w:sz w:val="13"/>
                <w:szCs w:val="13"/>
                <w:color w:val="auto"/>
              </w:rPr>
            </w:pPr>
          </w:p>
        </w:tc>
        <w:tc>
          <w:tcPr>
            <w:tcW w:w="1740" w:type="dxa"/>
            <w:vAlign w:val="bottom"/>
          </w:tcPr>
          <w:p>
            <w:pPr>
              <w:ind w:left="1300"/>
              <w:spacing w:after="0"/>
              <w:rPr>
                <w:sz w:val="20"/>
                <w:szCs w:val="20"/>
                <w:color w:val="auto"/>
              </w:rPr>
            </w:pPr>
            <w:r>
              <w:rPr>
                <w:rFonts w:ascii="Arial" w:cs="Arial" w:eastAsia="Arial" w:hAnsi="Arial"/>
                <w:sz w:val="12"/>
                <w:szCs w:val="12"/>
                <w:color w:val="auto"/>
              </w:rPr>
              <w:t>Title:</w:t>
            </w:r>
          </w:p>
        </w:tc>
        <w:tc>
          <w:tcPr>
            <w:tcW w:w="324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9019"/>
          </w:cols>
          <w:pgMar w:left="1440" w:top="226" w:right="1440" w:bottom="1440" w:gutter="0" w:footer="0" w:header="0"/>
        </w:sectPr>
      </w:pPr>
    </w:p>
    <w:bookmarkStart w:id="3" w:name="page4"/>
    <w:bookmarkEnd w:id="3"/>
    <w:p>
      <w:pPr>
        <w:jc w:val="right"/>
        <w:ind w:right="819"/>
        <w:spacing w:after="0"/>
        <w:rPr>
          <w:sz w:val="20"/>
          <w:szCs w:val="20"/>
          <w:color w:val="auto"/>
        </w:rPr>
      </w:pPr>
      <w:r>
        <w:rPr>
          <w:rFonts w:ascii="Arial" w:cs="Arial" w:eastAsia="Arial" w:hAnsi="Arial"/>
          <w:sz w:val="12"/>
          <w:szCs w:val="12"/>
          <w:b w:val="1"/>
          <w:bCs w:val="1"/>
          <w:color w:val="auto"/>
        </w:rPr>
        <w:t>Exhibit 99.1</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Fulcrum Therapeutics Announced Results of Phase 1 Clinical Trial of Losmapimod in FSHD</w:t>
      </w:r>
    </w:p>
    <w:p>
      <w:pPr>
        <w:spacing w:after="0" w:line="83" w:lineRule="exact"/>
        <w:rPr>
          <w:sz w:val="20"/>
          <w:szCs w:val="20"/>
          <w:color w:val="auto"/>
        </w:rPr>
      </w:pPr>
    </w:p>
    <w:p>
      <w:pPr>
        <w:ind w:left="840" w:right="1059"/>
        <w:spacing w:after="0" w:line="277" w:lineRule="auto"/>
        <w:rPr>
          <w:sz w:val="20"/>
          <w:szCs w:val="20"/>
          <w:color w:val="auto"/>
        </w:rPr>
      </w:pPr>
      <w:r>
        <w:rPr>
          <w:rFonts w:ascii="Arial" w:cs="Arial" w:eastAsia="Arial" w:hAnsi="Arial"/>
          <w:sz w:val="12"/>
          <w:szCs w:val="12"/>
          <w:i w:val="1"/>
          <w:iCs w:val="1"/>
          <w:color w:val="auto"/>
        </w:rPr>
        <w:t>Data presented in an oral presentation at World Muscle Society meeting highlighted safety, tolerability, pharmacokinetics and target engagement of losmapimod in patients with facioscapulohumeral dystrophy.</w:t>
      </w:r>
    </w:p>
    <w:p>
      <w:pPr>
        <w:spacing w:after="0" w:line="111" w:lineRule="exact"/>
        <w:rPr>
          <w:sz w:val="20"/>
          <w:szCs w:val="20"/>
          <w:color w:val="auto"/>
        </w:rPr>
      </w:pPr>
    </w:p>
    <w:p>
      <w:pPr>
        <w:ind w:left="840" w:right="899"/>
        <w:spacing w:after="0" w:line="256" w:lineRule="auto"/>
        <w:rPr>
          <w:sz w:val="20"/>
          <w:szCs w:val="20"/>
          <w:color w:val="auto"/>
        </w:rPr>
      </w:pPr>
      <w:r>
        <w:rPr>
          <w:rFonts w:ascii="Arial" w:cs="Arial" w:eastAsia="Arial" w:hAnsi="Arial"/>
          <w:sz w:val="12"/>
          <w:szCs w:val="12"/>
          <w:color w:val="auto"/>
        </w:rPr>
        <w:t xml:space="preserve">CAMBRIDGE, Mass., October 4, 2019 – </w:t>
      </w:r>
      <w:r>
        <w:rPr>
          <w:rFonts w:ascii="Arial" w:cs="Arial" w:eastAsia="Arial" w:hAnsi="Arial"/>
          <w:sz w:val="12"/>
          <w:szCs w:val="12"/>
          <w:b w:val="1"/>
          <w:bCs w:val="1"/>
          <w:u w:val="single" w:color="auto"/>
          <w:color w:val="auto"/>
        </w:rPr>
        <w:t>Fulcrum Therapeutics, Inc.</w:t>
      </w:r>
      <w:r>
        <w:rPr>
          <w:rFonts w:ascii="Arial" w:cs="Arial" w:eastAsia="Arial" w:hAnsi="Arial"/>
          <w:sz w:val="12"/>
          <w:szCs w:val="12"/>
          <w:color w:val="auto"/>
        </w:rPr>
        <w:t xml:space="preserve"> (Nasdaq: FULC), a clinical-stage biopharmaceutical company focused on improving the lives of patients with genetically defined rare diseases, today announced preliminary results of a Phase 1 clinical trial of losmapimod to treat the root cause of facioscapulohumeral dystrophy (FSHD). Losmapimod is a selective p38α/b mitogen activated protein kinase (MAPK) inhibitor. Fulcrum exclusively in-licensed losmapimod following Fulcrum’s discovery that the inhibition of p38α/b reduced expression of the DUX4 gene in muscle cells derived from patients with FSHD, a disease which is caused by the mis-expression of DUX4 in skeletal muscle. Results were presented today by Michelle Mellion, MD, medical director at Fulcrum Therapeutics, in an oral presentation during the 24</w:t>
      </w:r>
      <w:r>
        <w:rPr>
          <w:rFonts w:ascii="Arial" w:cs="Arial" w:eastAsia="Arial" w:hAnsi="Arial"/>
          <w:sz w:val="10"/>
          <w:szCs w:val="10"/>
          <w:color w:val="auto"/>
        </w:rPr>
        <w:t>th</w:t>
      </w:r>
      <w:r>
        <w:rPr>
          <w:rFonts w:ascii="Arial" w:cs="Arial" w:eastAsia="Arial" w:hAnsi="Arial"/>
          <w:sz w:val="12"/>
          <w:szCs w:val="12"/>
          <w:color w:val="auto"/>
        </w:rPr>
        <w:t xml:space="preserve"> International Annual Congress of the World Muscle Society in Copenhagen, Denmark.</w:t>
      </w:r>
    </w:p>
    <w:p>
      <w:pPr>
        <w:spacing w:after="0" w:line="129" w:lineRule="exact"/>
        <w:rPr>
          <w:sz w:val="20"/>
          <w:szCs w:val="20"/>
          <w:color w:val="auto"/>
        </w:rPr>
      </w:pPr>
    </w:p>
    <w:p>
      <w:pPr>
        <w:ind w:left="840" w:right="839"/>
        <w:spacing w:after="0" w:line="257" w:lineRule="auto"/>
        <w:rPr>
          <w:sz w:val="20"/>
          <w:szCs w:val="20"/>
          <w:color w:val="auto"/>
        </w:rPr>
      </w:pPr>
      <w:r>
        <w:rPr>
          <w:rFonts w:ascii="Arial" w:cs="Arial" w:eastAsia="Arial" w:hAnsi="Arial"/>
          <w:sz w:val="12"/>
          <w:szCs w:val="12"/>
          <w:color w:val="auto"/>
        </w:rPr>
        <w:t>“Losmapimod has previously been shown to have adequate safety and tolerability in over 3,500 patients and healthy volunteers across multiple indications, with no safety signals attributed to the drug in those trials. Until now, losmapimod had not been tested in patients with FSHD, nor was it known if it was muscle-penetrant in humans.” said Dr. Mellion. “The preliminary results from our Phase 1 clinical trial of losmapimod in patients with FSHD indicate that losmapimod was generally well-tolerated and achieved dose-dependent concentrations in plasma and muscle believed to be adequate for efficacy based on preclinical pharmacology studies.”</w:t>
      </w:r>
    </w:p>
    <w:p>
      <w:pPr>
        <w:spacing w:after="0" w:line="128" w:lineRule="exact"/>
        <w:rPr>
          <w:sz w:val="20"/>
          <w:szCs w:val="20"/>
          <w:color w:val="auto"/>
        </w:rPr>
      </w:pPr>
    </w:p>
    <w:p>
      <w:pPr>
        <w:ind w:left="840" w:right="919"/>
        <w:spacing w:after="0" w:line="257" w:lineRule="auto"/>
        <w:rPr>
          <w:sz w:val="20"/>
          <w:szCs w:val="20"/>
          <w:color w:val="auto"/>
        </w:rPr>
      </w:pPr>
      <w:r>
        <w:rPr>
          <w:rFonts w:ascii="Arial" w:cs="Arial" w:eastAsia="Arial" w:hAnsi="Arial"/>
          <w:sz w:val="12"/>
          <w:szCs w:val="12"/>
          <w:color w:val="auto"/>
        </w:rPr>
        <w:t>The primary objective of the trial was to investigate the safety and tolerability of losmapimod in healthy volunteers and in FSHD patients. The secondary objective was to evaluate repeated dose pharmacokinetics (PK) and target engagement (TE) in FSHD patients. In the first cohort, 10 healthy volunteers were randomized to a single oral dose of losmapimod (n=8) 7.5 mg followed by a single oral dose of 15 mg after a wash out period or to single oral dose placebo (n=2) in both dosing periods. In the second cohort, 15 FSHD patients were randomized and treated with placebo (n=3) or losmapimod 7.5 mg (n=6) or 15 mg (n=6) taken orally twice daily for 14 days.</w:t>
      </w:r>
    </w:p>
    <w:p>
      <w:pPr>
        <w:spacing w:after="0" w:line="128" w:lineRule="exact"/>
        <w:rPr>
          <w:sz w:val="20"/>
          <w:szCs w:val="20"/>
          <w:color w:val="auto"/>
        </w:rPr>
      </w:pPr>
    </w:p>
    <w:p>
      <w:pPr>
        <w:ind w:left="840" w:right="859"/>
        <w:spacing w:after="0" w:line="281" w:lineRule="auto"/>
        <w:rPr>
          <w:sz w:val="20"/>
          <w:szCs w:val="20"/>
          <w:color w:val="auto"/>
        </w:rPr>
      </w:pPr>
      <w:r>
        <w:rPr>
          <w:rFonts w:ascii="Arial" w:cs="Arial" w:eastAsia="Arial" w:hAnsi="Arial"/>
          <w:sz w:val="11"/>
          <w:szCs w:val="11"/>
          <w:color w:val="auto"/>
        </w:rPr>
        <w:t>Losmapimod was well tolerated with no serious adverse events (SAEs) reported. Similar tolerability, safety and PK were observed in healthy volunteers and patients with FSHD. Treatment with losmapimod demonstrated dose-dependent PK and TE in blood. This was consistent with previously reported data from more than 3,500 patients treated with losmapimod across multiple other indications. FSHD patients treated with losmapimod also achieved dose-dependent concentrations in skeletal muscle, with a muscle to plasma exposure ratio of approximately 1:1. The losmapimod 15 mg dose taken orally twice daily demonstrated sustained drug concentrations that in preclinical models with human FSHD myotubes resulted in a robust reduction of DUX4-driven gene expression. Analysis of target engagement in muscle is ongoing. These data support the selection of the 15 mg dose of losmapimod taken orally twice daily in the Company’s ongoing Phase 2b placebo-controlled 24-week clinical trial, referred to as ReDUX4, as well as its ongoing Phase 2 open label-study of losmapimod for the treatment of patients with FSHD.</w:t>
      </w:r>
    </w:p>
    <w:p>
      <w:pPr>
        <w:sectPr>
          <w:pgSz w:w="11900" w:h="16838" w:orient="portrait"/>
          <w:cols w:equalWidth="0" w:num="1">
            <w:col w:w="9019"/>
          </w:cols>
          <w:pgMar w:left="1440" w:top="127" w:right="1440" w:bottom="1440" w:gutter="0" w:footer="0" w:header="0"/>
        </w:sectPr>
      </w:pPr>
    </w:p>
    <w:bookmarkStart w:id="4" w:name="page5"/>
    <w:bookmarkEnd w:id="4"/>
    <w:p>
      <w:pPr>
        <w:jc w:val="both"/>
        <w:ind w:left="840" w:right="939"/>
        <w:spacing w:after="0" w:line="29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“There are currently no approved treatment options available for patients with FSHD. They face a lifetime of accumulating disability that can severely impact their day-to-day function and quality of life,” said Diego Cadavid, MD, senior vice president of clinical development at Fulcrum Therapeutics. “We are very encouraged by these results and are working rapidly to advance our development program for losmapimod.”</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FSHD</w:t>
      </w:r>
    </w:p>
    <w:p>
      <w:pPr>
        <w:spacing w:after="0" w:line="83" w:lineRule="exact"/>
        <w:rPr>
          <w:sz w:val="20"/>
          <w:szCs w:val="20"/>
          <w:color w:val="auto"/>
        </w:rPr>
      </w:pPr>
    </w:p>
    <w:p>
      <w:pPr>
        <w:ind w:left="840" w:right="959"/>
        <w:spacing w:after="0" w:line="299" w:lineRule="auto"/>
        <w:rPr>
          <w:sz w:val="20"/>
          <w:szCs w:val="20"/>
          <w:color w:val="auto"/>
        </w:rPr>
      </w:pPr>
      <w:r>
        <w:rPr>
          <w:rFonts w:ascii="Arial" w:cs="Arial" w:eastAsia="Arial" w:hAnsi="Arial"/>
          <w:sz w:val="11"/>
          <w:szCs w:val="11"/>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05" w:lineRule="exact"/>
        <w:rPr>
          <w:sz w:val="20"/>
          <w:szCs w:val="20"/>
          <w:color w:val="auto"/>
        </w:rPr>
      </w:pPr>
    </w:p>
    <w:p>
      <w:pPr>
        <w:ind w:left="840" w:right="819"/>
        <w:spacing w:after="0" w:line="257" w:lineRule="auto"/>
        <w:rPr>
          <w:sz w:val="20"/>
          <w:szCs w:val="20"/>
          <w:color w:val="auto"/>
        </w:rPr>
      </w:pPr>
      <w:r>
        <w:rPr>
          <w:rFonts w:ascii="Arial" w:cs="Arial" w:eastAsia="Arial" w:hAnsi="Arial"/>
          <w:sz w:val="12"/>
          <w:szCs w:val="12"/>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Losmapimod</w:t>
      </w:r>
    </w:p>
    <w:p>
      <w:pPr>
        <w:spacing w:after="0" w:line="83" w:lineRule="exact"/>
        <w:rPr>
          <w:sz w:val="20"/>
          <w:szCs w:val="20"/>
          <w:color w:val="auto"/>
        </w:rPr>
      </w:pPr>
    </w:p>
    <w:p>
      <w:pPr>
        <w:ind w:left="840" w:right="979"/>
        <w:spacing w:after="0" w:line="255" w:lineRule="auto"/>
        <w:rPr>
          <w:sz w:val="20"/>
          <w:szCs w:val="20"/>
          <w:color w:val="auto"/>
        </w:rPr>
      </w:pPr>
      <w:r>
        <w:rPr>
          <w:rFonts w:ascii="Arial" w:cs="Arial" w:eastAsia="Arial" w:hAnsi="Arial"/>
          <w:sz w:val="12"/>
          <w:szCs w:val="12"/>
          <w:color w:val="auto"/>
        </w:rPr>
        <w:t>Losmapimod is a selective p38α/b mitogen activated protein kinase (MAPK) inhibitor that was exclusively in-licensed by Fulcrum Therapeutics following Fulcrum’s discovery of the role of p38α/b inhibitors in the reduction of DUX4 expression and an extensive review of known compounds. Utilizing its internal product engine, Fulcrum discovered that inhibition of p38α/b reduced expression of the DUX4 gene in muscle cells derived from patients with FSHD. Although losmapimod has never previously been explored in muscular dystrophies, it has been evaluated in more than 3,500 subjects in clinical trials across multiple other indications, including in several Phase 2 trials and a Phase 3 trial. No safety signals were attributed to losmapimod in any of these trials. Fulcrum is currently conducting Phase 2 trials investigating the safety, tolerability, and efficacy of losmapimod to treat the root cause of FSHD.</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Fulcrum Therapeutics</w:t>
      </w:r>
    </w:p>
    <w:p>
      <w:pPr>
        <w:spacing w:after="0" w:line="83" w:lineRule="exact"/>
        <w:rPr>
          <w:sz w:val="20"/>
          <w:szCs w:val="20"/>
          <w:color w:val="auto"/>
        </w:rPr>
      </w:pPr>
    </w:p>
    <w:p>
      <w:pPr>
        <w:ind w:left="840" w:right="1079"/>
        <w:spacing w:after="0" w:line="299" w:lineRule="auto"/>
        <w:rPr>
          <w:sz w:val="20"/>
          <w:szCs w:val="20"/>
          <w:color w:val="auto"/>
        </w:rPr>
      </w:pPr>
      <w:r>
        <w:rPr>
          <w:rFonts w:ascii="Arial" w:cs="Arial" w:eastAsia="Arial" w:hAnsi="Arial"/>
          <w:sz w:val="11"/>
          <w:szCs w:val="11"/>
          <w:color w:val="auto"/>
        </w:rPr>
        <w:t xml:space="preserve">Fulcrum Therapeutics is a clinical-stage biopharmaceutical company focused on improving the lives of patients with genetically defined diseases in areas of high unmet medical need, with an initial focus on rare diseases. Fulcrum’s proprietary product engine identifies drug targets which can modulate gene expression to treat the known root cause of gene mis-expression. Please visit </w:t>
      </w:r>
      <w:r>
        <w:rPr>
          <w:rFonts w:ascii="Arial" w:cs="Arial" w:eastAsia="Arial" w:hAnsi="Arial"/>
          <w:sz w:val="11"/>
          <w:szCs w:val="11"/>
          <w:b w:val="1"/>
          <w:bCs w:val="1"/>
          <w:u w:val="single" w:color="auto"/>
          <w:color w:val="auto"/>
        </w:rPr>
        <w:t>www.fulcrumtx.com</w:t>
      </w:r>
      <w:r>
        <w:rPr>
          <w:rFonts w:ascii="Arial" w:cs="Arial" w:eastAsia="Arial" w:hAnsi="Arial"/>
          <w:sz w:val="11"/>
          <w:szCs w:val="11"/>
          <w:color w:val="auto"/>
        </w:rPr>
        <w:t>.</w:t>
      </w:r>
    </w:p>
    <w:p>
      <w:pPr>
        <w:sectPr>
          <w:pgSz w:w="11900" w:h="16838" w:orient="portrait"/>
          <w:cols w:equalWidth="0" w:num="1">
            <w:col w:w="9019"/>
          </w:cols>
          <w:pgMar w:left="1440" w:top="230"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Forward-Looking Statements</w:t>
      </w:r>
    </w:p>
    <w:p>
      <w:pPr>
        <w:spacing w:after="0" w:line="83" w:lineRule="exact"/>
        <w:rPr>
          <w:sz w:val="20"/>
          <w:szCs w:val="20"/>
          <w:color w:val="auto"/>
        </w:rPr>
      </w:pPr>
    </w:p>
    <w:p>
      <w:pPr>
        <w:ind w:left="840" w:right="819"/>
        <w:spacing w:after="0" w:line="276" w:lineRule="auto"/>
        <w:rPr>
          <w:sz w:val="20"/>
          <w:szCs w:val="20"/>
          <w:color w:val="auto"/>
        </w:rPr>
      </w:pPr>
      <w:r>
        <w:rPr>
          <w:rFonts w:ascii="Arial" w:cs="Arial" w:eastAsia="Arial" w:hAnsi="Arial"/>
          <w:sz w:val="11"/>
          <w:szCs w:val="11"/>
          <w:color w:val="auto"/>
        </w:rPr>
        <w:t>This press release contains “forward-looking statements” within the meaning of the Private Securities Litigation Reform Act of 1995 that involve substantial risks and uncertainties, including statements regarding the development status of the Company’s product candidates and the timing of availability of clinical trial data..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replicate in later clinical trials positive results found in preclinical studies and early-stage clinical trials of losmapimod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Contacts</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Media:</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Lynn Granito</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Berry &amp; Company Public Relations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b w:val="1"/>
          <w:bCs w:val="1"/>
          <w:u w:val="single" w:color="auto"/>
          <w:color w:val="auto"/>
        </w:rPr>
        <w:t>lgranito@berrypr.com</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212-253-8881</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Investors:</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Christina Tartaglia</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Stern IR,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b w:val="1"/>
          <w:bCs w:val="1"/>
          <w:u w:val="single" w:color="auto"/>
          <w:color w:val="auto"/>
        </w:rPr>
        <w:t>christina.tartaglia@sternir.com</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212-362-1200</w:t>
      </w:r>
    </w:p>
    <w:p>
      <w:pPr>
        <w:sectPr>
          <w:pgSz w:w="11900" w:h="16838" w:orient="portrait"/>
          <w:cols w:equalWidth="0" w:num="1">
            <w:col w:w="9019"/>
          </w:cols>
          <w:pgMar w:left="1440" w:top="226"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2019-12-28T05:52:25Z</dcterms:created>
  <dcterms:modified xsi:type="dcterms:W3CDTF">2019-12-28T05:52:25Z</dcterms:modified>
</cp:coreProperties>
</file>