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August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1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1300" w:right="8560" w:firstLine="4"/>
        <w:spacing w:after="0" w:line="571" w:lineRule="auto"/>
        <w:tabs>
          <w:tab w:leader="none" w:pos="15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rPr>
          <w:sz w:val="20"/>
          <w:szCs w:val="20"/>
          <w:color w:val="auto"/>
        </w:rPr>
      </w:pPr>
      <w:r>
        <w:rPr>
          <w:rFonts w:ascii="Courier New" w:cs="Courier New" w:eastAsia="Courier New" w:hAnsi="Courier New"/>
          <w:sz w:val="18"/>
          <w:szCs w:val="18"/>
          <w:color w:val="auto"/>
        </w:rPr>
        <w:t>__________</w:t>
      </w:r>
    </w:p>
    <w:p>
      <w:pPr>
        <w:spacing w:after="0" w:line="263"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98"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2260" w:type="dxa"/>
            <w:vAlign w:val="bottom"/>
          </w:tcPr>
          <w:p>
            <w:pPr>
              <w:jc w:val="right"/>
              <w:ind w:right="1250"/>
              <w:spacing w:after="0"/>
              <w:rPr>
                <w:sz w:val="20"/>
                <w:szCs w:val="20"/>
                <w:color w:val="auto"/>
              </w:rPr>
            </w:pPr>
            <w:r>
              <w:rPr>
                <w:rFonts w:ascii="Arial" w:cs="Arial" w:eastAsia="Arial" w:hAnsi="Arial"/>
                <w:sz w:val="18"/>
                <w:szCs w:val="18"/>
                <w:color w:val="auto"/>
                <w:w w:val="99"/>
              </w:rPr>
              <w:t>359616109</w:t>
            </w:r>
          </w:p>
        </w:tc>
      </w:tr>
      <w:tr>
        <w:trPr>
          <w:trHeight w:val="27"/>
        </w:trPr>
        <w:tc>
          <w:tcPr>
            <w:tcW w:w="11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ind w:left="900" w:hanging="89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900" w:right="412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Suvretta Capital Management, LLC</w:t>
      </w:r>
    </w:p>
    <w:p>
      <w:pPr>
        <w:ind w:left="900" w:hanging="89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79" w:lineRule="exact"/>
        <w:rPr>
          <w:sz w:val="20"/>
          <w:szCs w:val="20"/>
          <w:color w:val="auto"/>
        </w:rPr>
      </w:pPr>
    </w:p>
    <w:p>
      <w:pPr>
        <w:ind w:left="900" w:hanging="89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900" w:right="6040" w:hanging="895"/>
        <w:spacing w:after="0" w:line="59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0" w:lineRule="exact"/>
        <w:rPr>
          <w:sz w:val="20"/>
          <w:szCs w:val="20"/>
          <w:color w:val="auto"/>
        </w:rPr>
      </w:pPr>
    </w:p>
    <w:p>
      <w:pPr>
        <w:spacing w:after="0" w:line="213" w:lineRule="exact"/>
        <w:rPr>
          <w:sz w:val="20"/>
          <w:szCs w:val="20"/>
          <w:color w:val="auto"/>
        </w:rPr>
      </w:pPr>
    </w:p>
    <w:p>
      <w:pPr>
        <w:ind w:left="900" w:right="7860" w:hanging="895"/>
        <w:spacing w:after="0" w:line="56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900" w:right="7580" w:hanging="895"/>
        <w:spacing w:after="0" w:line="56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1,796,918</w:t>
      </w:r>
    </w:p>
    <w:p>
      <w:pPr>
        <w:ind w:left="900" w:right="7460" w:hanging="895"/>
        <w:spacing w:after="0" w:line="56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00" w:right="7180" w:hanging="895"/>
        <w:spacing w:after="0" w:line="56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1,796,918</w:t>
      </w:r>
    </w:p>
    <w:p>
      <w:pPr>
        <w:ind w:left="900" w:right="3160" w:hanging="895"/>
        <w:spacing w:after="0" w:line="54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1,796,918</w:t>
      </w:r>
    </w:p>
    <w:p>
      <w:pPr>
        <w:spacing w:after="0" w:line="1" w:lineRule="exact"/>
        <w:rPr>
          <w:sz w:val="20"/>
          <w:szCs w:val="20"/>
          <w:color w:val="auto"/>
        </w:rPr>
      </w:pPr>
    </w:p>
    <w:p>
      <w:pPr>
        <w:spacing w:after="0"/>
        <w:tabs>
          <w:tab w:leader="none" w:pos="880" w:val="left"/>
          <w:tab w:leader="none" w:pos="101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[_]</w:t>
      </w:r>
    </w:p>
    <w:p>
      <w:pPr>
        <w:spacing w:after="0" w:line="252" w:lineRule="exact"/>
        <w:rPr>
          <w:sz w:val="20"/>
          <w:szCs w:val="20"/>
          <w:color w:val="auto"/>
        </w:rPr>
      </w:pPr>
    </w:p>
    <w:p>
      <w:pPr>
        <w:ind w:left="900" w:right="4660" w:hanging="895"/>
        <w:spacing w:after="0" w:line="563"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w:t>
      </w:r>
    </w:p>
    <w:p>
      <w:pPr>
        <w:ind w:left="900" w:right="5380" w:hanging="895"/>
        <w:spacing w:after="0" w:line="59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237490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420" w:top="719"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CUSIP No.</w:t>
            </w:r>
          </w:p>
        </w:tc>
        <w:tc>
          <w:tcPr>
            <w:tcW w:w="2460" w:type="dxa"/>
            <w:vAlign w:val="bottom"/>
          </w:tcPr>
          <w:p>
            <w:pPr>
              <w:jc w:val="right"/>
              <w:ind w:right="1470"/>
              <w:spacing w:after="0"/>
              <w:rPr>
                <w:sz w:val="20"/>
                <w:szCs w:val="20"/>
                <w:color w:val="auto"/>
              </w:rPr>
            </w:pPr>
            <w:r>
              <w:rPr>
                <w:rFonts w:ascii="Arial" w:cs="Arial" w:eastAsia="Arial" w:hAnsi="Arial"/>
                <w:sz w:val="18"/>
                <w:szCs w:val="18"/>
                <w:color w:val="auto"/>
                <w:w w:val="97"/>
              </w:rPr>
              <w:t>359616109</w:t>
            </w:r>
          </w:p>
        </w:tc>
      </w:tr>
      <w:tr>
        <w:trPr>
          <w:trHeight w:val="27"/>
        </w:trPr>
        <w:tc>
          <w:tcPr>
            <w:tcW w:w="12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ind w:left="900" w:hanging="89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900" w:right="410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Averill Master Fund, Ltd.</w:t>
      </w:r>
    </w:p>
    <w:p>
      <w:pPr>
        <w:ind w:left="900" w:hanging="89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52" w:lineRule="exact"/>
        <w:rPr>
          <w:sz w:val="20"/>
          <w:szCs w:val="20"/>
          <w:color w:val="auto"/>
        </w:rPr>
      </w:pPr>
    </w:p>
    <w:p>
      <w:pPr>
        <w:ind w:left="10140"/>
        <w:spacing w:after="0"/>
        <w:rPr>
          <w:sz w:val="20"/>
          <w:szCs w:val="20"/>
          <w:color w:val="auto"/>
        </w:rPr>
      </w:pPr>
      <w:r>
        <w:rPr>
          <w:rFonts w:ascii="Arial" w:cs="Arial" w:eastAsia="Arial" w:hAnsi="Arial"/>
          <w:sz w:val="17"/>
          <w:szCs w:val="17"/>
          <w:color w:val="auto"/>
        </w:rPr>
        <w:t>(a) [_]</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38" w:lineRule="exact"/>
        <w:rPr>
          <w:sz w:val="20"/>
          <w:szCs w:val="20"/>
          <w:color w:val="auto"/>
        </w:rPr>
      </w:pPr>
    </w:p>
    <w:p>
      <w:pPr>
        <w:ind w:left="900" w:hanging="89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900" w:hanging="89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00" w:right="7840" w:hanging="895"/>
        <w:spacing w:after="0" w:line="56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900" w:right="7560" w:hanging="895"/>
        <w:spacing w:after="0" w:line="56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1,796,918</w:t>
      </w:r>
    </w:p>
    <w:p>
      <w:pPr>
        <w:ind w:left="900" w:right="7440" w:hanging="895"/>
        <w:spacing w:after="0" w:line="56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00" w:right="7160" w:hanging="895"/>
        <w:spacing w:after="0" w:line="56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1,796,918</w:t>
      </w:r>
    </w:p>
    <w:p>
      <w:pPr>
        <w:ind w:left="900" w:right="3140" w:hanging="895"/>
        <w:spacing w:after="0" w:line="54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1,796,918</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36" w:lineRule="exact"/>
        <w:rPr>
          <w:sz w:val="20"/>
          <w:szCs w:val="20"/>
          <w:color w:val="auto"/>
        </w:rPr>
      </w:pPr>
    </w:p>
    <w:p>
      <w:pPr>
        <w:ind w:left="10180"/>
        <w:spacing w:after="0"/>
        <w:rPr>
          <w:sz w:val="20"/>
          <w:szCs w:val="20"/>
          <w:color w:val="auto"/>
        </w:rPr>
      </w:pPr>
      <w:r>
        <w:rPr>
          <w:rFonts w:ascii="Arial" w:cs="Arial" w:eastAsia="Arial" w:hAnsi="Arial"/>
          <w:sz w:val="18"/>
          <w:szCs w:val="18"/>
          <w:color w:val="auto"/>
        </w:rPr>
        <w:t>[_]</w:t>
      </w:r>
    </w:p>
    <w:p>
      <w:pPr>
        <w:spacing w:after="0" w:line="252" w:lineRule="exact"/>
        <w:rPr>
          <w:sz w:val="20"/>
          <w:szCs w:val="20"/>
          <w:color w:val="auto"/>
        </w:rPr>
      </w:pPr>
    </w:p>
    <w:p>
      <w:pPr>
        <w:ind w:left="900" w:right="4640" w:hanging="895"/>
        <w:spacing w:after="0" w:line="563"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w:t>
      </w:r>
    </w:p>
    <w:p>
      <w:pPr>
        <w:ind w:left="900" w:right="5360" w:hanging="895"/>
        <w:spacing w:after="0" w:line="590"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108585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420" w:top="922" w:right="8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2260" w:type="dxa"/>
            <w:vAlign w:val="bottom"/>
          </w:tcPr>
          <w:p>
            <w:pPr>
              <w:jc w:val="right"/>
              <w:ind w:right="1250"/>
              <w:spacing w:after="0"/>
              <w:rPr>
                <w:sz w:val="20"/>
                <w:szCs w:val="20"/>
                <w:color w:val="auto"/>
              </w:rPr>
            </w:pPr>
            <w:r>
              <w:rPr>
                <w:rFonts w:ascii="Arial" w:cs="Arial" w:eastAsia="Arial" w:hAnsi="Arial"/>
                <w:sz w:val="18"/>
                <w:szCs w:val="18"/>
                <w:color w:val="auto"/>
                <w:w w:val="99"/>
              </w:rPr>
              <w:t>359616109</w:t>
            </w:r>
          </w:p>
        </w:tc>
      </w:tr>
      <w:tr>
        <w:trPr>
          <w:trHeight w:val="27"/>
        </w:trPr>
        <w:tc>
          <w:tcPr>
            <w:tcW w:w="11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ind w:left="900" w:hanging="89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900" w:right="412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Aaron Cowen</w:t>
      </w:r>
    </w:p>
    <w:p>
      <w:pPr>
        <w:ind w:left="900" w:hanging="89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79" w:lineRule="exact"/>
        <w:rPr>
          <w:sz w:val="20"/>
          <w:szCs w:val="20"/>
          <w:color w:val="auto"/>
        </w:rPr>
      </w:pPr>
    </w:p>
    <w:p>
      <w:pPr>
        <w:ind w:left="900" w:hanging="89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900" w:right="6040" w:hanging="895"/>
        <w:spacing w:after="0" w:line="59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U.S.A.</w:t>
      </w:r>
    </w:p>
    <w:p>
      <w:pPr>
        <w:spacing w:after="0" w:line="200" w:lineRule="exact"/>
        <w:rPr>
          <w:sz w:val="20"/>
          <w:szCs w:val="20"/>
          <w:color w:val="auto"/>
        </w:rPr>
      </w:pPr>
    </w:p>
    <w:p>
      <w:pPr>
        <w:spacing w:after="0" w:line="213" w:lineRule="exact"/>
        <w:rPr>
          <w:sz w:val="20"/>
          <w:szCs w:val="20"/>
          <w:color w:val="auto"/>
        </w:rPr>
      </w:pPr>
    </w:p>
    <w:p>
      <w:pPr>
        <w:ind w:left="900" w:right="7860" w:hanging="895"/>
        <w:spacing w:after="0" w:line="56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ind w:left="900" w:right="7580" w:hanging="895"/>
        <w:spacing w:after="0" w:line="56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VOTING POWER 1,796,918</w:t>
      </w:r>
    </w:p>
    <w:p>
      <w:pPr>
        <w:ind w:left="900" w:right="7460" w:hanging="895"/>
        <w:spacing w:after="0" w:line="56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00" w:right="7180" w:hanging="895"/>
        <w:spacing w:after="0" w:line="56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1,796,918</w:t>
      </w:r>
    </w:p>
    <w:p>
      <w:pPr>
        <w:ind w:left="900" w:right="3160" w:hanging="895"/>
        <w:spacing w:after="0" w:line="54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1,796,918</w:t>
      </w:r>
    </w:p>
    <w:p>
      <w:pPr>
        <w:spacing w:after="0" w:line="1" w:lineRule="exact"/>
        <w:rPr>
          <w:sz w:val="20"/>
          <w:szCs w:val="20"/>
          <w:color w:val="auto"/>
        </w:rPr>
      </w:pPr>
    </w:p>
    <w:p>
      <w:pPr>
        <w:spacing w:after="0"/>
        <w:tabs>
          <w:tab w:leader="none" w:pos="880" w:val="left"/>
          <w:tab w:leader="none" w:pos="101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[_]</w:t>
      </w:r>
    </w:p>
    <w:p>
      <w:pPr>
        <w:spacing w:after="0" w:line="252" w:lineRule="exact"/>
        <w:rPr>
          <w:sz w:val="20"/>
          <w:szCs w:val="20"/>
          <w:color w:val="auto"/>
        </w:rPr>
      </w:pPr>
    </w:p>
    <w:p>
      <w:pPr>
        <w:ind w:left="900" w:right="4660" w:hanging="895"/>
        <w:spacing w:after="0" w:line="563"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w:t>
      </w:r>
    </w:p>
    <w:p>
      <w:pPr>
        <w:ind w:left="900" w:right="5380" w:hanging="895"/>
        <w:spacing w:after="0" w:line="59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666115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420" w:top="895" w:right="8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w w:val="95"/>
              </w:rPr>
              <w:t>CUSIP No.</w:t>
            </w:r>
          </w:p>
        </w:tc>
        <w:tc>
          <w:tcPr>
            <w:tcW w:w="520" w:type="dxa"/>
            <w:vAlign w:val="bottom"/>
          </w:tcPr>
          <w:p>
            <w:pPr>
              <w:spacing w:after="0"/>
              <w:rPr>
                <w:sz w:val="20"/>
                <w:szCs w:val="20"/>
                <w:color w:val="auto"/>
              </w:rPr>
            </w:pPr>
          </w:p>
        </w:tc>
        <w:tc>
          <w:tcPr>
            <w:tcW w:w="1900" w:type="dxa"/>
            <w:vAlign w:val="bottom"/>
            <w:gridSpan w:val="2"/>
          </w:tcPr>
          <w:p>
            <w:pPr>
              <w:jc w:val="right"/>
              <w:ind w:right="910"/>
              <w:spacing w:after="0"/>
              <w:rPr>
                <w:sz w:val="20"/>
                <w:szCs w:val="20"/>
                <w:color w:val="auto"/>
              </w:rPr>
            </w:pPr>
            <w:r>
              <w:rPr>
                <w:rFonts w:ascii="Arial" w:cs="Arial" w:eastAsia="Arial" w:hAnsi="Arial"/>
                <w:sz w:val="18"/>
                <w:szCs w:val="18"/>
                <w:color w:val="auto"/>
                <w:w w:val="97"/>
              </w:rPr>
              <w:t>359616109</w:t>
            </w:r>
          </w:p>
        </w:tc>
        <w:tc>
          <w:tcPr>
            <w:tcW w:w="7860" w:type="dxa"/>
            <w:vAlign w:val="bottom"/>
          </w:tcPr>
          <w:p>
            <w:pPr>
              <w:spacing w:after="0"/>
              <w:rPr>
                <w:sz w:val="20"/>
                <w:szCs w:val="20"/>
                <w:color w:val="auto"/>
              </w:rPr>
            </w:pPr>
          </w:p>
        </w:tc>
      </w:tr>
      <w:tr>
        <w:trPr>
          <w:trHeight w:val="27"/>
        </w:trPr>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60" w:type="dxa"/>
            <w:vAlign w:val="bottom"/>
          </w:tcPr>
          <w:p>
            <w:pPr>
              <w:spacing w:after="0"/>
              <w:rPr>
                <w:sz w:val="2"/>
                <w:szCs w:val="2"/>
                <w:color w:val="auto"/>
              </w:rPr>
            </w:pPr>
          </w:p>
        </w:tc>
      </w:tr>
      <w:tr>
        <w:trPr>
          <w:trHeight w:val="695"/>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520" w:type="dxa"/>
            <w:vAlign w:val="bottom"/>
          </w:tcPr>
          <w:p>
            <w:pPr>
              <w:ind w:left="40"/>
              <w:spacing w:after="0"/>
              <w:rPr>
                <w:sz w:val="20"/>
                <w:szCs w:val="20"/>
                <w:color w:val="auto"/>
              </w:rPr>
            </w:pPr>
            <w:r>
              <w:rPr>
                <w:rFonts w:ascii="Arial" w:cs="Arial" w:eastAsia="Arial" w:hAnsi="Arial"/>
                <w:sz w:val="18"/>
                <w:szCs w:val="18"/>
                <w:color w:val="auto"/>
              </w:rPr>
              <w:t>(a).</w:t>
            </w:r>
          </w:p>
        </w:tc>
        <w:tc>
          <w:tcPr>
            <w:tcW w:w="440" w:type="dxa"/>
            <w:vAlign w:val="bottom"/>
          </w:tcPr>
          <w:p>
            <w:pPr>
              <w:spacing w:after="0"/>
              <w:rPr>
                <w:sz w:val="24"/>
                <w:szCs w:val="24"/>
                <w:color w:val="auto"/>
              </w:rPr>
            </w:pPr>
          </w:p>
        </w:tc>
        <w:tc>
          <w:tcPr>
            <w:tcW w:w="9320" w:type="dxa"/>
            <w:vAlign w:val="bottom"/>
            <w:gridSpan w:val="2"/>
          </w:tcPr>
          <w:p>
            <w:pPr>
              <w:ind w:left="100"/>
              <w:spacing w:after="0"/>
              <w:rPr>
                <w:sz w:val="20"/>
                <w:szCs w:val="20"/>
                <w:color w:val="auto"/>
              </w:rPr>
            </w:pPr>
            <w:r>
              <w:rPr>
                <w:rFonts w:ascii="Arial" w:cs="Arial" w:eastAsia="Arial" w:hAnsi="Arial"/>
                <w:sz w:val="18"/>
                <w:szCs w:val="18"/>
                <w:color w:val="auto"/>
              </w:rPr>
              <w:t>Name of Issuer:</w:t>
            </w:r>
          </w:p>
        </w:tc>
      </w:tr>
      <w:tr>
        <w:trPr>
          <w:trHeight w:val="459"/>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320" w:type="dxa"/>
            <w:vAlign w:val="bottom"/>
            <w:gridSpan w:val="2"/>
          </w:tcPr>
          <w:p>
            <w:pPr>
              <w:ind w:left="100"/>
              <w:spacing w:after="0"/>
              <w:rPr>
                <w:sz w:val="20"/>
                <w:szCs w:val="20"/>
                <w:color w:val="auto"/>
              </w:rPr>
            </w:pPr>
            <w:r>
              <w:rPr>
                <w:rFonts w:ascii="Arial" w:cs="Arial" w:eastAsia="Arial" w:hAnsi="Arial"/>
                <w:sz w:val="18"/>
                <w:szCs w:val="18"/>
                <w:color w:val="auto"/>
              </w:rPr>
              <w:t>Fulcrum Therapeutics, Inc.</w:t>
            </w:r>
          </w:p>
        </w:tc>
      </w:tr>
      <w:tr>
        <w:trPr>
          <w:trHeight w:val="27"/>
        </w:trPr>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320" w:type="dxa"/>
            <w:vAlign w:val="bottom"/>
            <w:tcBorders>
              <w:bottom w:val="single" w:sz="8" w:color="auto"/>
            </w:tcBorders>
            <w:gridSpan w:val="2"/>
          </w:tcPr>
          <w:p>
            <w:pPr>
              <w:spacing w:after="0"/>
              <w:rPr>
                <w:sz w:val="2"/>
                <w:szCs w:val="2"/>
                <w:color w:val="auto"/>
              </w:rPr>
            </w:pPr>
          </w:p>
        </w:tc>
      </w:tr>
      <w:tr>
        <w:trPr>
          <w:trHeight w:val="453"/>
        </w:trPr>
        <w:tc>
          <w:tcPr>
            <w:tcW w:w="86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(b).</w:t>
            </w:r>
          </w:p>
        </w:tc>
        <w:tc>
          <w:tcPr>
            <w:tcW w:w="440" w:type="dxa"/>
            <w:vAlign w:val="bottom"/>
          </w:tcPr>
          <w:p>
            <w:pPr>
              <w:spacing w:after="0"/>
              <w:rPr>
                <w:sz w:val="24"/>
                <w:szCs w:val="24"/>
                <w:color w:val="auto"/>
              </w:rPr>
            </w:pPr>
          </w:p>
        </w:tc>
        <w:tc>
          <w:tcPr>
            <w:tcW w:w="9320" w:type="dxa"/>
            <w:vAlign w:val="bottom"/>
            <w:gridSpan w:val="2"/>
          </w:tcPr>
          <w:p>
            <w:pPr>
              <w:ind w:left="100"/>
              <w:spacing w:after="0"/>
              <w:rPr>
                <w:sz w:val="20"/>
                <w:szCs w:val="20"/>
                <w:color w:val="auto"/>
              </w:rPr>
            </w:pPr>
            <w:r>
              <w:rPr>
                <w:rFonts w:ascii="Arial" w:cs="Arial" w:eastAsia="Arial" w:hAnsi="Arial"/>
                <w:sz w:val="18"/>
                <w:szCs w:val="18"/>
                <w:color w:val="auto"/>
              </w:rPr>
              <w:t>Address of Issuer's Principal Executive Offices:</w:t>
            </w:r>
          </w:p>
        </w:tc>
      </w:tr>
      <w:tr>
        <w:trPr>
          <w:trHeight w:val="472"/>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320" w:type="dxa"/>
            <w:vAlign w:val="bottom"/>
            <w:gridSpan w:val="2"/>
          </w:tcPr>
          <w:p>
            <w:pPr>
              <w:ind w:left="100"/>
              <w:spacing w:after="0"/>
              <w:rPr>
                <w:sz w:val="20"/>
                <w:szCs w:val="20"/>
                <w:color w:val="auto"/>
              </w:rPr>
            </w:pPr>
            <w:r>
              <w:rPr>
                <w:rFonts w:ascii="Arial" w:cs="Arial" w:eastAsia="Arial" w:hAnsi="Arial"/>
                <w:sz w:val="18"/>
                <w:szCs w:val="18"/>
                <w:color w:val="auto"/>
              </w:rPr>
              <w:t>26 Landsdowne Street</w:t>
            </w:r>
          </w:p>
        </w:tc>
      </w:tr>
      <w:tr>
        <w:trPr>
          <w:trHeight w:val="230"/>
        </w:trPr>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320" w:type="dxa"/>
            <w:vAlign w:val="bottom"/>
            <w:gridSpan w:val="2"/>
          </w:tcPr>
          <w:p>
            <w:pPr>
              <w:ind w:left="100"/>
              <w:spacing w:after="0"/>
              <w:rPr>
                <w:sz w:val="20"/>
                <w:szCs w:val="20"/>
                <w:color w:val="auto"/>
              </w:rPr>
            </w:pPr>
            <w:r>
              <w:rPr>
                <w:rFonts w:ascii="Arial" w:cs="Arial" w:eastAsia="Arial" w:hAnsi="Arial"/>
                <w:sz w:val="18"/>
                <w:szCs w:val="18"/>
                <w:color w:val="auto"/>
              </w:rPr>
              <w:t>Cambridge, MA 02139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154305</wp:posOffset>
            </wp:positionV>
            <wp:extent cx="5846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ectPr>
          <w:pgSz w:w="11900" w:h="16838" w:orient="portrait"/>
          <w:cols w:equalWidth="0" w:num="1">
            <w:col w:w="11140"/>
          </w:cols>
          <w:pgMar w:left="420" w:top="719" w:right="339" w:bottom="0" w:gutter="0" w:footer="0" w:header="0"/>
        </w:sectPr>
      </w:pPr>
    </w:p>
    <w:p>
      <w:pPr>
        <w:spacing w:after="0" w:line="200" w:lineRule="exact"/>
        <w:rPr>
          <w:sz w:val="20"/>
          <w:szCs w:val="20"/>
          <w:color w:val="auto"/>
        </w:rPr>
      </w:pPr>
    </w:p>
    <w:p>
      <w:pPr>
        <w:spacing w:after="0" w:line="2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(a) –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Name, Principal Business Address, and Citizenship of Persons Filing</w:t>
      </w:r>
      <w:r>
        <w:rPr>
          <w:rFonts w:ascii="Arial" w:cs="Arial" w:eastAsia="Arial" w:hAnsi="Arial"/>
          <w:sz w:val="19"/>
          <w:szCs w:val="19"/>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Suvretta Capital Management, LLC – 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Averill Master Fund, Ltd. – Cayman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Aaron Cowen –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142875</wp:posOffset>
            </wp:positionV>
            <wp:extent cx="58464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Suvretta Capital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540 Madison Avenue,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Averill Master Fund,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Maples Corporate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Ugland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Cayman KY1-1104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Aaron Cowen: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Suvretta Capital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540 Madison Avenue,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5715</wp:posOffset>
            </wp:positionV>
            <wp:extent cx="5846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Common Stock, par value $0.001 per share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39370</wp:posOffset>
            </wp:positionV>
            <wp:extent cx="5846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80" w:space="440"/>
            <w:col w:w="9220"/>
          </w:cols>
          <w:pgMar w:left="420" w:top="719" w:right="339" w:bottom="0" w:gutter="0" w:footer="0" w:header="0"/>
          <w:type w:val="continuous"/>
        </w:sectPr>
      </w:pPr>
    </w:p>
    <w:p>
      <w:pPr>
        <w:spacing w:after="0" w:line="104" w:lineRule="exact"/>
        <w:rPr>
          <w:sz w:val="20"/>
          <w:szCs w:val="20"/>
          <w:color w:val="auto"/>
        </w:rPr>
      </w:pPr>
    </w:p>
    <w:p>
      <w:pPr>
        <w:ind w:left="900"/>
        <w:spacing w:after="0"/>
        <w:tabs>
          <w:tab w:leader="none" w:pos="190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CUSIP Number:</w:t>
      </w:r>
    </w:p>
    <w:p>
      <w:pPr>
        <w:spacing w:after="0" w:line="27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31750</wp:posOffset>
            </wp:positionV>
            <wp:extent cx="5846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73"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ss.240.13d-1(b) or 240.13d-2(b), or (c), check whether the person filing is a</w:t>
      </w:r>
    </w:p>
    <w:p>
      <w:pPr>
        <w:spacing w:after="0" w:line="200" w:lineRule="exact"/>
        <w:rPr>
          <w:sz w:val="20"/>
          <w:szCs w:val="20"/>
          <w:color w:val="auto"/>
        </w:rPr>
      </w:pPr>
    </w:p>
    <w:p>
      <w:pPr>
        <w:spacing w:after="0" w:line="295" w:lineRule="exact"/>
        <w:rPr>
          <w:sz w:val="20"/>
          <w:szCs w:val="20"/>
          <w:color w:val="auto"/>
        </w:rPr>
      </w:pPr>
    </w:p>
    <w:p>
      <w:pPr>
        <w:ind w:left="2040" w:hanging="1130"/>
        <w:spacing w:after="0"/>
        <w:tabs>
          <w:tab w:leader="none" w:pos="2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Exchange Act (15 U.S.C. 78c).</w:t>
      </w:r>
    </w:p>
    <w:p>
      <w:pPr>
        <w:spacing w:after="0" w:line="279" w:lineRule="exact"/>
        <w:rPr>
          <w:rFonts w:ascii="Arial" w:cs="Arial" w:eastAsia="Arial" w:hAnsi="Arial"/>
          <w:sz w:val="18"/>
          <w:szCs w:val="18"/>
          <w:color w:val="auto"/>
        </w:rPr>
      </w:pPr>
    </w:p>
    <w:p>
      <w:pPr>
        <w:ind w:left="2040" w:hanging="1130"/>
        <w:spacing w:after="0"/>
        <w:tabs>
          <w:tab w:leader="none" w:pos="2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Exchange Act (15 U.S.C. 78c).</w:t>
      </w:r>
    </w:p>
    <w:p>
      <w:pPr>
        <w:spacing w:after="0" w:line="279" w:lineRule="exact"/>
        <w:rPr>
          <w:rFonts w:ascii="Arial" w:cs="Arial" w:eastAsia="Arial" w:hAnsi="Arial"/>
          <w:sz w:val="18"/>
          <w:szCs w:val="18"/>
          <w:color w:val="auto"/>
        </w:rPr>
      </w:pPr>
    </w:p>
    <w:p>
      <w:pPr>
        <w:ind w:left="2040" w:hanging="1130"/>
        <w:spacing w:after="0"/>
        <w:tabs>
          <w:tab w:leader="none" w:pos="2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Exchange Act (15 U.S.C. 78c).</w:t>
      </w:r>
    </w:p>
    <w:p>
      <w:pPr>
        <w:spacing w:after="0" w:line="279" w:lineRule="exact"/>
        <w:rPr>
          <w:rFonts w:ascii="Arial" w:cs="Arial" w:eastAsia="Arial" w:hAnsi="Arial"/>
          <w:sz w:val="18"/>
          <w:szCs w:val="18"/>
          <w:color w:val="auto"/>
        </w:rPr>
      </w:pPr>
    </w:p>
    <w:p>
      <w:pPr>
        <w:ind w:left="2040" w:hanging="1130"/>
        <w:spacing w:after="0"/>
        <w:tabs>
          <w:tab w:leader="none" w:pos="2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79" w:lineRule="exact"/>
        <w:rPr>
          <w:rFonts w:ascii="Arial" w:cs="Arial" w:eastAsia="Arial" w:hAnsi="Arial"/>
          <w:sz w:val="18"/>
          <w:szCs w:val="18"/>
          <w:color w:val="auto"/>
        </w:rPr>
      </w:pPr>
    </w:p>
    <w:p>
      <w:pPr>
        <w:ind w:left="2040" w:hanging="1130"/>
        <w:spacing w:after="0"/>
        <w:tabs>
          <w:tab w:leader="none" w:pos="2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 240.13d-1(b)(1)(ii)(E);</w:t>
      </w:r>
    </w:p>
    <w:p>
      <w:pPr>
        <w:spacing w:after="0" w:line="279" w:lineRule="exact"/>
        <w:rPr>
          <w:rFonts w:ascii="Arial" w:cs="Arial" w:eastAsia="Arial" w:hAnsi="Arial"/>
          <w:sz w:val="18"/>
          <w:szCs w:val="18"/>
          <w:color w:val="auto"/>
        </w:rPr>
      </w:pPr>
    </w:p>
    <w:p>
      <w:pPr>
        <w:ind w:left="2040" w:hanging="1130"/>
        <w:spacing w:after="0"/>
        <w:tabs>
          <w:tab w:leader="none" w:pos="2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79" w:lineRule="exact"/>
        <w:rPr>
          <w:rFonts w:ascii="Arial" w:cs="Arial" w:eastAsia="Arial" w:hAnsi="Arial"/>
          <w:sz w:val="18"/>
          <w:szCs w:val="18"/>
          <w:color w:val="auto"/>
        </w:rPr>
      </w:pPr>
    </w:p>
    <w:p>
      <w:pPr>
        <w:ind w:left="2040" w:hanging="1130"/>
        <w:spacing w:after="0"/>
        <w:tabs>
          <w:tab w:leader="none" w:pos="2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79" w:lineRule="exact"/>
        <w:rPr>
          <w:rFonts w:ascii="Arial" w:cs="Arial" w:eastAsia="Arial" w:hAnsi="Arial"/>
          <w:sz w:val="18"/>
          <w:szCs w:val="18"/>
          <w:color w:val="auto"/>
        </w:rPr>
      </w:pPr>
    </w:p>
    <w:p>
      <w:pPr>
        <w:ind w:left="2040" w:hanging="1130"/>
        <w:spacing w:after="0"/>
        <w:tabs>
          <w:tab w:leader="none" w:pos="2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79" w:lineRule="exact"/>
        <w:rPr>
          <w:rFonts w:ascii="Arial" w:cs="Arial" w:eastAsia="Arial" w:hAnsi="Arial"/>
          <w:sz w:val="18"/>
          <w:szCs w:val="18"/>
          <w:color w:val="auto"/>
        </w:rPr>
      </w:pPr>
    </w:p>
    <w:p>
      <w:pPr>
        <w:ind w:left="2700" w:right="760" w:hanging="1790"/>
        <w:spacing w:after="0" w:line="277" w:lineRule="auto"/>
        <w:tabs>
          <w:tab w:leader="none" w:pos="20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2040" w:hanging="1130"/>
        <w:spacing w:after="0"/>
        <w:tabs>
          <w:tab w:leader="none" w:pos="2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Group, in accordance with s.240.13d-1(b)(1)(ii)(J).</w:t>
      </w:r>
    </w:p>
    <w:p>
      <w:pPr>
        <w:sectPr>
          <w:pgSz w:w="11900" w:h="16838" w:orient="portrait"/>
          <w:cols w:equalWidth="0" w:num="1">
            <w:col w:w="11140"/>
          </w:cols>
          <w:pgMar w:left="420" w:top="719" w:right="339" w:bottom="0" w:gutter="0" w:footer="0" w:header="0"/>
          <w:type w:val="continuous"/>
        </w:sectPr>
      </w:pPr>
    </w:p>
    <w:bookmarkStart w:id="5" w:name="page6"/>
    <w:bookmarkEnd w:id="5"/>
    <w:p>
      <w:pPr>
        <w:spacing w:after="0"/>
        <w:tabs>
          <w:tab w:leader="none" w:pos="20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10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5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440" w:hanging="665"/>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79"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Suvretta Capital Management, LLC – 1,796,918</w:t>
      </w:r>
    </w:p>
    <w:p>
      <w:pPr>
        <w:spacing w:after="0" w:line="49" w:lineRule="exact"/>
        <w:rPr>
          <w:rFonts w:ascii="Arial" w:cs="Arial" w:eastAsia="Arial" w:hAnsi="Arial"/>
          <w:sz w:val="18"/>
          <w:szCs w:val="18"/>
          <w:color w:val="auto"/>
        </w:rPr>
      </w:pPr>
    </w:p>
    <w:p>
      <w:pPr>
        <w:ind w:left="1440" w:right="6660"/>
        <w:spacing w:after="0" w:line="377" w:lineRule="auto"/>
        <w:rPr>
          <w:rFonts w:ascii="Arial" w:cs="Arial" w:eastAsia="Arial" w:hAnsi="Arial"/>
          <w:sz w:val="18"/>
          <w:szCs w:val="18"/>
          <w:color w:val="auto"/>
        </w:rPr>
      </w:pPr>
      <w:r>
        <w:rPr>
          <w:rFonts w:ascii="Arial" w:cs="Arial" w:eastAsia="Arial" w:hAnsi="Arial"/>
          <w:sz w:val="16"/>
          <w:szCs w:val="16"/>
          <w:color w:val="auto"/>
        </w:rPr>
        <w:t>Averill Master Fund, Ltd. – 1,796,918 Aaron Cowen – 1,796,918</w:t>
      </w:r>
    </w:p>
    <w:p>
      <w:pPr>
        <w:spacing w:after="0" w:line="150" w:lineRule="exact"/>
        <w:rPr>
          <w:rFonts w:ascii="Arial" w:cs="Arial" w:eastAsia="Arial" w:hAnsi="Arial"/>
          <w:sz w:val="18"/>
          <w:szCs w:val="18"/>
          <w:color w:val="auto"/>
        </w:rPr>
      </w:pPr>
    </w:p>
    <w:p>
      <w:pPr>
        <w:ind w:left="1440" w:hanging="665"/>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79"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Suvretta Capital Management, LLC – 5.5%</w:t>
      </w:r>
    </w:p>
    <w:p>
      <w:pPr>
        <w:spacing w:after="0" w:line="49" w:lineRule="exact"/>
        <w:rPr>
          <w:rFonts w:ascii="Arial" w:cs="Arial" w:eastAsia="Arial" w:hAnsi="Arial"/>
          <w:sz w:val="18"/>
          <w:szCs w:val="18"/>
          <w:color w:val="auto"/>
        </w:rPr>
      </w:pPr>
    </w:p>
    <w:p>
      <w:pPr>
        <w:ind w:left="1440" w:right="7000"/>
        <w:spacing w:after="0" w:line="308" w:lineRule="auto"/>
        <w:rPr>
          <w:rFonts w:ascii="Arial" w:cs="Arial" w:eastAsia="Arial" w:hAnsi="Arial"/>
          <w:sz w:val="18"/>
          <w:szCs w:val="18"/>
          <w:color w:val="auto"/>
        </w:rPr>
      </w:pPr>
      <w:r>
        <w:rPr>
          <w:rFonts w:ascii="Arial" w:cs="Arial" w:eastAsia="Arial" w:hAnsi="Arial"/>
          <w:sz w:val="18"/>
          <w:szCs w:val="18"/>
          <w:color w:val="auto"/>
        </w:rPr>
        <w:t>Averill Master Fund, Ltd. – 5.5% Aaron Cowen – 5.5%</w:t>
      </w:r>
    </w:p>
    <w:p>
      <w:pPr>
        <w:spacing w:after="0" w:line="373" w:lineRule="exact"/>
        <w:rPr>
          <w:rFonts w:ascii="Arial" w:cs="Arial" w:eastAsia="Arial" w:hAnsi="Arial"/>
          <w:sz w:val="18"/>
          <w:szCs w:val="18"/>
          <w:color w:val="auto"/>
        </w:rPr>
      </w:pPr>
    </w:p>
    <w:p>
      <w:pPr>
        <w:ind w:left="1440" w:hanging="665"/>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79" w:lineRule="exact"/>
        <w:rPr>
          <w:rFonts w:ascii="Arial" w:cs="Arial" w:eastAsia="Arial" w:hAnsi="Arial"/>
          <w:sz w:val="18"/>
          <w:szCs w:val="18"/>
          <w:color w:val="auto"/>
        </w:rPr>
      </w:pPr>
    </w:p>
    <w:p>
      <w:pPr>
        <w:ind w:left="2160" w:hanging="724"/>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79"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8"/>
          <w:szCs w:val="18"/>
          <w:color w:val="auto"/>
        </w:rPr>
        <w:t>Suvretta Capital Management, LLC – 0</w:t>
      </w:r>
    </w:p>
    <w:p>
      <w:pPr>
        <w:spacing w:after="0" w:line="49" w:lineRule="exact"/>
        <w:rPr>
          <w:rFonts w:ascii="Arial" w:cs="Arial" w:eastAsia="Arial" w:hAnsi="Arial"/>
          <w:sz w:val="18"/>
          <w:szCs w:val="18"/>
          <w:color w:val="auto"/>
        </w:rPr>
      </w:pPr>
    </w:p>
    <w:p>
      <w:pPr>
        <w:ind w:left="2160" w:right="6560"/>
        <w:spacing w:after="0" w:line="308" w:lineRule="auto"/>
        <w:rPr>
          <w:rFonts w:ascii="Arial" w:cs="Arial" w:eastAsia="Arial" w:hAnsi="Arial"/>
          <w:sz w:val="18"/>
          <w:szCs w:val="18"/>
          <w:color w:val="auto"/>
        </w:rPr>
      </w:pPr>
      <w:r>
        <w:rPr>
          <w:rFonts w:ascii="Arial" w:cs="Arial" w:eastAsia="Arial" w:hAnsi="Arial"/>
          <w:sz w:val="18"/>
          <w:szCs w:val="18"/>
          <w:color w:val="auto"/>
        </w:rPr>
        <w:t>Averill Master Fund, Ltd. – 0 Aaron Cowen – 0</w:t>
      </w:r>
    </w:p>
    <w:p>
      <w:pPr>
        <w:spacing w:after="0" w:line="197" w:lineRule="exact"/>
        <w:rPr>
          <w:rFonts w:ascii="Arial" w:cs="Arial" w:eastAsia="Arial" w:hAnsi="Arial"/>
          <w:sz w:val="18"/>
          <w:szCs w:val="18"/>
          <w:color w:val="auto"/>
        </w:rPr>
      </w:pPr>
    </w:p>
    <w:p>
      <w:pPr>
        <w:ind w:left="2160" w:hanging="724"/>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79" w:lineRule="exact"/>
        <w:rPr>
          <w:rFonts w:ascii="Arial" w:cs="Arial" w:eastAsia="Arial" w:hAnsi="Arial"/>
          <w:sz w:val="18"/>
          <w:szCs w:val="18"/>
          <w:color w:val="auto"/>
        </w:rPr>
      </w:pPr>
    </w:p>
    <w:p>
      <w:pPr>
        <w:ind w:left="2140"/>
        <w:spacing w:after="0"/>
        <w:rPr>
          <w:rFonts w:ascii="Arial" w:cs="Arial" w:eastAsia="Arial" w:hAnsi="Arial"/>
          <w:sz w:val="18"/>
          <w:szCs w:val="18"/>
          <w:color w:val="auto"/>
        </w:rPr>
      </w:pPr>
      <w:r>
        <w:rPr>
          <w:rFonts w:ascii="Arial" w:cs="Arial" w:eastAsia="Arial" w:hAnsi="Arial"/>
          <w:sz w:val="18"/>
          <w:szCs w:val="18"/>
          <w:color w:val="auto"/>
        </w:rPr>
        <w:t>Suvretta Capital Management, LLC – 1,796,918</w:t>
      </w:r>
    </w:p>
    <w:p>
      <w:pPr>
        <w:spacing w:after="0" w:line="49" w:lineRule="exact"/>
        <w:rPr>
          <w:rFonts w:ascii="Arial" w:cs="Arial" w:eastAsia="Arial" w:hAnsi="Arial"/>
          <w:sz w:val="18"/>
          <w:szCs w:val="18"/>
          <w:color w:val="auto"/>
        </w:rPr>
      </w:pPr>
    </w:p>
    <w:p>
      <w:pPr>
        <w:ind w:left="2140" w:right="5960"/>
        <w:spacing w:after="0" w:line="377" w:lineRule="auto"/>
        <w:rPr>
          <w:rFonts w:ascii="Arial" w:cs="Arial" w:eastAsia="Arial" w:hAnsi="Arial"/>
          <w:sz w:val="18"/>
          <w:szCs w:val="18"/>
          <w:color w:val="auto"/>
        </w:rPr>
      </w:pPr>
      <w:r>
        <w:rPr>
          <w:rFonts w:ascii="Arial" w:cs="Arial" w:eastAsia="Arial" w:hAnsi="Arial"/>
          <w:sz w:val="16"/>
          <w:szCs w:val="16"/>
          <w:color w:val="auto"/>
        </w:rPr>
        <w:t>Averill Master Fund, Ltd. – 1,796,918 Aaron Cowen – 1,796,918</w:t>
      </w:r>
    </w:p>
    <w:p>
      <w:pPr>
        <w:spacing w:after="0" w:line="150" w:lineRule="exact"/>
        <w:rPr>
          <w:rFonts w:ascii="Arial" w:cs="Arial" w:eastAsia="Arial" w:hAnsi="Arial"/>
          <w:sz w:val="18"/>
          <w:szCs w:val="18"/>
          <w:color w:val="auto"/>
        </w:rPr>
      </w:pPr>
    </w:p>
    <w:p>
      <w:pPr>
        <w:ind w:left="2160" w:hanging="724"/>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79"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8"/>
          <w:szCs w:val="18"/>
          <w:color w:val="auto"/>
        </w:rPr>
        <w:t>Suvretta Capital Management, LLC – 0</w:t>
      </w:r>
    </w:p>
    <w:p>
      <w:pPr>
        <w:spacing w:after="0" w:line="49" w:lineRule="exact"/>
        <w:rPr>
          <w:rFonts w:ascii="Arial" w:cs="Arial" w:eastAsia="Arial" w:hAnsi="Arial"/>
          <w:sz w:val="18"/>
          <w:szCs w:val="18"/>
          <w:color w:val="auto"/>
        </w:rPr>
      </w:pPr>
    </w:p>
    <w:p>
      <w:pPr>
        <w:ind w:left="2160" w:right="6560"/>
        <w:spacing w:after="0" w:line="308" w:lineRule="auto"/>
        <w:rPr>
          <w:rFonts w:ascii="Arial" w:cs="Arial" w:eastAsia="Arial" w:hAnsi="Arial"/>
          <w:sz w:val="18"/>
          <w:szCs w:val="18"/>
          <w:color w:val="auto"/>
        </w:rPr>
      </w:pPr>
      <w:r>
        <w:rPr>
          <w:rFonts w:ascii="Arial" w:cs="Arial" w:eastAsia="Arial" w:hAnsi="Arial"/>
          <w:sz w:val="18"/>
          <w:szCs w:val="18"/>
          <w:color w:val="auto"/>
        </w:rPr>
        <w:t>Averill Master Fund, Ltd. – 0 Aaron Cowen – 0</w:t>
      </w:r>
    </w:p>
    <w:p>
      <w:pPr>
        <w:spacing w:after="0" w:line="197" w:lineRule="exact"/>
        <w:rPr>
          <w:rFonts w:ascii="Arial" w:cs="Arial" w:eastAsia="Arial" w:hAnsi="Arial"/>
          <w:sz w:val="18"/>
          <w:szCs w:val="18"/>
          <w:color w:val="auto"/>
        </w:rPr>
      </w:pPr>
    </w:p>
    <w:p>
      <w:pPr>
        <w:ind w:left="2160" w:hanging="724"/>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79"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8"/>
          <w:szCs w:val="18"/>
          <w:color w:val="auto"/>
        </w:rPr>
        <w:t>Suvretta Capital Management, LLC – 1,796,918</w:t>
      </w:r>
    </w:p>
    <w:p>
      <w:pPr>
        <w:spacing w:after="0" w:line="49" w:lineRule="exact"/>
        <w:rPr>
          <w:rFonts w:ascii="Arial" w:cs="Arial" w:eastAsia="Arial" w:hAnsi="Arial"/>
          <w:sz w:val="18"/>
          <w:szCs w:val="18"/>
          <w:color w:val="auto"/>
        </w:rPr>
      </w:pPr>
    </w:p>
    <w:p>
      <w:pPr>
        <w:ind w:left="2160" w:right="5940"/>
        <w:spacing w:after="0" w:line="377" w:lineRule="auto"/>
        <w:rPr>
          <w:rFonts w:ascii="Arial" w:cs="Arial" w:eastAsia="Arial" w:hAnsi="Arial"/>
          <w:sz w:val="18"/>
          <w:szCs w:val="18"/>
          <w:color w:val="auto"/>
        </w:rPr>
      </w:pPr>
      <w:r>
        <w:rPr>
          <w:rFonts w:ascii="Arial" w:cs="Arial" w:eastAsia="Arial" w:hAnsi="Arial"/>
          <w:sz w:val="16"/>
          <w:szCs w:val="16"/>
          <w:color w:val="auto"/>
        </w:rPr>
        <w:t>Averill Master Fund, Ltd. – 1,796,918 Aaron Cowen – 1,796,918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-57150</wp:posOffset>
            </wp:positionV>
            <wp:extent cx="5760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-211455</wp:posOffset>
            </wp:positionV>
            <wp:extent cx="57607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-365760</wp:posOffset>
            </wp:positionV>
            <wp:extent cx="57607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-991870</wp:posOffset>
            </wp:positionV>
            <wp:extent cx="57607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-1146175</wp:posOffset>
            </wp:positionV>
            <wp:extent cx="57607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-1300480</wp:posOffset>
            </wp:positionV>
            <wp:extent cx="5760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-1925955</wp:posOffset>
            </wp:positionV>
            <wp:extent cx="5760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-2080260</wp:posOffset>
            </wp:positionV>
            <wp:extent cx="5760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-2234565</wp:posOffset>
            </wp:positionV>
            <wp:extent cx="5760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-2860675</wp:posOffset>
            </wp:positionV>
            <wp:extent cx="57607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-3014980</wp:posOffset>
            </wp:positionV>
            <wp:extent cx="57607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-3169285</wp:posOffset>
            </wp:positionV>
            <wp:extent cx="57607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-4215130</wp:posOffset>
            </wp:positionV>
            <wp:extent cx="62236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-4369435</wp:posOffset>
            </wp:positionV>
            <wp:extent cx="62236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-4523740</wp:posOffset>
            </wp:positionV>
            <wp:extent cx="62236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-5149215</wp:posOffset>
            </wp:positionV>
            <wp:extent cx="6223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-5303520</wp:posOffset>
            </wp:positionV>
            <wp:extent cx="6223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-5457825</wp:posOffset>
            </wp:positionV>
            <wp:extent cx="62236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241935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420" w:top="1178" w:right="639" w:bottom="1440" w:gutter="0" w:footer="0" w:header="0"/>
        </w:sectPr>
      </w:pPr>
    </w:p>
    <w:bookmarkStart w:id="7" w:name="page8"/>
    <w:bookmarkEnd w:id="7"/>
    <w:p>
      <w:pPr>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52" w:lineRule="exact"/>
        <w:rPr>
          <w:sz w:val="20"/>
          <w:szCs w:val="20"/>
          <w:color w:val="auto"/>
        </w:rPr>
      </w:pPr>
    </w:p>
    <w:p>
      <w:pPr>
        <w:ind w:right="220" w:firstLine="725"/>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31750</wp:posOffset>
            </wp:positionV>
            <wp:extent cx="64890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52" w:lineRule="exact"/>
        <w:rPr>
          <w:sz w:val="20"/>
          <w:szCs w:val="20"/>
          <w:color w:val="auto"/>
        </w:rPr>
      </w:pPr>
    </w:p>
    <w:p>
      <w:pPr>
        <w:ind w:right="80" w:firstLine="725"/>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31750</wp:posOffset>
            </wp:positionV>
            <wp:extent cx="6489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52" w:lineRule="exact"/>
        <w:rPr>
          <w:sz w:val="20"/>
          <w:szCs w:val="20"/>
          <w:color w:val="auto"/>
        </w:rPr>
      </w:pPr>
    </w:p>
    <w:p>
      <w:pPr>
        <w:ind w:firstLine="725"/>
        <w:spacing w:after="0" w:line="263" w:lineRule="auto"/>
        <w:rPr>
          <w:sz w:val="20"/>
          <w:szCs w:val="20"/>
          <w:color w:val="auto"/>
        </w:rPr>
      </w:pPr>
      <w:r>
        <w:rPr>
          <w:rFonts w:ascii="Arial" w:cs="Arial" w:eastAsia="Arial" w:hAnsi="Arial"/>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31750</wp:posOffset>
            </wp:positionV>
            <wp:extent cx="64890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right="120" w:firstLine="725"/>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31750</wp:posOffset>
            </wp:positionV>
            <wp:extent cx="64890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right="300" w:firstLine="725"/>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31750</wp:posOffset>
            </wp:positionV>
            <wp:extent cx="64890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52" w:lineRule="exact"/>
        <w:rPr>
          <w:sz w:val="20"/>
          <w:szCs w:val="20"/>
          <w:color w:val="auto"/>
        </w:rPr>
      </w:pPr>
    </w:p>
    <w:p>
      <w:pPr>
        <w:ind w:left="1480" w:hanging="462"/>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79" w:lineRule="exact"/>
        <w:rPr>
          <w:rFonts w:ascii="Arial" w:cs="Arial" w:eastAsia="Arial" w:hAnsi="Arial"/>
          <w:sz w:val="18"/>
          <w:szCs w:val="18"/>
          <w:color w:val="auto"/>
        </w:rPr>
      </w:pPr>
    </w:p>
    <w:p>
      <w:pPr>
        <w:ind w:left="1480" w:right="20"/>
        <w:spacing w:after="0" w:line="259"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144780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420" w:top="1178" w:right="4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August 10, 2021</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4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Suvretta Capital Management, LLC*</w:t>
      </w:r>
    </w:p>
    <w:p>
      <w:pPr>
        <w:spacing w:after="0" w:line="27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Authorized Signatory</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Averill Master Fund, Ltd.*</w:t>
      </w:r>
    </w:p>
    <w:p>
      <w:pPr>
        <w:spacing w:after="0" w:line="252"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Director</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1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*Each Reporting Person disclaims beneficial ownership over the securities reported herein except to the extent of its pecuniary interest therein.</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1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undersigned agree that this Schedule 13G dated August 10, 2021 relating to the Common Stock, par value $0.001 per share of Fulcrum Therapeutics, Inc. shall be filed on behalf of the undersigned.</w:t>
      </w:r>
    </w:p>
    <w:p>
      <w:pPr>
        <w:spacing w:after="0" w:line="17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August 10, 2021</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Suvretta Capital Management, LLC</w:t>
      </w:r>
    </w:p>
    <w:p>
      <w:pPr>
        <w:spacing w:after="0" w:line="27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Authorized Signatory</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Averill Master Fund, Ltd.</w:t>
      </w:r>
    </w:p>
    <w:p>
      <w:pPr>
        <w:spacing w:after="0" w:line="252"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Director</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1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487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Aaron Cowen has beneficial ownership by virtue of his role as a control person of Suvretta Capital Management, LLC.</w:t>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5"/>
    </w:lvl>
  </w:abstractNum>
  <w:abstractNum w:abstractNumId="4">
    <w:nsid w:val="216231B"/>
    <w:multiLevelType w:val="hybridMultilevel"/>
    <w:lvl w:ilvl="0">
      <w:lvlJc w:val="left"/>
      <w:lvlText w:val="%1."/>
      <w:numFmt w:val="decimal"/>
      <w:start w:val="1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3"/>
    </w:lvl>
  </w:abstractNum>
  <w:abstractNum w:abstractNumId="11">
    <w:nsid w:val="DED7263"/>
    <w:multiLevelType w:val="hybridMultilevel"/>
    <w:lvl w:ilvl="0">
      <w:lvlJc w:val="left"/>
      <w:lvlText w:val="%1."/>
      <w:numFmt w:val="decimal"/>
      <w:start w:val="5"/>
    </w:lvl>
  </w:abstractNum>
  <w:abstractNum w:abstractNumId="12">
    <w:nsid w:val="7FDCC233"/>
    <w:multiLevelType w:val="hybridMultilevel"/>
    <w:lvl w:ilvl="0">
      <w:lvlJc w:val="left"/>
      <w:lvlText w:val="%1."/>
      <w:numFmt w:val="decimal"/>
      <w:start w:val="1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lvl w:ilvl="1">
      <w:lvlJc w:val="left"/>
      <w:lvlText w:val="(%2)"/>
      <w:numFmt w:val="lowerRoman"/>
      <w:start w:val="1"/>
    </w:lvl>
  </w:abstractNum>
  <w:abstractNum w:abstractNumId="15">
    <w:nsid w:val="6B68079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2021-08-10T16:16:45Z</dcterms:created>
  <dcterms:modified xsi:type="dcterms:W3CDTF">2021-08-10T16:16:45Z</dcterms:modified>
</cp:coreProperties>
</file>