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Stuart Bryan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FULCRUM THERAPEUTICS,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29"/>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01/23/2020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Operating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16.87</w:t>
            </w:r>
          </w:p>
        </w:tc>
        <w:tc>
          <w:tcPr>
            <w:tcW w:w="1100" w:type="dxa"/>
            <w:vAlign w:val="bottom"/>
          </w:tcPr>
          <w:p>
            <w:pPr>
              <w:ind w:left="260"/>
              <w:spacing w:after="0"/>
              <w:rPr>
                <w:sz w:val="20"/>
                <w:szCs w:val="20"/>
                <w:color w:val="auto"/>
              </w:rPr>
            </w:pPr>
            <w:r>
              <w:rPr>
                <w:rFonts w:ascii="Arial" w:cs="Arial" w:eastAsia="Arial" w:hAnsi="Arial"/>
                <w:sz w:val="13"/>
                <w:szCs w:val="13"/>
                <w:color w:val="0000FF"/>
              </w:rPr>
              <w:t>01/23/2020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105,000</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01/22/2030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This option was granted on January 23, 2020 and is scheduled to vest in equal quarterly installments over four years beginning on the vesting commencement date of January 1, 2020, subject to continued service.</w:t>
      </w:r>
    </w:p>
    <w:p>
      <w:pPr>
        <w:sectPr>
          <w:pgSz w:w="11900" w:h="16838" w:orient="portrait"/>
          <w:cols w:equalWidth="0" w:num="1">
            <w:col w:w="11520"/>
          </w:cols>
          <w:pgMar w:left="240" w:top="224" w:right="13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Bryan Stuart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021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5"/>
          <w:szCs w:val="15"/>
          <w:color w:val="0000FF"/>
        </w:rPr>
        <w:t>01/27/2020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9" w:lineRule="exact"/>
        <w:rPr>
          <w:sz w:val="24"/>
          <w:szCs w:val="24"/>
          <w:color w:val="auto"/>
        </w:rPr>
      </w:pPr>
    </w:p>
    <w:p>
      <w:pPr>
        <w:sectPr>
          <w:pgSz w:w="11900" w:h="16838" w:orient="portrait"/>
          <w:cols w:equalWidth="0" w:num="2">
            <w:col w:w="9000" w:space="14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98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2020-01-27T15:33:45Z</dcterms:created>
  <dcterms:modified xsi:type="dcterms:W3CDTF">2020-01-27T15:33:45Z</dcterms:modified>
</cp:coreProperties>
</file>