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February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hanging="6"/>
        <w:spacing w:after="0" w:line="241"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12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36" w:lineRule="exact"/>
        <w:rPr>
          <w:sz w:val="24"/>
          <w:szCs w:val="24"/>
          <w:color w:val="auto"/>
        </w:rPr>
      </w:pPr>
    </w:p>
    <w:p>
      <w:pPr>
        <w:jc w:val="both"/>
        <w:ind w:right="100" w:firstLine="648"/>
        <w:spacing w:after="0" w:line="254"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4" w:lineRule="exact"/>
        <w:rPr>
          <w:sz w:val="24"/>
          <w:szCs w:val="24"/>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306" w:right="599" w:bottom="1440" w:gutter="0" w:footer="0" w:header="0"/>
        </w:sectPr>
      </w:pPr>
    </w:p>
    <w:bookmarkStart w:id="1" w:name="page2"/>
    <w:bookmarkEnd w:id="1"/>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8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2"/>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3"/>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3,470,547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4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4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6"/>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5"/>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3,470,547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3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326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8"/>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8"/>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9"/>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3,470,547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4" w:name="page5"/>
    <w:bookmarkEnd w:id="4"/>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1"/>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3,470,547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5" w:name="page6"/>
    <w:bookmarkEnd w:id="5"/>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74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1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15"/>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ind w:left="600"/>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3,470,547</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3,470,547</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6" w:name="page7"/>
    <w:bookmarkEnd w:id="6"/>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12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NAME OF ISSUER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name of the issuer is Fulcrum Therapeutics,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ADDRESS OF ISSUER’S PRINCIPAL EXECUTIVE OFFICES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26 Landsdowne Street, Cambridge, Massachusetts 02139.</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29" w:lineRule="exact"/>
        <w:rPr>
          <w:sz w:val="20"/>
          <w:szCs w:val="20"/>
          <w:color w:val="auto"/>
        </w:rPr>
      </w:pPr>
    </w:p>
    <w:p>
      <w:pPr>
        <w:ind w:left="2600" w:right="500" w:hanging="801"/>
        <w:spacing w:after="0" w:line="269"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 Delaware limited partnership (“</w:t>
      </w:r>
      <w:r>
        <w:rPr>
          <w:rFonts w:ascii="Times New Roman" w:cs="Times New Roman" w:eastAsia="Times New Roman" w:hAnsi="Times New Roman"/>
          <w:sz w:val="20"/>
          <w:szCs w:val="20"/>
          <w:u w:val="single" w:color="auto"/>
          <w:color w:val="auto"/>
        </w:rPr>
        <w:t>ACP</w:t>
      </w:r>
      <w:r>
        <w:rPr>
          <w:rFonts w:ascii="Times New Roman" w:cs="Times New Roman" w:eastAsia="Times New Roman" w:hAnsi="Times New Roman"/>
          <w:sz w:val="20"/>
          <w:szCs w:val="20"/>
          <w:color w:val="auto"/>
        </w:rPr>
        <w:t>”) with respect to the Common Stock directly owned by it;</w:t>
      </w:r>
    </w:p>
    <w:p>
      <w:pPr>
        <w:spacing w:after="0" w:line="172" w:lineRule="exact"/>
        <w:rPr>
          <w:rFonts w:ascii="Times New Roman" w:cs="Times New Roman" w:eastAsia="Times New Roman" w:hAnsi="Times New Roman"/>
          <w:sz w:val="20"/>
          <w:szCs w:val="20"/>
          <w:color w:val="auto"/>
        </w:rPr>
      </w:pPr>
    </w:p>
    <w:p>
      <w:pPr>
        <w:ind w:left="2600" w:right="160" w:hanging="801"/>
        <w:spacing w:after="0" w:line="295" w:lineRule="auto"/>
        <w:tabs>
          <w:tab w:leader="none" w:pos="26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Adage Capital Partners GP, L.L.C., a limited liability company organized under the laws of the State of Delaware (“</w:t>
      </w:r>
      <w:r>
        <w:rPr>
          <w:rFonts w:ascii="Times New Roman" w:cs="Times New Roman" w:eastAsia="Times New Roman" w:hAnsi="Times New Roman"/>
          <w:sz w:val="19"/>
          <w:szCs w:val="19"/>
          <w:u w:val="single" w:color="auto"/>
          <w:color w:val="auto"/>
        </w:rPr>
        <w:t>ACPGP</w:t>
      </w:r>
      <w:r>
        <w:rPr>
          <w:rFonts w:ascii="Times New Roman" w:cs="Times New Roman" w:eastAsia="Times New Roman" w:hAnsi="Times New Roman"/>
          <w:sz w:val="19"/>
          <w:szCs w:val="19"/>
          <w:color w:val="auto"/>
        </w:rPr>
        <w:t>”), as general partner of ACP with respect to the Common Stock directly owned by ACP;</w:t>
      </w:r>
    </w:p>
    <w:p>
      <w:pPr>
        <w:spacing w:after="0" w:line="151" w:lineRule="exact"/>
        <w:rPr>
          <w:rFonts w:ascii="Times New Roman" w:cs="Times New Roman" w:eastAsia="Times New Roman" w:hAnsi="Times New Roman"/>
          <w:sz w:val="19"/>
          <w:szCs w:val="19"/>
          <w:color w:val="auto"/>
        </w:rPr>
      </w:pPr>
    </w:p>
    <w:p>
      <w:pPr>
        <w:ind w:left="2600" w:right="360" w:hanging="801"/>
        <w:spacing w:after="0" w:line="254"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Advisors, L.L.C., a limited liability company organized under the laws of the State of Delaware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as managing member of ACPGP, general partner of ACP, with respect to the Common Stock directly owned by ACP;</w:t>
      </w:r>
    </w:p>
    <w:p>
      <w:pPr>
        <w:spacing w:after="0" w:line="187" w:lineRule="exact"/>
        <w:rPr>
          <w:rFonts w:ascii="Times New Roman" w:cs="Times New Roman" w:eastAsia="Times New Roman" w:hAnsi="Times New Roman"/>
          <w:sz w:val="20"/>
          <w:szCs w:val="20"/>
          <w:color w:val="auto"/>
        </w:rPr>
      </w:pPr>
    </w:p>
    <w:p>
      <w:pPr>
        <w:ind w:left="2600" w:right="300" w:hanging="801"/>
        <w:spacing w:after="0" w:line="269"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w:t>
      </w:r>
      <w:r>
        <w:rPr>
          <w:rFonts w:ascii="Times New Roman" w:cs="Times New Roman" w:eastAsia="Times New Roman" w:hAnsi="Times New Roman"/>
          <w:sz w:val="20"/>
          <w:szCs w:val="20"/>
          <w:u w:val="single" w:color="auto"/>
          <w:color w:val="auto"/>
        </w:rPr>
        <w:t>Mr. Atchinson</w:t>
      </w:r>
      <w:r>
        <w:rPr>
          <w:rFonts w:ascii="Times New Roman" w:cs="Times New Roman" w:eastAsia="Times New Roman" w:hAnsi="Times New Roman"/>
          <w:sz w:val="20"/>
          <w:szCs w:val="20"/>
          <w:color w:val="auto"/>
        </w:rPr>
        <w:t>”), as managing member of ACA, managing member of ACPGP, general partner of ACP with respect to the Common Stock directly owned by ACP; and</w:t>
      </w:r>
    </w:p>
    <w:p>
      <w:pPr>
        <w:spacing w:after="0" w:line="172" w:lineRule="exact"/>
        <w:rPr>
          <w:rFonts w:ascii="Times New Roman" w:cs="Times New Roman" w:eastAsia="Times New Roman" w:hAnsi="Times New Roman"/>
          <w:sz w:val="20"/>
          <w:szCs w:val="20"/>
          <w:color w:val="auto"/>
        </w:rPr>
      </w:pPr>
    </w:p>
    <w:p>
      <w:pPr>
        <w:ind w:left="2600" w:right="200" w:hanging="801"/>
        <w:spacing w:after="0" w:line="269"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Phillip Gross (“</w:t>
      </w:r>
      <w:r>
        <w:rPr>
          <w:rFonts w:ascii="Times New Roman" w:cs="Times New Roman" w:eastAsia="Times New Roman" w:hAnsi="Times New Roman"/>
          <w:sz w:val="20"/>
          <w:szCs w:val="20"/>
          <w:u w:val="single" w:color="auto"/>
          <w:color w:val="auto"/>
        </w:rPr>
        <w:t>Mr. Gross</w:t>
      </w:r>
      <w:r>
        <w:rPr>
          <w:rFonts w:ascii="Times New Roman" w:cs="Times New Roman" w:eastAsia="Times New Roman" w:hAnsi="Times New Roman"/>
          <w:sz w:val="20"/>
          <w:szCs w:val="20"/>
          <w:color w:val="auto"/>
        </w:rPr>
        <w:t>”), as managing member of ACA, managing member of ACPGP, general partner of ACP with respect to the Common Stock directly owned by ACP.</w:t>
      </w:r>
    </w:p>
    <w:p>
      <w:pPr>
        <w:spacing w:after="0" w:line="173" w:lineRule="exact"/>
        <w:rPr>
          <w:sz w:val="20"/>
          <w:szCs w:val="20"/>
          <w:color w:val="auto"/>
        </w:rPr>
      </w:pPr>
    </w:p>
    <w:p>
      <w:pPr>
        <w:ind w:left="1800" w:right="120"/>
        <w:spacing w:after="0" w:line="254" w:lineRule="auto"/>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Any disclosures herein with respect to persons other than the Reporting Persons are made on information and belief after making inquiry to the appropriate party.</w:t>
      </w:r>
    </w:p>
    <w:p>
      <w:pPr>
        <w:spacing w:after="0" w:line="188" w:lineRule="exact"/>
        <w:rPr>
          <w:sz w:val="20"/>
          <w:szCs w:val="20"/>
          <w:color w:val="auto"/>
        </w:rPr>
      </w:pPr>
    </w:p>
    <w:p>
      <w:pPr>
        <w:ind w:left="1800" w:right="44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 beneficial ownership of the securities reported herein.</w:t>
      </w:r>
    </w:p>
    <w:p>
      <w:pPr>
        <w:spacing w:after="0" w:line="169"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33" w:lineRule="exact"/>
        <w:rPr>
          <w:sz w:val="20"/>
          <w:szCs w:val="20"/>
          <w:color w:val="auto"/>
        </w:rPr>
      </w:pPr>
    </w:p>
    <w:p>
      <w:pPr>
        <w:ind w:left="1800" w:right="540"/>
        <w:spacing w:after="0" w:line="269"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12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2(c).</w:t>
      </w:r>
      <w:r>
        <w:rPr>
          <w:sz w:val="20"/>
          <w:szCs w:val="20"/>
          <w:color w:val="auto"/>
        </w:rPr>
        <w:tab/>
      </w:r>
      <w:r>
        <w:rPr>
          <w:rFonts w:ascii="Times New Roman" w:cs="Times New Roman" w:eastAsia="Times New Roman" w:hAnsi="Times New Roman"/>
          <w:sz w:val="19"/>
          <w:szCs w:val="19"/>
          <w:b w:val="1"/>
          <w:bCs w:val="1"/>
          <w:color w:val="auto"/>
        </w:rPr>
        <w:t>CITIZENSHIP</w:t>
      </w:r>
    </w:p>
    <w:p>
      <w:pPr>
        <w:spacing w:after="0" w:line="233" w:lineRule="exact"/>
        <w:rPr>
          <w:sz w:val="20"/>
          <w:szCs w:val="20"/>
          <w:color w:val="auto"/>
        </w:rPr>
      </w:pPr>
    </w:p>
    <w:p>
      <w:pPr>
        <w:ind w:left="1800" w:right="300"/>
        <w:spacing w:after="0" w:line="254" w:lineRule="auto"/>
        <w:rPr>
          <w:sz w:val="20"/>
          <w:szCs w:val="20"/>
          <w:color w:val="auto"/>
        </w:rPr>
      </w:pPr>
      <w:r>
        <w:rPr>
          <w:rFonts w:ascii="Times New Roman" w:cs="Times New Roman" w:eastAsia="Times New Roman" w:hAnsi="Times New Roman"/>
          <w:sz w:val="20"/>
          <w:szCs w:val="20"/>
          <w:color w:val="auto"/>
        </w:rPr>
        <w:t>ACP is a limited partnership organized under the laws of the State of Delaware. ACPGP and ACA are limited liability companies organized under the laws of the State of Delaware. Messrs. Gross and Atchinson are citizens of the United States.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rPr>
              <w:t>Common stock, par value $0.001 per share (the “Common Stock”).</w:t>
            </w:r>
          </w:p>
        </w:tc>
      </w:tr>
      <w:tr>
        <w:trPr>
          <w:trHeight w:val="48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24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359616109</w:t>
            </w:r>
          </w:p>
        </w:tc>
        <w:tc>
          <w:tcPr>
            <w:tcW w:w="2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w w:val="98"/>
              </w:rPr>
              <w:t>IF THIS STATEMENT IS FILED PURSUANT TO Rules 13d-1(b), OR 13d-2(b) OR (c), CHECK WHETHER</w:t>
            </w:r>
          </w:p>
        </w:tc>
      </w:tr>
      <w:tr>
        <w:trPr>
          <w:trHeight w:val="262"/>
        </w:trPr>
        <w:tc>
          <w:tcPr>
            <w:tcW w:w="1260" w:type="dxa"/>
            <w:vAlign w:val="bottom"/>
          </w:tcPr>
          <w:p>
            <w:pPr>
              <w:spacing w:after="0"/>
              <w:rPr>
                <w:sz w:val="22"/>
                <w:szCs w:val="22"/>
                <w:color w:val="auto"/>
              </w:rPr>
            </w:pPr>
          </w:p>
        </w:tc>
        <w:tc>
          <w:tcPr>
            <w:tcW w:w="97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r>
      <w:tr>
        <w:trPr>
          <w:trHeight w:val="492"/>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Broker or dealer registered under Section 15 of the Act;</w:t>
            </w:r>
          </w:p>
        </w:tc>
      </w:tr>
      <w:tr>
        <w:trPr>
          <w:trHeight w:val="446"/>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Bank as defined in Section 3(a)(6) of the Act;</w:t>
            </w:r>
          </w:p>
        </w:tc>
      </w:tr>
      <w:tr>
        <w:trPr>
          <w:trHeight w:val="446"/>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Insurance company as defined in Section 3(a)(19) of the Act;</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(d)</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Investment company registered under Section 8 of the Investment Company Act of 1940;</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An investment adviser in accordance with Rule 13d-1(b)(1)(ii)(E);</w:t>
            </w:r>
          </w:p>
        </w:tc>
      </w:tr>
      <w:tr>
        <w:trPr>
          <w:trHeight w:val="446"/>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 parent holding company or control person in accordance with Rule 13d-1(b)(1)(ii)(G);</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(h)</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 savings association as defined in Section 3(b) of the Federal Deposit Insurance Act;</w:t>
            </w:r>
          </w:p>
        </w:tc>
      </w:tr>
      <w:tr>
        <w:trPr>
          <w:trHeight w:val="397"/>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 church plan that is excluded from the definition of an investment company under Section 3(c)(14)</w:t>
            </w:r>
          </w:p>
        </w:tc>
      </w:tr>
      <w:tr>
        <w:trPr>
          <w:trHeight w:val="258"/>
        </w:trPr>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of the Investment Company Act;</w:t>
            </w:r>
          </w:p>
        </w:tc>
      </w:tr>
      <w:tr>
        <w:trPr>
          <w:trHeight w:val="493"/>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(j)</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 non-U.S. institution in accordance with Rule 13d-1(b)(1)(ii)(J);</w:t>
            </w:r>
          </w:p>
        </w:tc>
      </w:tr>
      <w:tr>
        <w:trPr>
          <w:trHeight w:val="445"/>
        </w:trPr>
        <w:tc>
          <w:tcPr>
            <w:tcW w:w="126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(k)</w:t>
            </w:r>
          </w:p>
        </w:tc>
        <w:tc>
          <w:tcPr>
            <w:tcW w:w="600" w:type="dxa"/>
            <w:vAlign w:val="bottom"/>
          </w:tcPr>
          <w:p>
            <w:pPr>
              <w:ind w:left="260"/>
              <w:spacing w:after="0" w:line="201" w:lineRule="exact"/>
              <w:rPr>
                <w:sz w:val="20"/>
                <w:szCs w:val="20"/>
                <w:color w:val="auto"/>
              </w:rPr>
            </w:pPr>
            <w:r>
              <w:rPr>
                <w:rFonts w:ascii="MS PGothic" w:cs="MS PGothic" w:eastAsia="MS PGothic" w:hAnsi="MS PGothic"/>
                <w:sz w:val="20"/>
                <w:szCs w:val="20"/>
                <w:color w:val="auto"/>
              </w:rPr>
              <w:t>☐</w:t>
            </w:r>
          </w:p>
        </w:tc>
        <w:tc>
          <w:tcPr>
            <w:tcW w:w="8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Group, in accordance with Rule 13d-1(b)(1)(ii)(K).</w:t>
            </w:r>
          </w:p>
        </w:tc>
      </w:tr>
    </w:tbl>
    <w:p>
      <w:pPr>
        <w:spacing w:after="0" w:line="16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 xml:space="preserve">If filing as a non-U.S. institution in accordance with Rule 13d-1(b)(1)(ii)(J), please specify the type of institution: </w:t>
      </w:r>
      <w:r>
        <w:rPr>
          <w:rFonts w:ascii="Times New Roman" w:cs="Times New Roman" w:eastAsia="Times New Roman" w:hAnsi="Times New Roman"/>
          <w:sz w:val="20"/>
          <w:szCs w:val="20"/>
          <w:u w:val="single" w:color="auto"/>
          <w:color w:val="auto"/>
        </w:rPr>
        <w:t>Not applicable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12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700" w:hanging="792"/>
        <w:spacing w:after="0"/>
        <w:tabs>
          <w:tab w:leader="none" w:pos="1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Adage Capital Partners GP, L.L.C. and Adage Capital Advisors, L.L.C.</w:t>
      </w:r>
    </w:p>
    <w:p>
      <w:pPr>
        <w:spacing w:after="0" w:line="21" w:lineRule="exact"/>
        <w:rPr>
          <w:rFonts w:ascii="Times New Roman" w:cs="Times New Roman" w:eastAsia="Times New Roman" w:hAnsi="Times New Roman"/>
          <w:sz w:val="20"/>
          <w:szCs w:val="20"/>
          <w:color w:val="auto"/>
        </w:rPr>
      </w:pPr>
    </w:p>
    <w:p>
      <w:pPr>
        <w:ind w:left="2820" w:hanging="1116"/>
        <w:spacing w:after="0"/>
        <w:tabs>
          <w:tab w:leader="none" w:pos="28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3,470,547</w:t>
      </w:r>
    </w:p>
    <w:p>
      <w:pPr>
        <w:ind w:left="2820" w:right="460" w:hanging="1116"/>
        <w:spacing w:after="0" w:line="239" w:lineRule="auto"/>
        <w:tabs>
          <w:tab w:leader="none" w:pos="282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5.63%. The percentage set forth in this Schedule 13G is calculated based upon, 61,665,297 shares of Common Stock reported to be outstanding in the Company’s Prospectus filed pursuant to Rule 424(b)(5) with the Securities and Exchange Commission on January 18, 2023, after giving effect to the completion of the offering, as described therein.</w:t>
      </w:r>
    </w:p>
    <w:p>
      <w:pPr>
        <w:spacing w:after="0" w:line="1"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Sole power to vote or direct the vote: 0</w:t>
      </w:r>
    </w:p>
    <w:p>
      <w:pPr>
        <w:ind w:left="2820" w:hanging="562"/>
        <w:spacing w:after="0"/>
        <w:tabs>
          <w:tab w:leader="none" w:pos="2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3,470,547</w:t>
      </w:r>
    </w:p>
    <w:p>
      <w:pPr>
        <w:ind w:left="2820" w:hanging="562"/>
        <w:spacing w:after="0"/>
        <w:tabs>
          <w:tab w:leader="none" w:pos="2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820" w:hanging="562"/>
        <w:spacing w:after="0"/>
        <w:tabs>
          <w:tab w:leader="none" w:pos="282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3,470,547</w:t>
      </w:r>
    </w:p>
    <w:p>
      <w:pPr>
        <w:spacing w:after="0" w:line="207" w:lineRule="exact"/>
        <w:rPr>
          <w:sz w:val="20"/>
          <w:szCs w:val="20"/>
          <w:color w:val="auto"/>
        </w:rPr>
      </w:pPr>
    </w:p>
    <w:p>
      <w:pPr>
        <w:jc w:val="both"/>
        <w:ind w:left="120" w:right="140"/>
        <w:spacing w:after="0" w:line="249" w:lineRule="auto"/>
        <w:rPr>
          <w:sz w:val="20"/>
          <w:szCs w:val="20"/>
          <w:color w:val="auto"/>
        </w:rPr>
      </w:pPr>
      <w:r>
        <w:rPr>
          <w:rFonts w:ascii="Times New Roman" w:cs="Times New Roman" w:eastAsia="Times New Roman" w:hAnsi="Times New Roman"/>
          <w:sz w:val="20"/>
          <w:szCs w:val="20"/>
          <w:color w:val="auto"/>
        </w:rPr>
        <w:t>ACP has the power to dispose of and the power to vote the Common Stock beneficially owned by it, which power may be exercised by its general partner, ACPGP. ACA, as managing member of ACPGP, directs ACPGP’s operations. Neither ACPGP nor ACA directly own any Common Stock. By reason of the provisions of Rule 13d-3 of the Securities Exchange Act of 1934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ACPGP and ACA may be deemed to beneficially own the shares owned by ACP.</w:t>
      </w:r>
    </w:p>
    <w:p>
      <w:pPr>
        <w:spacing w:after="0" w:line="193" w:lineRule="exact"/>
        <w:rPr>
          <w:sz w:val="20"/>
          <w:szCs w:val="20"/>
          <w:color w:val="auto"/>
        </w:rPr>
      </w:pPr>
    </w:p>
    <w:p>
      <w:pPr>
        <w:ind w:left="1700" w:hanging="792"/>
        <w:spacing w:after="0"/>
        <w:tabs>
          <w:tab w:leader="none" w:pos="17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and Phillip Gross</w:t>
      </w:r>
    </w:p>
    <w:p>
      <w:pPr>
        <w:spacing w:after="0" w:line="21" w:lineRule="exact"/>
        <w:rPr>
          <w:rFonts w:ascii="Times New Roman" w:cs="Times New Roman" w:eastAsia="Times New Roman" w:hAnsi="Times New Roman"/>
          <w:sz w:val="20"/>
          <w:szCs w:val="20"/>
          <w:color w:val="auto"/>
        </w:rPr>
      </w:pPr>
    </w:p>
    <w:p>
      <w:pPr>
        <w:ind w:left="2260" w:hanging="556"/>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3,470,547</w:t>
      </w:r>
    </w:p>
    <w:p>
      <w:pPr>
        <w:ind w:left="2260" w:hanging="556"/>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5.63%</w:t>
      </w:r>
    </w:p>
    <w:p>
      <w:pPr>
        <w:ind w:left="2260" w:hanging="556"/>
        <w:spacing w:after="0"/>
        <w:tabs>
          <w:tab w:leader="none" w:pos="22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2920" w:hanging="668"/>
        <w:spacing w:after="0"/>
        <w:tabs>
          <w:tab w:leader="none" w:pos="292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3,470,547</w:t>
      </w:r>
    </w:p>
    <w:p>
      <w:pPr>
        <w:ind w:left="2920" w:hanging="668"/>
        <w:spacing w:after="0"/>
        <w:tabs>
          <w:tab w:leader="none" w:pos="292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2920" w:hanging="668"/>
        <w:spacing w:after="0"/>
        <w:tabs>
          <w:tab w:leader="none" w:pos="292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3,470,547</w:t>
      </w:r>
    </w:p>
    <w:p>
      <w:pPr>
        <w:spacing w:after="0" w:line="207" w:lineRule="exact"/>
        <w:rPr>
          <w:sz w:val="20"/>
          <w:szCs w:val="20"/>
          <w:color w:val="auto"/>
        </w:rPr>
      </w:pPr>
    </w:p>
    <w:p>
      <w:pPr>
        <w:ind w:left="120" w:right="480"/>
        <w:spacing w:after="0" w:line="254" w:lineRule="auto"/>
        <w:rPr>
          <w:sz w:val="20"/>
          <w:szCs w:val="20"/>
          <w:color w:val="auto"/>
        </w:rPr>
      </w:pPr>
      <w:r>
        <w:rPr>
          <w:rFonts w:ascii="Times New Roman" w:cs="Times New Roman" w:eastAsia="Times New Roman" w:hAnsi="Times New Roman"/>
          <w:sz w:val="20"/>
          <w:szCs w:val="20"/>
          <w:color w:val="auto"/>
        </w:rPr>
        <w:t>Messrs. Atchinson and Gross, as managing members of ACA, have shared power to vote the Common Stock beneficially owned by ACP. Neither Mr. Atchinson nor Mr. Gross directly own any Common Stock. By reason of the provisions of Rule 13d-3 of the Act, each may be deemed to beneficially own the shares beneficially owned by ACP.</w:t>
      </w:r>
    </w:p>
    <w:p>
      <w:pPr>
        <w:spacing w:after="0" w:line="184"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800" w:right="100" w:hanging="1686"/>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4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10 of 12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10" w:name="page11"/>
    <w:bookmarkEnd w:id="10"/>
    <w:p>
      <w:pPr>
        <w:spacing w:after="0"/>
        <w:tabs>
          <w:tab w:leader="none" w:pos="54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12 Pages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6,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p>
      <w:pPr>
        <w:sectPr>
          <w:pgSz w:w="11900" w:h="16838" w:orient="portrait"/>
          <w:cols w:equalWidth="0" w:num="1">
            <w:col w:w="11240"/>
          </w:cols>
          <w:pgMar w:left="320" w:top="225" w:right="339" w:bottom="1440" w:gutter="0" w:footer="0" w:header="0"/>
        </w:sectPr>
      </w:pPr>
    </w:p>
    <w:bookmarkStart w:id="11" w:name="page12"/>
    <w:bookmarkEnd w:id="11"/>
    <w:p>
      <w:pPr>
        <w:spacing w:after="0"/>
        <w:tabs>
          <w:tab w:leader="none" w:pos="5460" w:val="left"/>
          <w:tab w:leader="none" w:pos="972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12 of 12 Pages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6,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3"/>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8">
    <w:nsid w:val="7C83E45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2023-03-06T18:10:16Z</dcterms:created>
  <dcterms:modified xsi:type="dcterms:W3CDTF">2023-03-06T18:10:16Z</dcterms:modified>
</cp:coreProperties>
</file>