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February 24, 2026</w:t>
      </w:r>
    </w:p>
    <w:p>
      <w:pPr>
        <w:spacing w:after="0" w:line="32"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710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6710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39"/>
        <w:spacing w:after="0" w:line="231"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210820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1"/>
          <w:szCs w:val="41"/>
          <w:b w:val="1"/>
          <w:bCs w:val="1"/>
          <w:color w:val="auto"/>
        </w:rPr>
        <w:t>FULCRUM THERAPEUTICS, INC.</w:t>
      </w:r>
    </w:p>
    <w:p>
      <w:pPr>
        <w:spacing w:after="0" w:line="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228600</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tbl>
      <w:tblPr>
        <w:tblLayout w:type="fixed"/>
        <w:tblInd w:w="1480" w:type="dxa"/>
        <w:tblCellMar>
          <w:top w:w="0" w:type="dxa"/>
          <w:left w:w="0" w:type="dxa"/>
          <w:bottom w:w="0" w:type="dxa"/>
          <w:right w:w="0" w:type="dxa"/>
        </w:tblCellMar>
      </w:tblPr>
      <w:tr>
        <w:trPr>
          <w:trHeight w:val="203"/>
        </w:trPr>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4640" w:type="dxa"/>
            <w:vAlign w:val="bottom"/>
          </w:tcPr>
          <w:p>
            <w:pPr>
              <w:jc w:val="right"/>
              <w:ind w:right="42"/>
              <w:spacing w:after="0"/>
              <w:rPr>
                <w:sz w:val="20"/>
                <w:szCs w:val="20"/>
                <w:color w:val="auto"/>
              </w:rPr>
            </w:pPr>
            <w:r>
              <w:rPr>
                <w:rFonts w:ascii="Times New Roman" w:cs="Times New Roman" w:eastAsia="Times New Roman" w:hAnsi="Times New Roman"/>
                <w:sz w:val="17"/>
                <w:szCs w:val="17"/>
                <w:b w:val="1"/>
                <w:bCs w:val="1"/>
                <w:color w:val="auto"/>
              </w:rPr>
              <w:t>47-4839948</w:t>
            </w:r>
          </w:p>
        </w:tc>
      </w:tr>
      <w:tr>
        <w:trPr>
          <w:trHeight w:val="142"/>
        </w:trPr>
        <w:tc>
          <w:tcPr>
            <w:tcW w:w="24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4640" w:type="dxa"/>
            <w:vAlign w:val="bottom"/>
          </w:tcPr>
          <w:p>
            <w:pPr>
              <w:jc w:val="center"/>
              <w:ind w:left="3482"/>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4640" w:type="dxa"/>
            <w:vAlign w:val="bottom"/>
          </w:tcPr>
          <w:p>
            <w:pPr>
              <w:jc w:val="center"/>
              <w:ind w:left="3482"/>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91"/>
        </w:trPr>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26 Landsdowne Street</w:t>
            </w:r>
          </w:p>
        </w:tc>
        <w:tc>
          <w:tcPr>
            <w:tcW w:w="4640" w:type="dxa"/>
            <w:vAlign w:val="bottom"/>
          </w:tcPr>
          <w:p>
            <w:pPr>
              <w:spacing w:after="0"/>
              <w:rPr>
                <w:sz w:val="24"/>
                <w:szCs w:val="24"/>
                <w:color w:val="auto"/>
              </w:rPr>
            </w:pPr>
          </w:p>
        </w:tc>
      </w:tr>
      <w:tr>
        <w:trPr>
          <w:trHeight w:val="216"/>
        </w:trPr>
        <w:tc>
          <w:tcPr>
            <w:tcW w:w="2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Cambridge, Massachusetts</w:t>
            </w:r>
          </w:p>
        </w:tc>
        <w:tc>
          <w:tcPr>
            <w:tcW w:w="4640" w:type="dxa"/>
            <w:vAlign w:val="bottom"/>
          </w:tcPr>
          <w:p>
            <w:pPr>
              <w:jc w:val="right"/>
              <w:ind w:right="242"/>
              <w:spacing w:after="0"/>
              <w:rPr>
                <w:sz w:val="20"/>
                <w:szCs w:val="20"/>
                <w:color w:val="auto"/>
              </w:rPr>
            </w:pPr>
            <w:r>
              <w:rPr>
                <w:rFonts w:ascii="Times New Roman" w:cs="Times New Roman" w:eastAsia="Times New Roman" w:hAnsi="Times New Roman"/>
                <w:sz w:val="17"/>
                <w:szCs w:val="17"/>
                <w:b w:val="1"/>
                <w:bCs w:val="1"/>
                <w:color w:val="auto"/>
              </w:rPr>
              <w:t>02139</w:t>
            </w:r>
          </w:p>
        </w:tc>
      </w:tr>
      <w:tr>
        <w:trPr>
          <w:trHeight w:val="183"/>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4640" w:type="dxa"/>
            <w:vAlign w:val="bottom"/>
          </w:tcPr>
          <w:p>
            <w:pPr>
              <w:jc w:val="center"/>
              <w:ind w:left="3482"/>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78"/>
        </w:trPr>
        <w:tc>
          <w:tcPr>
            <w:tcW w:w="2420" w:type="dxa"/>
            <w:vAlign w:val="bottom"/>
          </w:tcPr>
          <w:p>
            <w:pPr>
              <w:spacing w:after="0"/>
              <w:rPr>
                <w:sz w:val="24"/>
                <w:szCs w:val="24"/>
                <w:color w:val="auto"/>
              </w:rPr>
            </w:pPr>
          </w:p>
        </w:tc>
        <w:tc>
          <w:tcPr>
            <w:tcW w:w="4640" w:type="dxa"/>
            <w:vAlign w:val="bottom"/>
          </w:tcPr>
          <w:p>
            <w:pPr>
              <w:jc w:val="center"/>
              <w:ind w:right="1782"/>
              <w:spacing w:after="0"/>
              <w:rPr>
                <w:sz w:val="20"/>
                <w:szCs w:val="20"/>
                <w:color w:val="auto"/>
              </w:rPr>
            </w:pPr>
            <w:r>
              <w:rPr>
                <w:rFonts w:ascii="Times New Roman" w:cs="Times New Roman" w:eastAsia="Times New Roman" w:hAnsi="Times New Roman"/>
                <w:sz w:val="17"/>
                <w:szCs w:val="17"/>
                <w:b w:val="1"/>
                <w:bCs w:val="1"/>
                <w:color w:val="auto"/>
              </w:rPr>
              <w:t>2019 Stock Incentive Plan</w:t>
            </w:r>
          </w:p>
        </w:tc>
      </w:tr>
      <w:tr>
        <w:trPr>
          <w:trHeight w:val="203"/>
        </w:trPr>
        <w:tc>
          <w:tcPr>
            <w:tcW w:w="2420" w:type="dxa"/>
            <w:vAlign w:val="bottom"/>
          </w:tcPr>
          <w:p>
            <w:pPr>
              <w:spacing w:after="0"/>
              <w:rPr>
                <w:sz w:val="17"/>
                <w:szCs w:val="17"/>
                <w:color w:val="auto"/>
              </w:rPr>
            </w:pPr>
          </w:p>
        </w:tc>
        <w:tc>
          <w:tcPr>
            <w:tcW w:w="4640" w:type="dxa"/>
            <w:vAlign w:val="bottom"/>
          </w:tcPr>
          <w:p>
            <w:pPr>
              <w:jc w:val="center"/>
              <w:ind w:right="1802"/>
              <w:spacing w:after="0"/>
              <w:rPr>
                <w:sz w:val="20"/>
                <w:szCs w:val="20"/>
                <w:color w:val="auto"/>
              </w:rPr>
            </w:pPr>
            <w:r>
              <w:rPr>
                <w:rFonts w:ascii="Times New Roman" w:cs="Times New Roman" w:eastAsia="Times New Roman" w:hAnsi="Times New Roman"/>
                <w:sz w:val="17"/>
                <w:szCs w:val="17"/>
                <w:b w:val="1"/>
                <w:bCs w:val="1"/>
                <w:color w:val="auto"/>
              </w:rPr>
              <w:t>2019 Employee Stock Purchase Plan</w:t>
            </w:r>
          </w:p>
        </w:tc>
      </w:tr>
      <w:tr>
        <w:trPr>
          <w:trHeight w:val="183"/>
        </w:trPr>
        <w:tc>
          <w:tcPr>
            <w:tcW w:w="2420" w:type="dxa"/>
            <w:vAlign w:val="bottom"/>
          </w:tcPr>
          <w:p>
            <w:pPr>
              <w:spacing w:after="0"/>
              <w:rPr>
                <w:sz w:val="15"/>
                <w:szCs w:val="15"/>
                <w:color w:val="auto"/>
              </w:rPr>
            </w:pPr>
          </w:p>
        </w:tc>
        <w:tc>
          <w:tcPr>
            <w:tcW w:w="4640" w:type="dxa"/>
            <w:vAlign w:val="bottom"/>
          </w:tcPr>
          <w:p>
            <w:pPr>
              <w:jc w:val="center"/>
              <w:ind w:right="1782"/>
              <w:spacing w:after="0"/>
              <w:rPr>
                <w:sz w:val="20"/>
                <w:szCs w:val="20"/>
                <w:color w:val="auto"/>
              </w:rPr>
            </w:pPr>
            <w:r>
              <w:rPr>
                <w:rFonts w:ascii="Times New Roman" w:cs="Times New Roman" w:eastAsia="Times New Roman" w:hAnsi="Times New Roman"/>
                <w:sz w:val="14"/>
                <w:szCs w:val="14"/>
                <w:b w:val="1"/>
                <w:bCs w:val="1"/>
                <w:color w:val="auto"/>
                <w:w w:val="98"/>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212090</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Alex C. Sapir</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Fulcrum Therapeutics, Inc.</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26 Landsdowne Street</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Cambridge, Massachusetts 02139</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(617) 651-8851</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206375</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tbl>
      <w:tblPr>
        <w:tblLayout w:type="fixed"/>
        <w:tblInd w:w="1760" w:type="dxa"/>
        <w:tblCellMar>
          <w:top w:w="0" w:type="dxa"/>
          <w:left w:w="0" w:type="dxa"/>
          <w:bottom w:w="0" w:type="dxa"/>
          <w:right w:w="0" w:type="dxa"/>
        </w:tblCellMar>
      </w:tblPr>
      <w:tr>
        <w:trPr>
          <w:trHeight w:val="230"/>
        </w:trPr>
        <w:tc>
          <w:tcPr>
            <w:tcW w:w="2500" w:type="dxa"/>
            <w:vAlign w:val="bottom"/>
          </w:tcPr>
          <w:p>
            <w:pPr>
              <w:spacing w:after="0"/>
              <w:rPr>
                <w:sz w:val="19"/>
                <w:szCs w:val="19"/>
                <w:color w:val="auto"/>
              </w:rPr>
            </w:pPr>
          </w:p>
        </w:tc>
        <w:tc>
          <w:tcPr>
            <w:tcW w:w="5560" w:type="dxa"/>
            <w:vAlign w:val="bottom"/>
          </w:tcPr>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r>
      <w:tr>
        <w:trPr>
          <w:trHeight w:val="420"/>
        </w:trPr>
        <w:tc>
          <w:tcPr>
            <w:tcW w:w="250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Mitchell Bloom, Esq.</w:t>
            </w:r>
          </w:p>
        </w:tc>
        <w:tc>
          <w:tcPr>
            <w:tcW w:w="5560" w:type="dxa"/>
            <w:vAlign w:val="bottom"/>
          </w:tcPr>
          <w:p>
            <w:pPr>
              <w:jc w:val="center"/>
              <w:ind w:left="1834"/>
              <w:spacing w:after="0"/>
              <w:rPr>
                <w:sz w:val="20"/>
                <w:szCs w:val="20"/>
                <w:color w:val="auto"/>
              </w:rPr>
            </w:pPr>
            <w:r>
              <w:rPr>
                <w:rFonts w:ascii="Times New Roman" w:cs="Times New Roman" w:eastAsia="Times New Roman" w:hAnsi="Times New Roman"/>
                <w:sz w:val="17"/>
                <w:szCs w:val="17"/>
                <w:b w:val="1"/>
                <w:bCs w:val="1"/>
                <w:color w:val="auto"/>
              </w:rPr>
              <w:t>Curtis Oltmans, Esq.</w:t>
            </w:r>
          </w:p>
        </w:tc>
      </w:tr>
      <w:tr>
        <w:trPr>
          <w:trHeight w:val="207"/>
        </w:trPr>
        <w:tc>
          <w:tcPr>
            <w:tcW w:w="250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Marianne Sarrazin, Esq.</w:t>
            </w:r>
          </w:p>
        </w:tc>
        <w:tc>
          <w:tcPr>
            <w:tcW w:w="5560" w:type="dxa"/>
            <w:vAlign w:val="bottom"/>
          </w:tcPr>
          <w:p>
            <w:pPr>
              <w:jc w:val="center"/>
              <w:ind w:left="1854"/>
              <w:spacing w:after="0"/>
              <w:rPr>
                <w:sz w:val="20"/>
                <w:szCs w:val="20"/>
                <w:color w:val="auto"/>
              </w:rPr>
            </w:pPr>
            <w:r>
              <w:rPr>
                <w:rFonts w:ascii="Times New Roman" w:cs="Times New Roman" w:eastAsia="Times New Roman" w:hAnsi="Times New Roman"/>
                <w:sz w:val="17"/>
                <w:szCs w:val="17"/>
                <w:b w:val="1"/>
                <w:bCs w:val="1"/>
                <w:color w:val="auto"/>
              </w:rPr>
              <w:t>Chief Legal Officer and Head of External Affairs</w:t>
            </w:r>
          </w:p>
        </w:tc>
      </w:tr>
      <w:tr>
        <w:trPr>
          <w:trHeight w:val="207"/>
        </w:trPr>
        <w:tc>
          <w:tcPr>
            <w:tcW w:w="250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Goodwin Procter LLP</w:t>
            </w:r>
          </w:p>
        </w:tc>
        <w:tc>
          <w:tcPr>
            <w:tcW w:w="5560" w:type="dxa"/>
            <w:vAlign w:val="bottom"/>
          </w:tcPr>
          <w:p>
            <w:pPr>
              <w:jc w:val="center"/>
              <w:ind w:left="1854"/>
              <w:spacing w:after="0"/>
              <w:rPr>
                <w:sz w:val="20"/>
                <w:szCs w:val="20"/>
                <w:color w:val="auto"/>
              </w:rPr>
            </w:pPr>
            <w:r>
              <w:rPr>
                <w:rFonts w:ascii="Times New Roman" w:cs="Times New Roman" w:eastAsia="Times New Roman" w:hAnsi="Times New Roman"/>
                <w:sz w:val="17"/>
                <w:szCs w:val="17"/>
                <w:b w:val="1"/>
                <w:bCs w:val="1"/>
                <w:color w:val="auto"/>
              </w:rPr>
              <w:t>Fulcrum Therapeutics, Inc.</w:t>
            </w:r>
          </w:p>
        </w:tc>
      </w:tr>
      <w:tr>
        <w:trPr>
          <w:trHeight w:val="207"/>
        </w:trPr>
        <w:tc>
          <w:tcPr>
            <w:tcW w:w="250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100 Northern Avenue</w:t>
            </w:r>
          </w:p>
        </w:tc>
        <w:tc>
          <w:tcPr>
            <w:tcW w:w="5560" w:type="dxa"/>
            <w:vAlign w:val="bottom"/>
          </w:tcPr>
          <w:p>
            <w:pPr>
              <w:jc w:val="center"/>
              <w:ind w:left="1834"/>
              <w:spacing w:after="0"/>
              <w:rPr>
                <w:sz w:val="20"/>
                <w:szCs w:val="20"/>
                <w:color w:val="auto"/>
              </w:rPr>
            </w:pPr>
            <w:r>
              <w:rPr>
                <w:rFonts w:ascii="Times New Roman" w:cs="Times New Roman" w:eastAsia="Times New Roman" w:hAnsi="Times New Roman"/>
                <w:sz w:val="17"/>
                <w:szCs w:val="17"/>
                <w:b w:val="1"/>
                <w:bCs w:val="1"/>
                <w:color w:val="auto"/>
              </w:rPr>
              <w:t>26 Landsdowne Street</w:t>
            </w:r>
          </w:p>
        </w:tc>
      </w:tr>
      <w:tr>
        <w:trPr>
          <w:trHeight w:val="207"/>
        </w:trPr>
        <w:tc>
          <w:tcPr>
            <w:tcW w:w="250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Boston, MA 02210</w:t>
            </w:r>
          </w:p>
        </w:tc>
        <w:tc>
          <w:tcPr>
            <w:tcW w:w="5560" w:type="dxa"/>
            <w:vAlign w:val="bottom"/>
          </w:tcPr>
          <w:p>
            <w:pPr>
              <w:jc w:val="center"/>
              <w:ind w:left="1854"/>
              <w:spacing w:after="0"/>
              <w:rPr>
                <w:sz w:val="20"/>
                <w:szCs w:val="20"/>
                <w:color w:val="auto"/>
              </w:rPr>
            </w:pPr>
            <w:r>
              <w:rPr>
                <w:rFonts w:ascii="Times New Roman" w:cs="Times New Roman" w:eastAsia="Times New Roman" w:hAnsi="Times New Roman"/>
                <w:sz w:val="17"/>
                <w:szCs w:val="17"/>
                <w:b w:val="1"/>
                <w:bCs w:val="1"/>
                <w:color w:val="auto"/>
              </w:rPr>
              <w:t>Cambridge, Massachusetts 02139</w:t>
            </w:r>
          </w:p>
        </w:tc>
      </w:tr>
      <w:tr>
        <w:trPr>
          <w:trHeight w:val="228"/>
        </w:trPr>
        <w:tc>
          <w:tcPr>
            <w:tcW w:w="250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(617) 570-1000</w:t>
            </w:r>
          </w:p>
        </w:tc>
        <w:tc>
          <w:tcPr>
            <w:tcW w:w="5560" w:type="dxa"/>
            <w:vAlign w:val="bottom"/>
          </w:tcPr>
          <w:p>
            <w:pPr>
              <w:jc w:val="center"/>
              <w:ind w:left="1834"/>
              <w:spacing w:after="0"/>
              <w:rPr>
                <w:sz w:val="20"/>
                <w:szCs w:val="20"/>
                <w:color w:val="auto"/>
              </w:rPr>
            </w:pPr>
            <w:r>
              <w:rPr>
                <w:rFonts w:ascii="Times New Roman" w:cs="Times New Roman" w:eastAsia="Times New Roman" w:hAnsi="Times New Roman"/>
                <w:sz w:val="17"/>
                <w:szCs w:val="17"/>
                <w:b w:val="1"/>
                <w:bCs w:val="1"/>
                <w:color w:val="auto"/>
              </w:rPr>
              <w:t>(617) 651-8851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2647950</wp:posOffset>
            </wp:positionH>
            <wp:positionV relativeFrom="paragraph">
              <wp:posOffset>221615</wp:posOffset>
            </wp:positionV>
            <wp:extent cx="1414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6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1"/>
        </w:trPr>
        <w:tc>
          <w:tcPr>
            <w:tcW w:w="1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00" w:type="dxa"/>
            <w:vAlign w:val="bottom"/>
          </w:tcPr>
          <w:p>
            <w:pPr>
              <w:ind w:left="30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3"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71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0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173355</wp:posOffset>
            </wp:positionV>
            <wp:extent cx="6710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10045" cy="8255"/>
                    </a:xfrm>
                    <a:prstGeom prst="rect">
                      <a:avLst/>
                    </a:prstGeom>
                    <a:noFill/>
                  </pic:spPr>
                </pic:pic>
              </a:graphicData>
            </a:graphic>
          </wp:anchor>
        </w:drawing>
      </w:r>
    </w:p>
    <w:p>
      <w:pPr>
        <w:sectPr>
          <w:pgSz w:w="11900" w:h="16838" w:orient="portrait"/>
          <w:cols w:equalWidth="0" w:num="1">
            <w:col w:w="10520"/>
          </w:cols>
          <w:pgMar w:left="660" w:top="223" w:right="7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945" cy="37465"/>
                    </a:xfrm>
                    <a:prstGeom prst="rect">
                      <a:avLst/>
                    </a:prstGeom>
                    <a:noFill/>
                  </pic:spPr>
                </pic:pic>
              </a:graphicData>
            </a:graphic>
          </wp:anchor>
        </w:drawing>
        <w:t>EXPLANATORY NOTE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Fulcrum Therapeutics, Inc. (“Fulcrum”) is filing this Registration Statement on Form S-8 for the purpose of registering an additional (i) 2,000,000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its common stock, $0.001 par value per share (the “Common Stock”) under Fulcrum’s 2019 Stock Incentive Plan (the “2019 Plan”)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428,571 shares of Common Stock under Fulcrum’s 2019 Employee Stock Purchase Plan (the “ESPP” and together with the 2019 Plan, the “Plans”), 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case pursuant to the provisions for each plan that provide for annual automatic increases in the number of shares of Common Stock reserved for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under each plan. In each case, the additional shares are of the same class as other securities for which a registration statement relating to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Plans has previously been filed and is effective. Accordingly, this registration statement incorporates by reference the contents of the registration</w:t>
      </w:r>
    </w:p>
    <w:p>
      <w:pPr>
        <w:spacing w:after="0" w:line="12" w:lineRule="exact"/>
        <w:rPr>
          <w:sz w:val="20"/>
          <w:szCs w:val="20"/>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statements on Form S-8 (File No. 333-233452) filed on </w:t>
      </w:r>
      <w:hyperlink r:id="rId19">
        <w:r>
          <w:rPr>
            <w:rFonts w:ascii="Times New Roman" w:cs="Times New Roman" w:eastAsia="Times New Roman" w:hAnsi="Times New Roman"/>
            <w:sz w:val="17"/>
            <w:szCs w:val="17"/>
            <w:u w:val="single" w:color="auto"/>
            <w:color w:val="0000EE"/>
          </w:rPr>
          <w:t>August 26, 2019</w:t>
        </w:r>
      </w:hyperlink>
      <w:r>
        <w:rPr>
          <w:rFonts w:ascii="Times New Roman" w:cs="Times New Roman" w:eastAsia="Times New Roman" w:hAnsi="Times New Roman"/>
          <w:sz w:val="17"/>
          <w:szCs w:val="17"/>
          <w:color w:val="auto"/>
        </w:rPr>
        <w:t xml:space="preserve">, Form S-8 (File No. 333-236910) filed on </w:t>
      </w:r>
      <w:hyperlink r:id="rId20">
        <w:r>
          <w:rPr>
            <w:rFonts w:ascii="Times New Roman" w:cs="Times New Roman" w:eastAsia="Times New Roman" w:hAnsi="Times New Roman"/>
            <w:sz w:val="17"/>
            <w:szCs w:val="17"/>
            <w:u w:val="single" w:color="auto"/>
            <w:color w:val="0000EE"/>
          </w:rPr>
          <w:t>March 5, 2020</w:t>
        </w:r>
      </w:hyperlink>
      <w:r>
        <w:rPr>
          <w:rFonts w:ascii="Times New Roman" w:cs="Times New Roman" w:eastAsia="Times New Roman" w:hAnsi="Times New Roman"/>
          <w:sz w:val="17"/>
          <w:szCs w:val="17"/>
          <w:color w:val="auto"/>
        </w:rPr>
        <w:t>, Form S-8 (File</w:t>
      </w:r>
    </w:p>
    <w:p>
      <w:pPr>
        <w:spacing w:after="0" w:line="12" w:lineRule="exact"/>
        <w:rPr>
          <w:sz w:val="20"/>
          <w:szCs w:val="20"/>
          <w:color w:val="auto"/>
        </w:rPr>
      </w:pPr>
    </w:p>
    <w:p>
      <w:pPr>
        <w:spacing w:after="0"/>
        <w:rPr>
          <w:rFonts w:ascii="Times New Roman" w:cs="Times New Roman" w:eastAsia="Times New Roman" w:hAnsi="Times New Roman"/>
          <w:sz w:val="17"/>
          <w:szCs w:val="17"/>
          <w:color w:val="auto"/>
        </w:rPr>
      </w:pPr>
      <w:hyperlink r:id="rId21">
        <w:r>
          <w:rPr>
            <w:rFonts w:ascii="Times New Roman" w:cs="Times New Roman" w:eastAsia="Times New Roman" w:hAnsi="Times New Roman"/>
            <w:sz w:val="17"/>
            <w:szCs w:val="17"/>
            <w:color w:val="auto"/>
          </w:rPr>
          <w:t xml:space="preserve">No. 333-253862) filed on </w:t>
        </w:r>
        <w:r>
          <w:rPr>
            <w:rFonts w:ascii="Times New Roman" w:cs="Times New Roman" w:eastAsia="Times New Roman" w:hAnsi="Times New Roman"/>
            <w:sz w:val="17"/>
            <w:szCs w:val="17"/>
            <w:u w:val="single" w:color="auto"/>
            <w:color w:val="0000EE"/>
          </w:rPr>
          <w:t>March 4, 2021</w:t>
        </w:r>
        <w:r>
          <w:rPr>
            <w:rFonts w:ascii="Times New Roman" w:cs="Times New Roman" w:eastAsia="Times New Roman" w:hAnsi="Times New Roman"/>
            <w:sz w:val="17"/>
            <w:szCs w:val="17"/>
            <w:color w:val="auto"/>
          </w:rPr>
          <w:t xml:space="preserve">, Form S-8 (File No. 333-262356) filed on </w:t>
        </w:r>
        <w:r>
          <w:rPr>
            <w:rFonts w:ascii="Times New Roman" w:cs="Times New Roman" w:eastAsia="Times New Roman" w:hAnsi="Times New Roman"/>
            <w:sz w:val="17"/>
            <w:szCs w:val="17"/>
            <w:u w:val="single" w:color="auto"/>
            <w:color w:val="0000EE"/>
          </w:rPr>
          <w:t>January 27, 2022</w:t>
        </w:r>
        <w:r>
          <w:rPr>
            <w:rFonts w:ascii="Times New Roman" w:cs="Times New Roman" w:eastAsia="Times New Roman" w:hAnsi="Times New Roman"/>
            <w:sz w:val="17"/>
            <w:szCs w:val="17"/>
            <w:color w:val="auto"/>
          </w:rPr>
          <w:t xml:space="preserve">, Form S-8 (File No. 333-270385) filed on </w:t>
        </w:r>
        <w:r>
          <w:rPr>
            <w:rFonts w:ascii="Times New Roman" w:cs="Times New Roman" w:eastAsia="Times New Roman" w:hAnsi="Times New Roman"/>
            <w:sz w:val="17"/>
            <w:szCs w:val="17"/>
            <w:u w:val="single" w:color="auto"/>
            <w:color w:val="0000EE"/>
          </w:rPr>
          <w:t>March 9,</w:t>
        </w:r>
      </w:hyperlink>
    </w:p>
    <w:p>
      <w:pPr>
        <w:spacing w:after="0" w:line="12" w:lineRule="exact"/>
        <w:rPr>
          <w:sz w:val="20"/>
          <w:szCs w:val="20"/>
          <w:color w:val="auto"/>
        </w:rPr>
      </w:pPr>
    </w:p>
    <w:p>
      <w:pPr>
        <w:spacing w:after="0"/>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u w:val="single" w:color="auto"/>
            <w:color w:val="0000EE"/>
          </w:rPr>
          <w:t>2023</w:t>
        </w:r>
        <w:r>
          <w:rPr>
            <w:rFonts w:ascii="Times New Roman" w:cs="Times New Roman" w:eastAsia="Times New Roman" w:hAnsi="Times New Roman"/>
            <w:sz w:val="17"/>
            <w:szCs w:val="17"/>
            <w:color w:val="000000"/>
          </w:rPr>
          <w:t>, Form S-8 (File No. 333-277421) filed on</w:t>
        </w:r>
        <w:r>
          <w:rPr>
            <w:rFonts w:ascii="Times New Roman" w:cs="Times New Roman" w:eastAsia="Times New Roman" w:hAnsi="Times New Roman"/>
            <w:sz w:val="17"/>
            <w:szCs w:val="17"/>
            <w:color w:val="0000EE"/>
          </w:rPr>
          <w:t xml:space="preserve"> </w:t>
        </w:r>
      </w:hyperlink>
      <w:hyperlink r:id="rId22">
        <w:r>
          <w:rPr>
            <w:rFonts w:ascii="Times New Roman" w:cs="Times New Roman" w:eastAsia="Times New Roman" w:hAnsi="Times New Roman"/>
            <w:sz w:val="17"/>
            <w:szCs w:val="17"/>
            <w:u w:val="single" w:color="auto"/>
            <w:color w:val="0000EE"/>
          </w:rPr>
          <w:t>February 27, 2024</w:t>
        </w:r>
      </w:hyperlink>
      <w:hyperlink r:id="rId21">
        <w:r>
          <w:rPr>
            <w:rFonts w:ascii="Times New Roman" w:cs="Times New Roman" w:eastAsia="Times New Roman" w:hAnsi="Times New Roman"/>
            <w:sz w:val="17"/>
            <w:szCs w:val="17"/>
            <w:color w:val="000000"/>
          </w:rPr>
          <w:t>, and Form S-8 (File No. 333-285180) filed on</w:t>
        </w:r>
        <w:r>
          <w:rPr>
            <w:rFonts w:ascii="Times New Roman" w:cs="Times New Roman" w:eastAsia="Times New Roman" w:hAnsi="Times New Roman"/>
            <w:sz w:val="17"/>
            <w:szCs w:val="17"/>
            <w:color w:val="0000EE"/>
          </w:rPr>
          <w:t xml:space="preserve"> </w:t>
        </w:r>
      </w:hyperlink>
      <w:hyperlink r:id="rId23">
        <w:r>
          <w:rPr>
            <w:rFonts w:ascii="Times New Roman" w:cs="Times New Roman" w:eastAsia="Times New Roman" w:hAnsi="Times New Roman"/>
            <w:sz w:val="17"/>
            <w:szCs w:val="17"/>
            <w:u w:val="single" w:color="auto"/>
            <w:color w:val="0000EE"/>
          </w:rPr>
          <w:t>February 25, 2025</w:t>
        </w:r>
      </w:hyperlink>
      <w:hyperlink r:id="rId21">
        <w:r>
          <w:rPr>
            <w:rFonts w:ascii="Times New Roman" w:cs="Times New Roman" w:eastAsia="Times New Roman" w:hAnsi="Times New Roman"/>
            <w:sz w:val="17"/>
            <w:szCs w:val="17"/>
            <w:color w:val="000000"/>
          </w:rPr>
          <w:t>, pursuant to General</w:t>
        </w:r>
      </w:hyperlink>
    </w:p>
    <w:p>
      <w:pPr>
        <w:spacing w:after="0" w:line="12" w:lineRule="exact"/>
        <w:rPr>
          <w:rFonts w:ascii="Times New Roman" w:cs="Times New Roman" w:eastAsia="Times New Roman" w:hAnsi="Times New Roman"/>
          <w:sz w:val="17"/>
          <w:szCs w:val="17"/>
          <w:color w:val="0000EE"/>
        </w:rPr>
      </w:pPr>
    </w:p>
    <w:p>
      <w:pPr>
        <w:spacing w:after="0"/>
        <w:rPr>
          <w:sz w:val="20"/>
          <w:szCs w:val="20"/>
          <w:color w:val="auto"/>
        </w:rPr>
      </w:pPr>
      <w:r>
        <w:rPr>
          <w:rFonts w:ascii="Times New Roman" w:cs="Times New Roman" w:eastAsia="Times New Roman" w:hAnsi="Times New Roman"/>
          <w:sz w:val="17"/>
          <w:szCs w:val="17"/>
          <w:color w:val="auto"/>
        </w:rPr>
        <w:t>Instruction E, except with respect to Item 8. Exhibits thereof.</w:t>
      </w:r>
    </w:p>
    <w:p>
      <w:pPr>
        <w:sectPr>
          <w:pgSz w:w="11900" w:h="16838" w:orient="portrait"/>
          <w:cols w:equalWidth="0" w:num="1">
            <w:col w:w="10560"/>
          </w:cols>
          <w:pgMar w:left="660" w:top="262" w:right="6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9945" cy="37465"/>
                    </a:xfrm>
                    <a:prstGeom prst="rect">
                      <a:avLst/>
                    </a:prstGeom>
                    <a:noFill/>
                  </pic:spPr>
                </pic:pic>
              </a:graphicData>
            </a:graphic>
          </wp:anchor>
        </w:drawing>
        <w:t>Part II</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REQUIRED IN THE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40" w:type="dxa"/>
            <w:vAlign w:val="bottom"/>
            <w:gridSpan w:val="1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640" w:type="dxa"/>
            <w:vAlign w:val="bottom"/>
            <w:tcBorders>
              <w:bottom w:val="single" w:sz="8" w:color="auto"/>
            </w:tcBorders>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400" w:type="dxa"/>
            <w:vAlign w:val="bottom"/>
          </w:tcPr>
          <w:p>
            <w:pPr>
              <w:spacing w:after="0"/>
              <w:rPr>
                <w:sz w:val="21"/>
                <w:szCs w:val="21"/>
                <w:color w:val="auto"/>
              </w:rPr>
            </w:pPr>
          </w:p>
        </w:tc>
        <w:tc>
          <w:tcPr>
            <w:tcW w:w="9720" w:type="dxa"/>
            <w:vAlign w:val="bottom"/>
            <w:gridSpan w:val="20"/>
          </w:tcPr>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Restated Certificate of Incorporation of the registrant (incorporated by reference to </w:t>
            </w:r>
            <w:hyperlink r:id="rId25">
              <w:r>
                <w:rPr>
                  <w:rFonts w:ascii="Times New Roman" w:cs="Times New Roman" w:eastAsia="Times New Roman" w:hAnsi="Times New Roman"/>
                  <w:sz w:val="17"/>
                  <w:szCs w:val="17"/>
                  <w:color w:val="0000EE"/>
                </w:rPr>
                <w:t>Exhibit 3.1</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to the registrant’s Current Report on Form</w:t>
            </w: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6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8-K filed with the Securities and Exchange Commission on July 22, 2019)</w:t>
            </w:r>
          </w:p>
        </w:tc>
        <w:tc>
          <w:tcPr>
            <w:tcW w:w="780" w:type="dxa"/>
            <w:vAlign w:val="bottom"/>
            <w:tcBorders>
              <w:top w:val="single" w:sz="8" w:color="0000EE"/>
            </w:tcBorders>
            <w:gridSpan w:val="4"/>
          </w:tcPr>
          <w:p>
            <w:pPr>
              <w:spacing w:after="0"/>
              <w:rPr>
                <w:sz w:val="19"/>
                <w:szCs w:val="19"/>
                <w:color w:val="auto"/>
              </w:rPr>
            </w:pPr>
          </w:p>
        </w:tc>
        <w:tc>
          <w:tcPr>
            <w:tcW w:w="31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400" w:type="dxa"/>
            <w:vAlign w:val="bottom"/>
          </w:tcPr>
          <w:p>
            <w:pPr>
              <w:spacing w:after="0"/>
              <w:rPr>
                <w:sz w:val="23"/>
                <w:szCs w:val="23"/>
                <w:color w:val="auto"/>
              </w:rPr>
            </w:pPr>
          </w:p>
        </w:tc>
        <w:tc>
          <w:tcPr>
            <w:tcW w:w="9720" w:type="dxa"/>
            <w:vAlign w:val="bottom"/>
            <w:gridSpan w:val="20"/>
          </w:tcPr>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Certificate of Amendment of the Restated Certificate of Incorporation of the registrant (incorporated by reference to </w:t>
            </w:r>
            <w:hyperlink r:id="rId26">
              <w:r>
                <w:rPr>
                  <w:rFonts w:ascii="Times New Roman" w:cs="Times New Roman" w:eastAsia="Times New Roman" w:hAnsi="Times New Roman"/>
                  <w:sz w:val="17"/>
                  <w:szCs w:val="17"/>
                  <w:color w:val="0000EE"/>
                </w:rPr>
                <w:t>Exhibit 3.1</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to the</w:t>
            </w: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6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registrant’s Current Report on Form 8-K filed with the Securities and Exchange Commission on June 9, 2023)</w:t>
            </w:r>
          </w:p>
        </w:tc>
        <w:tc>
          <w:tcPr>
            <w:tcW w:w="780" w:type="dxa"/>
            <w:vAlign w:val="bottom"/>
            <w:tcBorders>
              <w:top w:val="single" w:sz="8" w:color="0000EE"/>
            </w:tcBorders>
            <w:gridSpan w:val="2"/>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400" w:type="dxa"/>
            <w:vAlign w:val="bottom"/>
          </w:tcPr>
          <w:p>
            <w:pPr>
              <w:spacing w:after="0"/>
              <w:rPr>
                <w:sz w:val="23"/>
                <w:szCs w:val="23"/>
                <w:color w:val="auto"/>
              </w:rPr>
            </w:pPr>
          </w:p>
        </w:tc>
        <w:tc>
          <w:tcPr>
            <w:tcW w:w="9720" w:type="dxa"/>
            <w:vAlign w:val="bottom"/>
            <w:gridSpan w:val="20"/>
          </w:tcPr>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Amended and Restated Bylaws of the registrant (incorporated by reference to </w:t>
            </w:r>
            <w:hyperlink r:id="rId27">
              <w:r>
                <w:rPr>
                  <w:rFonts w:ascii="Times New Roman" w:cs="Times New Roman" w:eastAsia="Times New Roman" w:hAnsi="Times New Roman"/>
                  <w:sz w:val="17"/>
                  <w:szCs w:val="17"/>
                  <w:color w:val="0000EE"/>
                </w:rPr>
                <w:t>Exhibit 3.2</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to the registrant’s Current Report on Form 8-K</w:t>
            </w: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filed with the Securities and Exchange Commission on July 22, 2019)</w:t>
            </w:r>
          </w:p>
        </w:tc>
        <w:tc>
          <w:tcPr>
            <w:tcW w:w="760" w:type="dxa"/>
            <w:vAlign w:val="bottom"/>
            <w:tcBorders>
              <w:top w:val="single" w:sz="8" w:color="0000EE"/>
            </w:tcBorders>
            <w:gridSpan w:val="4"/>
          </w:tcPr>
          <w:p>
            <w:pPr>
              <w:spacing w:after="0"/>
              <w:rPr>
                <w:sz w:val="19"/>
                <w:szCs w:val="19"/>
                <w:color w:val="auto"/>
              </w:rPr>
            </w:pPr>
          </w:p>
        </w:tc>
        <w:tc>
          <w:tcPr>
            <w:tcW w:w="35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400" w:type="dxa"/>
            <w:vAlign w:val="bottom"/>
          </w:tcPr>
          <w:p>
            <w:pPr>
              <w:spacing w:after="0"/>
              <w:rPr>
                <w:sz w:val="23"/>
                <w:szCs w:val="23"/>
                <w:color w:val="auto"/>
              </w:rPr>
            </w:pPr>
          </w:p>
        </w:tc>
        <w:tc>
          <w:tcPr>
            <w:tcW w:w="2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Opinion of Goodwin Procter LLP</w:t>
            </w:r>
          </w:p>
        </w:tc>
        <w:tc>
          <w:tcPr>
            <w:tcW w:w="7380" w:type="dxa"/>
            <w:vAlign w:val="bottom"/>
            <w:gridSpan w:val="17"/>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400" w:type="dxa"/>
            <w:vAlign w:val="bottom"/>
          </w:tcPr>
          <w:p>
            <w:pPr>
              <w:spacing w:after="0"/>
              <w:rPr>
                <w:sz w:val="24"/>
                <w:szCs w:val="24"/>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7"/>
                <w:szCs w:val="17"/>
                <w:color w:val="0000EE"/>
              </w:rPr>
              <w:t>Consent of Ernst &amp; Young LLP</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400" w:type="dxa"/>
            <w:vAlign w:val="bottom"/>
          </w:tcPr>
          <w:p>
            <w:pPr>
              <w:spacing w:after="0"/>
              <w:rPr>
                <w:sz w:val="24"/>
                <w:szCs w:val="24"/>
                <w:color w:val="auto"/>
              </w:rPr>
            </w:pPr>
          </w:p>
        </w:tc>
        <w:tc>
          <w:tcPr>
            <w:tcW w:w="40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Consent of Goodwin Procter LLP (included in Exhibit 5.1)</w:t>
            </w:r>
          </w:p>
        </w:tc>
        <w:tc>
          <w:tcPr>
            <w:tcW w:w="56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400" w:type="dxa"/>
            <w:vAlign w:val="bottom"/>
          </w:tcPr>
          <w:p>
            <w:pPr>
              <w:spacing w:after="0"/>
              <w:rPr>
                <w:sz w:val="24"/>
                <w:szCs w:val="24"/>
                <w:color w:val="auto"/>
              </w:rPr>
            </w:pPr>
          </w:p>
        </w:tc>
        <w:tc>
          <w:tcPr>
            <w:tcW w:w="33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Power of Attorney (included on signature page)</w:t>
            </w:r>
          </w:p>
        </w:tc>
        <w:tc>
          <w:tcPr>
            <w:tcW w:w="64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400" w:type="dxa"/>
            <w:vAlign w:val="bottom"/>
          </w:tcPr>
          <w:p>
            <w:pPr>
              <w:spacing w:after="0"/>
              <w:rPr>
                <w:sz w:val="24"/>
                <w:szCs w:val="24"/>
                <w:color w:val="auto"/>
              </w:rPr>
            </w:pPr>
          </w:p>
        </w:tc>
        <w:tc>
          <w:tcPr>
            <w:tcW w:w="9720" w:type="dxa"/>
            <w:vAlign w:val="bottom"/>
            <w:gridSpan w:val="20"/>
          </w:tcPr>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2019 Stock Incentive Plan of the registrant (incorporated by reference to </w:t>
            </w:r>
            <w:hyperlink r:id="rId28">
              <w:r>
                <w:rPr>
                  <w:rFonts w:ascii="Times New Roman" w:cs="Times New Roman" w:eastAsia="Times New Roman" w:hAnsi="Times New Roman"/>
                  <w:sz w:val="17"/>
                  <w:szCs w:val="17"/>
                  <w:color w:val="0000EE"/>
                </w:rPr>
                <w:t>Exhibit 10.6</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to Amendment No. 1 to the registrant’s Registration</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Statement on Form S-1 (File No. 333-232260) filed with the Securities and Exchange Commission on July 8, 2019)</w:t>
            </w:r>
          </w:p>
        </w:tc>
        <w:tc>
          <w:tcPr>
            <w:tcW w:w="0" w:type="dxa"/>
            <w:vAlign w:val="bottom"/>
          </w:tcPr>
          <w:p>
            <w:pPr>
              <w:spacing w:after="0"/>
              <w:rPr>
                <w:sz w:val="1"/>
                <w:szCs w:val="1"/>
                <w:color w:val="auto"/>
              </w:rPr>
            </w:pPr>
          </w:p>
        </w:tc>
      </w:tr>
      <w:tr>
        <w:trPr>
          <w:trHeight w:val="272"/>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400" w:type="dxa"/>
            <w:vAlign w:val="bottom"/>
          </w:tcPr>
          <w:p>
            <w:pPr>
              <w:spacing w:after="0"/>
              <w:rPr>
                <w:sz w:val="23"/>
                <w:szCs w:val="23"/>
                <w:color w:val="auto"/>
              </w:rPr>
            </w:pPr>
          </w:p>
        </w:tc>
        <w:tc>
          <w:tcPr>
            <w:tcW w:w="9720" w:type="dxa"/>
            <w:vAlign w:val="bottom"/>
            <w:gridSpan w:val="20"/>
          </w:tcPr>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Form of Stock Option Agreement under the 2019 Stock Incentive Plan (incorporated by reference to </w:t>
            </w:r>
            <w:hyperlink r:id="rId29">
              <w:r>
                <w:rPr>
                  <w:rFonts w:ascii="Times New Roman" w:cs="Times New Roman" w:eastAsia="Times New Roman" w:hAnsi="Times New Roman"/>
                  <w:sz w:val="17"/>
                  <w:szCs w:val="17"/>
                  <w:color w:val="0000EE"/>
                </w:rPr>
                <w:t>Exhibit 10.7</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to Amendment No. 1 to</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the registrant’s Registration Statement on Form S-1 (File No. 333-232260) filed with the Securities and Exchange Commission on July 8,</w:t>
            </w: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2019)</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99.3</w:t>
            </w:r>
          </w:p>
        </w:tc>
        <w:tc>
          <w:tcPr>
            <w:tcW w:w="400" w:type="dxa"/>
            <w:vAlign w:val="bottom"/>
          </w:tcPr>
          <w:p>
            <w:pPr>
              <w:spacing w:after="0"/>
              <w:rPr>
                <w:sz w:val="23"/>
                <w:szCs w:val="23"/>
                <w:color w:val="auto"/>
              </w:rPr>
            </w:pPr>
          </w:p>
        </w:tc>
        <w:tc>
          <w:tcPr>
            <w:tcW w:w="9720" w:type="dxa"/>
            <w:vAlign w:val="bottom"/>
            <w:gridSpan w:val="20"/>
          </w:tcPr>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Form of Restricted Stock Unit Agreement under the 2019 Stock Incentive Plan (incorporated by reference to </w:t>
            </w:r>
            <w:hyperlink r:id="rId30">
              <w:r>
                <w:rPr>
                  <w:rFonts w:ascii="Times New Roman" w:cs="Times New Roman" w:eastAsia="Times New Roman" w:hAnsi="Times New Roman"/>
                  <w:sz w:val="17"/>
                  <w:szCs w:val="17"/>
                  <w:color w:val="0000EE"/>
                </w:rPr>
                <w:t>Exhibit 10.10</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to the registrant’s</w:t>
            </w:r>
          </w:p>
        </w:tc>
        <w:tc>
          <w:tcPr>
            <w:tcW w:w="0" w:type="dxa"/>
            <w:vAlign w:val="bottom"/>
          </w:tcPr>
          <w:p>
            <w:pPr>
              <w:spacing w:after="0"/>
              <w:rPr>
                <w:sz w:val="1"/>
                <w:szCs w:val="1"/>
                <w:color w:val="auto"/>
              </w:rPr>
            </w:pPr>
          </w:p>
        </w:tc>
      </w:tr>
      <w:tr>
        <w:trPr>
          <w:trHeight w:val="226"/>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54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Annual Report on Form 10-K filed with the Securities and Exchange Commission on March 3, 2022)</w:t>
            </w:r>
          </w:p>
        </w:tc>
        <w:tc>
          <w:tcPr>
            <w:tcW w:w="980" w:type="dxa"/>
            <w:vAlign w:val="bottom"/>
            <w:tcBorders>
              <w:top w:val="single" w:sz="8" w:color="0000EE"/>
            </w:tcBorders>
            <w:gridSpan w:val="3"/>
          </w:tcPr>
          <w:p>
            <w:pPr>
              <w:spacing w:after="0"/>
              <w:rPr>
                <w:sz w:val="19"/>
                <w:szCs w:val="19"/>
                <w:color w:val="auto"/>
              </w:rPr>
            </w:pPr>
          </w:p>
        </w:tc>
        <w:tc>
          <w:tcPr>
            <w:tcW w:w="1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99.4</w:t>
            </w:r>
          </w:p>
        </w:tc>
        <w:tc>
          <w:tcPr>
            <w:tcW w:w="400" w:type="dxa"/>
            <w:vAlign w:val="bottom"/>
          </w:tcPr>
          <w:p>
            <w:pPr>
              <w:spacing w:after="0"/>
              <w:rPr>
                <w:sz w:val="23"/>
                <w:szCs w:val="23"/>
                <w:color w:val="auto"/>
              </w:rPr>
            </w:pPr>
          </w:p>
        </w:tc>
        <w:tc>
          <w:tcPr>
            <w:tcW w:w="9720" w:type="dxa"/>
            <w:vAlign w:val="bottom"/>
            <w:gridSpan w:val="20"/>
          </w:tcPr>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2019 Employee Stock Purchase Plan of the registrant (incorporated by reference to </w:t>
            </w:r>
            <w:hyperlink r:id="rId31">
              <w:r>
                <w:rPr>
                  <w:rFonts w:ascii="Times New Roman" w:cs="Times New Roman" w:eastAsia="Times New Roman" w:hAnsi="Times New Roman"/>
                  <w:sz w:val="17"/>
                  <w:szCs w:val="17"/>
                  <w:color w:val="0000EE"/>
                </w:rPr>
                <w:t>Exhibit 10.8</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to Amendment No. 1 to the registrant’s</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40" w:type="dxa"/>
            <w:vAlign w:val="bottom"/>
            <w:gridSpan w:val="8"/>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72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Registration Statement on Form S-1 (File No. 333-232260) filed with the Securities and Exchange Commission on July 8, 2019)</w:t>
            </w:r>
          </w:p>
        </w:tc>
        <w:tc>
          <w:tcPr>
            <w:tcW w:w="0" w:type="dxa"/>
            <w:vAlign w:val="bottom"/>
          </w:tcPr>
          <w:p>
            <w:pPr>
              <w:spacing w:after="0"/>
              <w:rPr>
                <w:sz w:val="1"/>
                <w:szCs w:val="1"/>
                <w:color w:val="auto"/>
              </w:rPr>
            </w:pPr>
          </w:p>
        </w:tc>
      </w:tr>
      <w:tr>
        <w:trPr>
          <w:trHeight w:val="272"/>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400" w:type="dxa"/>
            <w:vAlign w:val="bottom"/>
          </w:tcPr>
          <w:p>
            <w:pPr>
              <w:spacing w:after="0"/>
              <w:rPr>
                <w:sz w:val="23"/>
                <w:szCs w:val="23"/>
                <w:color w:val="auto"/>
              </w:rPr>
            </w:pPr>
          </w:p>
        </w:tc>
        <w:tc>
          <w:tcPr>
            <w:tcW w:w="1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9"/>
              </w:rPr>
              <w:t>Filing Fee Table</w:t>
            </w:r>
          </w:p>
        </w:tc>
        <w:tc>
          <w:tcPr>
            <w:tcW w:w="8580" w:type="dxa"/>
            <w:vAlign w:val="bottom"/>
            <w:gridSpan w:val="19"/>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404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40410" cy="8255"/>
                    </a:xfrm>
                    <a:prstGeom prst="rect">
                      <a:avLst/>
                    </a:prstGeom>
                    <a:noFill/>
                  </pic:spPr>
                </pic:pic>
              </a:graphicData>
            </a:graphic>
          </wp:anchor>
        </w:drawing>
      </w:r>
    </w:p>
    <w:p>
      <w:pPr>
        <w:spacing w:after="0" w:line="169" w:lineRule="exact"/>
        <w:rPr>
          <w:sz w:val="20"/>
          <w:szCs w:val="20"/>
          <w:color w:val="auto"/>
        </w:rPr>
      </w:pPr>
    </w:p>
    <w:p>
      <w:pPr>
        <w:ind w:left="420" w:hanging="420"/>
        <w:spacing w:after="0"/>
        <w:tabs>
          <w:tab w:leader="none" w:pos="4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ectPr>
          <w:pgSz w:w="11900" w:h="16838" w:orient="portrait"/>
          <w:cols w:equalWidth="0" w:num="1">
            <w:col w:w="10560"/>
          </w:cols>
          <w:pgMar w:left="660" w:top="262"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9945" cy="37465"/>
                    </a:xfrm>
                    <a:prstGeom prst="rect">
                      <a:avLst/>
                    </a:prstGeom>
                    <a:noFill/>
                  </pic:spPr>
                </pic:pic>
              </a:graphicData>
            </a:graphic>
          </wp:anchor>
        </w:drawing>
        <w:t>SIGNATURES</w:t>
      </w:r>
    </w:p>
    <w:p>
      <w:pPr>
        <w:spacing w:after="0" w:line="221" w:lineRule="exact"/>
        <w:rPr>
          <w:sz w:val="20"/>
          <w:szCs w:val="20"/>
          <w:color w:val="auto"/>
        </w:rPr>
      </w:pPr>
    </w:p>
    <w:p>
      <w:pPr>
        <w:jc w:val="both"/>
        <w:ind w:right="600"/>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24th day of February, 2026.</w:t>
      </w:r>
    </w:p>
    <w:p>
      <w:pPr>
        <w:spacing w:after="0" w:line="18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Fulcrum Therapeutics, Inc.</w:t>
      </w:r>
    </w:p>
    <w:p>
      <w:pPr>
        <w:spacing w:after="0" w:line="221" w:lineRule="exact"/>
        <w:rPr>
          <w:sz w:val="20"/>
          <w:szCs w:val="20"/>
          <w:color w:val="auto"/>
        </w:rPr>
      </w:pPr>
    </w:p>
    <w:p>
      <w:pPr>
        <w:ind w:left="6340"/>
        <w:spacing w:after="0"/>
        <w:tabs>
          <w:tab w:leader="none" w:pos="68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19050</wp:posOffset>
            </wp:positionV>
            <wp:extent cx="2327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2327275" cy="8255"/>
                    </a:xfrm>
                    <a:prstGeom prst="rect">
                      <a:avLst/>
                    </a:prstGeom>
                    <a:noFill/>
                  </pic:spPr>
                </pic:pic>
              </a:graphicData>
            </a:graphic>
          </wp:anchor>
        </w:drawing>
      </w:r>
    </w:p>
    <w:p>
      <w:pPr>
        <w:spacing w:after="0" w:line="1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Name: Alex C. Sapir</w:t>
      </w:r>
    </w:p>
    <w:p>
      <w:pPr>
        <w:spacing w:after="0" w:line="30" w:lineRule="exact"/>
        <w:rPr>
          <w:sz w:val="20"/>
          <w:szCs w:val="20"/>
          <w:color w:val="auto"/>
        </w:rPr>
      </w:pPr>
    </w:p>
    <w:p>
      <w:pPr>
        <w:ind w:left="6340"/>
        <w:spacing w:after="0"/>
        <w:tabs>
          <w:tab w:leader="none" w:pos="688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each of Alex C. Sapir and Alan Musso,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9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94"/>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Alex C. Sapir</w:t>
            </w:r>
          </w:p>
        </w:tc>
        <w:tc>
          <w:tcPr>
            <w:tcW w:w="100" w:type="dxa"/>
            <w:vAlign w:val="bottom"/>
          </w:tcPr>
          <w:p>
            <w:pPr>
              <w:spacing w:after="0"/>
              <w:rPr>
                <w:sz w:val="24"/>
                <w:szCs w:val="24"/>
                <w:color w:val="auto"/>
              </w:rPr>
            </w:pPr>
          </w:p>
        </w:tc>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President and Chief Executive Officer, 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Alex C. Sapir</w:t>
            </w:r>
          </w:p>
        </w:tc>
        <w:tc>
          <w:tcPr>
            <w:tcW w:w="100" w:type="dxa"/>
            <w:vAlign w:val="bottom"/>
          </w:tcPr>
          <w:p>
            <w:pPr>
              <w:spacing w:after="0"/>
              <w:rPr>
                <w:sz w:val="19"/>
                <w:szCs w:val="19"/>
                <w:color w:val="auto"/>
              </w:rPr>
            </w:pPr>
          </w:p>
        </w:tc>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740" w:type="dxa"/>
            <w:vAlign w:val="bottom"/>
          </w:tcPr>
          <w:p>
            <w:pPr>
              <w:spacing w:after="0"/>
              <w:rPr>
                <w:sz w:val="19"/>
                <w:szCs w:val="19"/>
                <w:color w:val="auto"/>
              </w:rPr>
            </w:pPr>
          </w:p>
        </w:tc>
      </w:tr>
      <w:tr>
        <w:trPr>
          <w:trHeight w:val="409"/>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Alan Musso</w:t>
            </w:r>
          </w:p>
        </w:tc>
        <w:tc>
          <w:tcPr>
            <w:tcW w:w="100" w:type="dxa"/>
            <w:vAlign w:val="bottom"/>
          </w:tcPr>
          <w:p>
            <w:pPr>
              <w:spacing w:after="0"/>
              <w:rPr>
                <w:sz w:val="24"/>
                <w:szCs w:val="24"/>
                <w:color w:val="auto"/>
              </w:rPr>
            </w:pPr>
          </w:p>
        </w:tc>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Chief Financial Officer</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Alan Musso</w:t>
            </w:r>
          </w:p>
        </w:tc>
        <w:tc>
          <w:tcPr>
            <w:tcW w:w="100" w:type="dxa"/>
            <w:vAlign w:val="bottom"/>
          </w:tcPr>
          <w:p>
            <w:pPr>
              <w:spacing w:after="0"/>
              <w:rPr>
                <w:sz w:val="19"/>
                <w:szCs w:val="19"/>
                <w:color w:val="auto"/>
              </w:rPr>
            </w:pPr>
          </w:p>
        </w:tc>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740" w:type="dxa"/>
            <w:vAlign w:val="bottom"/>
          </w:tcPr>
          <w:p>
            <w:pPr>
              <w:spacing w:after="0"/>
              <w:rPr>
                <w:sz w:val="19"/>
                <w:szCs w:val="19"/>
                <w:color w:val="auto"/>
              </w:rPr>
            </w:pPr>
          </w:p>
        </w:tc>
      </w:tr>
      <w:tr>
        <w:trPr>
          <w:trHeight w:val="409"/>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Gregory Tourangeau</w:t>
            </w:r>
          </w:p>
        </w:tc>
        <w:tc>
          <w:tcPr>
            <w:tcW w:w="100" w:type="dxa"/>
            <w:vAlign w:val="bottom"/>
          </w:tcPr>
          <w:p>
            <w:pPr>
              <w:spacing w:after="0"/>
              <w:rPr>
                <w:sz w:val="24"/>
                <w:szCs w:val="24"/>
                <w:color w:val="auto"/>
              </w:rPr>
            </w:pPr>
          </w:p>
        </w:tc>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Vice President, Finance</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Gregory Tourangeau</w:t>
            </w:r>
          </w:p>
        </w:tc>
        <w:tc>
          <w:tcPr>
            <w:tcW w:w="100" w:type="dxa"/>
            <w:vAlign w:val="bottom"/>
          </w:tcPr>
          <w:p>
            <w:pPr>
              <w:spacing w:after="0"/>
              <w:rPr>
                <w:sz w:val="19"/>
                <w:szCs w:val="19"/>
                <w:color w:val="auto"/>
              </w:rPr>
            </w:pPr>
          </w:p>
        </w:tc>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740" w:type="dxa"/>
            <w:vAlign w:val="bottom"/>
          </w:tcPr>
          <w:p>
            <w:pPr>
              <w:spacing w:after="0"/>
              <w:rPr>
                <w:sz w:val="19"/>
                <w:szCs w:val="19"/>
                <w:color w:val="auto"/>
              </w:rPr>
            </w:pPr>
          </w:p>
        </w:tc>
      </w:tr>
      <w:tr>
        <w:trPr>
          <w:trHeight w:val="409"/>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Kate Haviland</w:t>
            </w:r>
          </w:p>
        </w:tc>
        <w:tc>
          <w:tcPr>
            <w:tcW w:w="100" w:type="dxa"/>
            <w:vAlign w:val="bottom"/>
          </w:tcPr>
          <w:p>
            <w:pPr>
              <w:spacing w:after="0"/>
              <w:rPr>
                <w:sz w:val="24"/>
                <w:szCs w:val="24"/>
                <w:color w:val="auto"/>
              </w:rPr>
            </w:pPr>
          </w:p>
        </w:tc>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Chairman of the Board</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Kate Haviland</w:t>
            </w:r>
          </w:p>
        </w:tc>
        <w:tc>
          <w:tcPr>
            <w:tcW w:w="1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09"/>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Sonja L. Banks</w:t>
            </w:r>
          </w:p>
        </w:tc>
        <w:tc>
          <w:tcPr>
            <w:tcW w:w="100" w:type="dxa"/>
            <w:vAlign w:val="bottom"/>
          </w:tcPr>
          <w:p>
            <w:pPr>
              <w:spacing w:after="0"/>
              <w:rPr>
                <w:sz w:val="24"/>
                <w:szCs w:val="24"/>
                <w:color w:val="auto"/>
              </w:rPr>
            </w:pPr>
          </w:p>
        </w:tc>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Sonja L. Banks</w:t>
            </w:r>
          </w:p>
        </w:tc>
        <w:tc>
          <w:tcPr>
            <w:tcW w:w="1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09"/>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Katina Dorton</w:t>
            </w:r>
          </w:p>
        </w:tc>
        <w:tc>
          <w:tcPr>
            <w:tcW w:w="100" w:type="dxa"/>
            <w:vAlign w:val="bottom"/>
          </w:tcPr>
          <w:p>
            <w:pPr>
              <w:spacing w:after="0"/>
              <w:rPr>
                <w:sz w:val="24"/>
                <w:szCs w:val="24"/>
                <w:color w:val="auto"/>
              </w:rPr>
            </w:pPr>
          </w:p>
        </w:tc>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Katina Dorton</w:t>
            </w:r>
          </w:p>
        </w:tc>
        <w:tc>
          <w:tcPr>
            <w:tcW w:w="1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09"/>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Alan Ezekowitz</w:t>
            </w:r>
          </w:p>
        </w:tc>
        <w:tc>
          <w:tcPr>
            <w:tcW w:w="100" w:type="dxa"/>
            <w:vAlign w:val="bottom"/>
          </w:tcPr>
          <w:p>
            <w:pPr>
              <w:spacing w:after="0"/>
              <w:rPr>
                <w:sz w:val="24"/>
                <w:szCs w:val="24"/>
                <w:color w:val="auto"/>
              </w:rPr>
            </w:pPr>
          </w:p>
        </w:tc>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Alan Ezekowitz</w:t>
            </w:r>
          </w:p>
        </w:tc>
        <w:tc>
          <w:tcPr>
            <w:tcW w:w="1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09"/>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James Geraghty</w:t>
            </w:r>
          </w:p>
        </w:tc>
        <w:tc>
          <w:tcPr>
            <w:tcW w:w="100" w:type="dxa"/>
            <w:vAlign w:val="bottom"/>
          </w:tcPr>
          <w:p>
            <w:pPr>
              <w:spacing w:after="0"/>
              <w:rPr>
                <w:sz w:val="24"/>
                <w:szCs w:val="24"/>
                <w:color w:val="auto"/>
              </w:rPr>
            </w:pPr>
          </w:p>
        </w:tc>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James Geraghty</w:t>
            </w:r>
          </w:p>
        </w:tc>
        <w:tc>
          <w:tcPr>
            <w:tcW w:w="1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09"/>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Robert J. Gould</w:t>
            </w:r>
          </w:p>
        </w:tc>
        <w:tc>
          <w:tcPr>
            <w:tcW w:w="100" w:type="dxa"/>
            <w:vAlign w:val="bottom"/>
          </w:tcPr>
          <w:p>
            <w:pPr>
              <w:spacing w:after="0"/>
              <w:rPr>
                <w:sz w:val="24"/>
                <w:szCs w:val="24"/>
                <w:color w:val="auto"/>
              </w:rPr>
            </w:pPr>
          </w:p>
        </w:tc>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Robert J. Gould</w:t>
            </w:r>
          </w:p>
        </w:tc>
        <w:tc>
          <w:tcPr>
            <w:tcW w:w="1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09"/>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Colin Hill</w:t>
            </w:r>
          </w:p>
        </w:tc>
        <w:tc>
          <w:tcPr>
            <w:tcW w:w="100" w:type="dxa"/>
            <w:vAlign w:val="bottom"/>
          </w:tcPr>
          <w:p>
            <w:pPr>
              <w:spacing w:after="0"/>
              <w:rPr>
                <w:sz w:val="24"/>
                <w:szCs w:val="24"/>
                <w:color w:val="auto"/>
              </w:rPr>
            </w:pPr>
          </w:p>
        </w:tc>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Colin Hill</w:t>
            </w:r>
          </w:p>
        </w:tc>
        <w:tc>
          <w:tcPr>
            <w:tcW w:w="1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09"/>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Rachel King</w:t>
            </w:r>
          </w:p>
        </w:tc>
        <w:tc>
          <w:tcPr>
            <w:tcW w:w="100" w:type="dxa"/>
            <w:vAlign w:val="bottom"/>
          </w:tcPr>
          <w:p>
            <w:pPr>
              <w:spacing w:after="0"/>
              <w:rPr>
                <w:sz w:val="24"/>
                <w:szCs w:val="24"/>
                <w:color w:val="auto"/>
              </w:rPr>
            </w:pPr>
          </w:p>
        </w:tc>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24, 2026</w:t>
            </w:r>
          </w:p>
        </w:tc>
      </w:tr>
      <w:tr>
        <w:trPr>
          <w:trHeight w:val="219"/>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Rachel King</w:t>
            </w:r>
          </w:p>
        </w:tc>
        <w:tc>
          <w:tcPr>
            <w:tcW w:w="1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r>
    </w:tbl>
    <w:p>
      <w:pPr>
        <w:sectPr>
          <w:pgSz w:w="11900" w:h="16838" w:orient="portrait"/>
          <w:cols w:equalWidth="0" w:num="1">
            <w:col w:w="10560"/>
          </w:cols>
          <w:pgMar w:left="660" w:top="262" w:right="6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4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7"/>
          <w:szCs w:val="17"/>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924050" cy="460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1924050" cy="460375"/>
                    </a:xfrm>
                    <a:prstGeom prst="rect">
                      <a:avLst/>
                    </a:prstGeom>
                    <a:noFill/>
                  </pic:spPr>
                </pic:pic>
              </a:graphicData>
            </a:graphic>
          </wp:anchor>
        </w:drawing>
      </w:r>
    </w:p>
    <w:p>
      <w:pPr>
        <w:spacing w:after="0" w:line="10"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7"/>
          <w:szCs w:val="17"/>
          <w:color w:val="auto"/>
        </w:rPr>
        <w:t>100 Northern Avenue</w:t>
      </w:r>
    </w:p>
    <w:p>
      <w:pPr>
        <w:spacing w:after="0" w:line="1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1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7"/>
          <w:szCs w:val="17"/>
          <w:color w:val="auto"/>
        </w:rPr>
        <w:t>02210</w:t>
      </w:r>
    </w:p>
    <w:p>
      <w:pPr>
        <w:spacing w:after="0" w:line="110"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7"/>
          <w:szCs w:val="17"/>
          <w:color w:val="auto"/>
        </w:rPr>
        <w:t>goodwinlaw.com</w:t>
      </w:r>
    </w:p>
    <w:p>
      <w:pPr>
        <w:spacing w:after="0" w:line="30"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7"/>
          <w:szCs w:val="17"/>
          <w:color w:val="auto"/>
        </w:rPr>
        <w:t>+1 617 570 1000</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Fulcrum Therapeutics,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 Landsdowne Street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Cambridge, Massachusetts 02139</w:t>
      </w:r>
    </w:p>
    <w:p>
      <w:pPr>
        <w:spacing w:after="0" w:line="2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Securities Being Registered under Registration Statement on Form S-8</w:t>
      </w:r>
    </w:p>
    <w:p>
      <w:pPr>
        <w:spacing w:after="0" w:line="219"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7"/>
          <w:szCs w:val="17"/>
          <w:color w:val="auto"/>
        </w:rPr>
        <w:t>We have acted as your counsel in connection with your filing of a Registration Statement on Form S-8 (the “Registration Statement”) pursuant to the Securities Act of 1933, as amended (the “Securities Act”), on or about the date hereof relating to an aggregate of 2,428,571 shares (the “Shares”) of Common Stock, par value $0.001 per share (“Common Stock”), of Fulcrum Therapeutics, Inc., a Delaware corporation (the “Company”), that may be issued pursuant to the Company’s 2019 Stock Incentive Plan (the “2019 Plan”) and the Company’s 2019 Employee Stock Purchase Plan (the “ESPP” and, together with the 2019 Plan, the “Plans”).</w:t>
      </w:r>
    </w:p>
    <w:p>
      <w:pPr>
        <w:spacing w:after="0" w:line="17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6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opinion set forth below is limited to the Delaware General Corporation Law.</w:t>
      </w:r>
    </w:p>
    <w:p>
      <w:pPr>
        <w:spacing w:after="0" w:line="219"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color w:val="auto"/>
        </w:rPr>
        <w:t>Based on the foregoing, we are of the opinion that the Shares have been duly authorized and, when delivered against payment therefor in accordance with the terms of the Plans, will be validly issued, fully paid and nonassessable.</w:t>
      </w:r>
    </w:p>
    <w:p>
      <w:pPr>
        <w:spacing w:after="0" w:line="146"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7"/>
          <w:szCs w:val="17"/>
          <w:i w:val="1"/>
          <w:iCs w:val="1"/>
          <w:color w:val="auto"/>
        </w:rPr>
        <w:t>Business Lawyer</w:t>
      </w:r>
      <w:r>
        <w:rPr>
          <w:rFonts w:ascii="Times New Roman" w:cs="Times New Roman" w:eastAsia="Times New Roman" w:hAnsi="Times New Roman"/>
          <w:sz w:val="17"/>
          <w:szCs w:val="17"/>
          <w:color w:val="auto"/>
        </w:rPr>
        <w:t xml:space="preserve"> 815 (Summer 2019).</w:t>
      </w:r>
    </w:p>
    <w:p>
      <w:pPr>
        <w:sectPr>
          <w:pgSz w:w="11900" w:h="16838" w:orient="portrait"/>
          <w:cols w:equalWidth="0" w:num="1">
            <w:col w:w="10560"/>
          </w:cols>
          <w:pgMar w:left="660" w:top="119"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94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79945" cy="37465"/>
                    </a:xfrm>
                    <a:prstGeom prst="rect">
                      <a:avLst/>
                    </a:prstGeom>
                    <a:noFill/>
                  </pic:spPr>
                </pic:pic>
              </a:graphicData>
            </a:graphic>
          </wp:anchor>
        </w:drawing>
        <w:t>Fulcrum Therapeutics,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0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/s/ Goodwin Procter LLP</w:t>
      </w:r>
    </w:p>
    <w:p>
      <w:pPr>
        <w:spacing w:after="0" w:line="2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color w:val="auto"/>
        </w:rPr>
        <w:t>GOODWIN PROCTER LLP</w:t>
      </w:r>
    </w:p>
    <w:p>
      <w:pPr>
        <w:sectPr>
          <w:pgSz w:w="11900" w:h="16838" w:orient="portrait"/>
          <w:cols w:equalWidth="0" w:num="1">
            <w:col w:w="10500"/>
          </w:cols>
          <w:pgMar w:left="660" w:top="264" w:right="7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2019 Stock Incentive Plan and the 2019 Employee Stock Purchase Plan of Fulcrum Therapeutics, Inc. of our report dated February 24, 2026 with respect to the consolidated financial statements of Fulcrum Therapeutics, Inc. included in its Annual Report (Form 10-K) for the year ended December 31, 2025, filed with the Securities and Exchange Commission.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&amp;Young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ectPr>
          <w:pgSz w:w="11900" w:h="16838" w:orient="portrait"/>
          <w:cols w:equalWidth="0" w:num="1">
            <w:col w:w="10560"/>
          </w:cols>
          <w:pgMar w:left="660" w:top="119" w:right="679" w:bottom="1440" w:gutter="0" w:footer="0" w:header="0"/>
        </w:sectPr>
      </w:pPr>
    </w:p>
    <w:bookmarkStart w:id="7" w:name="page8"/>
    <w:bookmarkEnd w:id="7"/>
    <w:p>
      <w:pPr>
        <w:ind w:left="2980"/>
        <w:spacing w:after="0"/>
        <w:rPr>
          <w:sz w:val="20"/>
          <w:szCs w:val="20"/>
          <w:color w:val="auto"/>
        </w:rPr>
      </w:pPr>
      <w:r>
        <w:rPr>
          <w:rFonts w:ascii="Arial" w:cs="Arial" w:eastAsia="Arial" w:hAnsi="Arial"/>
          <w:sz w:val="35"/>
          <w:szCs w:val="35"/>
          <w:b w:val="1"/>
          <w:bCs w:val="1"/>
          <w:color w:val="auto"/>
        </w:rPr>
        <w:t>Calculation of Filing Fee Tables</w:t>
      </w:r>
    </w:p>
    <w:p>
      <w:pPr>
        <w:spacing w:after="0" w:line="206" w:lineRule="exact"/>
        <w:rPr>
          <w:sz w:val="20"/>
          <w:szCs w:val="20"/>
          <w:color w:val="auto"/>
        </w:rPr>
      </w:pPr>
    </w:p>
    <w:p>
      <w:pPr>
        <w:ind w:left="52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240"/>
        <w:spacing w:after="0"/>
        <w:rPr>
          <w:sz w:val="20"/>
          <w:szCs w:val="20"/>
          <w:color w:val="auto"/>
        </w:rPr>
      </w:pPr>
      <w:r>
        <w:rPr>
          <w:rFonts w:ascii="Arial" w:cs="Arial" w:eastAsia="Arial" w:hAnsi="Arial"/>
          <w:sz w:val="35"/>
          <w:szCs w:val="35"/>
          <w:b w:val="1"/>
          <w:bCs w:val="1"/>
          <w:color w:val="auto"/>
        </w:rPr>
        <w:t>Fulcrum Therapeutics, Inc.</w:t>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42"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6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18"/>
                <w:szCs w:val="18"/>
                <w:color w:val="auto"/>
              </w:rPr>
            </w:pPr>
          </w:p>
        </w:tc>
        <w:tc>
          <w:tcPr>
            <w:tcW w:w="11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14" w:lineRule="exact"/>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18"/>
                <w:szCs w:val="18"/>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Amount of</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Borders>
              <w:left w:val="single" w:sz="8" w:color="auto"/>
            </w:tcBorders>
          </w:tcPr>
          <w:p>
            <w:pPr>
              <w:spacing w:after="0"/>
              <w:rPr>
                <w:sz w:val="18"/>
                <w:szCs w:val="18"/>
                <w:color w:val="auto"/>
              </w:rPr>
            </w:pPr>
          </w:p>
        </w:tc>
        <w:tc>
          <w:tcPr>
            <w:tcW w:w="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9ADAF6"/>
          </w:tcPr>
          <w:p>
            <w:pPr>
              <w:jc w:val="right"/>
              <w:ind w:right="56"/>
              <w:spacing w:after="0" w:line="208" w:lineRule="exact"/>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18"/>
                <w:szCs w:val="18"/>
                <w:color w:val="auto"/>
              </w:rPr>
            </w:pPr>
          </w:p>
        </w:tc>
        <w:tc>
          <w:tcPr>
            <w:tcW w:w="140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18"/>
                <w:szCs w:val="18"/>
                <w:color w:val="auto"/>
              </w:rPr>
            </w:pPr>
          </w:p>
        </w:tc>
        <w:tc>
          <w:tcPr>
            <w:tcW w:w="15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vMerge w:val="continue"/>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Calculation</w:t>
            </w:r>
          </w:p>
        </w:tc>
        <w:tc>
          <w:tcPr>
            <w:tcW w:w="2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40" w:type="dxa"/>
            <w:vAlign w:val="bottom"/>
          </w:tcPr>
          <w:p>
            <w:pPr>
              <w:spacing w:after="0"/>
              <w:rPr>
                <w:sz w:val="20"/>
                <w:szCs w:val="20"/>
                <w:color w:val="auto"/>
              </w:rPr>
            </w:pPr>
          </w:p>
        </w:tc>
        <w:tc>
          <w:tcPr>
            <w:tcW w:w="14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Offering Price</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Fee Rate</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Rule</w:t>
            </w: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Per Unit</w:t>
            </w:r>
          </w:p>
        </w:tc>
        <w:tc>
          <w:tcPr>
            <w:tcW w:w="20" w:type="dxa"/>
            <w:vAlign w:val="bottom"/>
          </w:tcPr>
          <w:p>
            <w:pPr>
              <w:spacing w:after="0"/>
              <w:rPr>
                <w:sz w:val="20"/>
                <w:szCs w:val="20"/>
                <w:color w:val="auto"/>
              </w:rPr>
            </w:pPr>
          </w:p>
        </w:tc>
        <w:tc>
          <w:tcPr>
            <w:tcW w:w="15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20" w:type="dxa"/>
            <w:vAlign w:val="bottom"/>
          </w:tcPr>
          <w:p>
            <w:pPr>
              <w:spacing w:after="0"/>
              <w:rPr>
                <w:sz w:val="20"/>
                <w:szCs w:val="20"/>
                <w:color w:val="auto"/>
              </w:rPr>
            </w:pPr>
          </w:p>
        </w:tc>
        <w:tc>
          <w:tcPr>
            <w:tcW w:w="10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60" w:type="dxa"/>
            <w:vAlign w:val="bottom"/>
            <w:tcBorders>
              <w:left w:val="single" w:sz="8" w:color="auto"/>
            </w:tcBorders>
          </w:tcPr>
          <w:p>
            <w:pPr>
              <w:spacing w:after="0"/>
              <w:rPr>
                <w:sz w:val="5"/>
                <w:szCs w:val="5"/>
                <w:color w:val="auto"/>
              </w:rPr>
            </w:pPr>
          </w:p>
        </w:tc>
        <w:tc>
          <w:tcPr>
            <w:tcW w:w="1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shd w:val="clear" w:color="auto" w:fill="9ADAF6"/>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$0.001</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457(a)</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2,000,000</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$ 10.54</w:t>
            </w:r>
          </w:p>
        </w:tc>
        <w:tc>
          <w:tcPr>
            <w:tcW w:w="20" w:type="dxa"/>
            <w:vAlign w:val="bottom"/>
          </w:tcPr>
          <w:p>
            <w:pPr>
              <w:spacing w:after="0"/>
              <w:rPr>
                <w:sz w:val="20"/>
                <w:szCs w:val="20"/>
                <w:color w:val="auto"/>
              </w:rPr>
            </w:pPr>
          </w:p>
        </w:tc>
        <w:tc>
          <w:tcPr>
            <w:tcW w:w="15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w w:val="98"/>
              </w:rPr>
              <w:t>$ 21,080,000.00</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$ 2,911.15</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60" w:type="dxa"/>
            <w:vAlign w:val="bottom"/>
            <w:shd w:val="clear" w:color="auto" w:fill="E7E7E2"/>
          </w:tcPr>
          <w:p>
            <w:pPr>
              <w:spacing w:after="0" w:line="233"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$0.001</w:t>
            </w:r>
          </w:p>
        </w:tc>
        <w:tc>
          <w:tcPr>
            <w:tcW w:w="20" w:type="dxa"/>
            <w:vAlign w:val="bottom"/>
          </w:tcPr>
          <w:p>
            <w:pPr>
              <w:spacing w:after="0"/>
              <w:rPr>
                <w:sz w:val="20"/>
                <w:szCs w:val="20"/>
                <w:color w:val="auto"/>
              </w:rPr>
            </w:pPr>
          </w:p>
        </w:tc>
        <w:tc>
          <w:tcPr>
            <w:tcW w:w="116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457(a)</w:t>
            </w:r>
          </w:p>
        </w:tc>
        <w:tc>
          <w:tcPr>
            <w:tcW w:w="20" w:type="dxa"/>
            <w:vAlign w:val="bottom"/>
          </w:tcPr>
          <w:p>
            <w:pPr>
              <w:spacing w:after="0"/>
              <w:rPr>
                <w:sz w:val="20"/>
                <w:szCs w:val="20"/>
                <w:color w:val="auto"/>
              </w:rPr>
            </w:pPr>
          </w:p>
        </w:tc>
        <w:tc>
          <w:tcPr>
            <w:tcW w:w="11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428,571</w:t>
            </w:r>
          </w:p>
        </w:tc>
        <w:tc>
          <w:tcPr>
            <w:tcW w:w="40" w:type="dxa"/>
            <w:vAlign w:val="bottom"/>
          </w:tcPr>
          <w:p>
            <w:pPr>
              <w:spacing w:after="0"/>
              <w:rPr>
                <w:sz w:val="20"/>
                <w:szCs w:val="20"/>
                <w:color w:val="auto"/>
              </w:rPr>
            </w:pPr>
          </w:p>
        </w:tc>
        <w:tc>
          <w:tcPr>
            <w:tcW w:w="140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$ 8.96</w:t>
            </w:r>
          </w:p>
        </w:tc>
        <w:tc>
          <w:tcPr>
            <w:tcW w:w="20" w:type="dxa"/>
            <w:vAlign w:val="bottom"/>
          </w:tcPr>
          <w:p>
            <w:pPr>
              <w:spacing w:after="0"/>
              <w:rPr>
                <w:sz w:val="20"/>
                <w:szCs w:val="20"/>
                <w:color w:val="auto"/>
              </w:rPr>
            </w:pPr>
          </w:p>
        </w:tc>
        <w:tc>
          <w:tcPr>
            <w:tcW w:w="15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$ 3,839,996.16</w:t>
            </w:r>
          </w:p>
        </w:tc>
        <w:tc>
          <w:tcPr>
            <w:tcW w:w="20" w:type="dxa"/>
            <w:vAlign w:val="bottom"/>
          </w:tcPr>
          <w:p>
            <w:pPr>
              <w:spacing w:after="0"/>
              <w:rPr>
                <w:sz w:val="20"/>
                <w:szCs w:val="20"/>
                <w:color w:val="auto"/>
              </w:rPr>
            </w:pPr>
          </w:p>
        </w:tc>
        <w:tc>
          <w:tcPr>
            <w:tcW w:w="10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8"/>
              </w:rPr>
              <w:t>0.0001381</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$ 530.30</w:t>
            </w: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0" w:type="dxa"/>
            <w:vAlign w:val="bottom"/>
            <w:tcBorders>
              <w:left w:val="single" w:sz="8" w:color="auto"/>
            </w:tcBorders>
          </w:tcPr>
          <w:p>
            <w:pPr>
              <w:spacing w:after="0"/>
              <w:rPr>
                <w:sz w:val="23"/>
                <w:szCs w:val="23"/>
                <w:color w:val="auto"/>
              </w:rPr>
            </w:pPr>
          </w:p>
        </w:tc>
        <w:tc>
          <w:tcPr>
            <w:tcW w:w="1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3"/>
                <w:szCs w:val="23"/>
                <w:color w:val="auto"/>
              </w:rPr>
            </w:pPr>
          </w:p>
        </w:tc>
        <w:tc>
          <w:tcPr>
            <w:tcW w:w="11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shd w:val="clear" w:color="auto" w:fill="E7E7E2"/>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$ 24,919,996.16</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$ 3,441.45</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$ 3,441.45</w:t>
            </w: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auto"/>
        </w:rPr>
        <w:t>Offering Note</w:t>
      </w:r>
    </w:p>
    <w:p>
      <w:pPr>
        <w:spacing w:after="0" w:line="134" w:lineRule="exact"/>
        <w:rPr>
          <w:sz w:val="20"/>
          <w:szCs w:val="20"/>
          <w:color w:val="auto"/>
        </w:rPr>
      </w:pPr>
    </w:p>
    <w:p>
      <w:pPr>
        <w:ind w:left="820" w:right="720" w:hanging="214"/>
        <w:spacing w:after="0" w:line="230" w:lineRule="auto"/>
        <w:tabs>
          <w:tab w:leader="none" w:pos="820" w:val="left"/>
        </w:tabs>
        <w:numPr>
          <w:ilvl w:val="0"/>
          <w:numId w:val="2"/>
        </w:numPr>
        <w:rPr>
          <w:rFonts w:ascii="Arial" w:cs="Arial" w:eastAsia="Arial" w:hAnsi="Arial"/>
          <w:sz w:val="26"/>
          <w:szCs w:val="26"/>
          <w:color w:val="auto"/>
          <w:vertAlign w:val="superscript"/>
        </w:rPr>
      </w:pPr>
      <w:r>
        <w:rPr>
          <w:rFonts w:ascii="Arial" w:cs="Arial" w:eastAsia="Arial" w:hAnsi="Arial"/>
          <w:sz w:val="21"/>
          <w:szCs w:val="21"/>
          <w:color w:val="auto"/>
        </w:rPr>
        <w:t>(1) In accordance with Rule 416 under the Securities Act of 1933, as amended (the "Act"), this registration statement shall be deemed to cover any additional securities that may from time to time be offered or issued to prevent dilution resulting from stock splits, stock dividends or similar transactions. Pursuant to Rule 416(c) under the Act, this registration statement shall also cover an indeterminate amount of interests to be offered or sold pursuant to the employee benefit plans described herein. (2) Consists of 2,000,000 shares issuable under the registrant's 2019 Stock Incentive Plan. (3) Estimated solely for the purpose of calculating the registration fee pursuant to Rule 457(c) and (h)(1) of the Act, and based on $10.54, the average of the high and low sale prices of the registrant's common stock as reported on the Nasdaq Global Market on February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77470</wp:posOffset>
            </wp:positionV>
            <wp:extent cx="6398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77" w:lineRule="exact"/>
        <w:rPr>
          <w:sz w:val="20"/>
          <w:szCs w:val="20"/>
          <w:color w:val="auto"/>
        </w:rPr>
      </w:pPr>
    </w:p>
    <w:p>
      <w:pPr>
        <w:ind w:left="820" w:right="760" w:hanging="214"/>
        <w:spacing w:after="0" w:line="230" w:lineRule="auto"/>
        <w:tabs>
          <w:tab w:leader="none" w:pos="820" w:val="left"/>
        </w:tabs>
        <w:numPr>
          <w:ilvl w:val="0"/>
          <w:numId w:val="3"/>
        </w:numPr>
        <w:rPr>
          <w:rFonts w:ascii="Arial" w:cs="Arial" w:eastAsia="Arial" w:hAnsi="Arial"/>
          <w:sz w:val="26"/>
          <w:szCs w:val="26"/>
          <w:color w:val="auto"/>
          <w:vertAlign w:val="superscript"/>
        </w:rPr>
      </w:pPr>
      <w:r>
        <w:rPr>
          <w:rFonts w:ascii="Arial" w:cs="Arial" w:eastAsia="Arial" w:hAnsi="Arial"/>
          <w:sz w:val="21"/>
          <w:szCs w:val="21"/>
          <w:color w:val="auto"/>
        </w:rPr>
        <w:t>(1) In accordance with Rule 416 under the Securities Act of 1933, as amended (the "Act"), this registration statement shall be deemed to cover any additional securities that may from time to time be offered or issued to prevent dilution resulting from stock splits, stock dividends or similar transactions. Pursuant to Rule 416(c) under the Act, this registration statement shall also cover an indeterminate amount of interests to be offered or sold pursuant to the employee benefit plans described herein. (4) Consists of 428,571 shares issuable under the registrant's 2019 Employee Stock Purchase Plan. (5) Estimated solely for the purpose of calculating the registration fee pursuant to Rule 457(c) and (h)(1) of the Securities Act, and based on 85% of $10.54, the average of the high and low sale prices of the registrant's common stock as reported on the Nasdaq Global Market on February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77470</wp:posOffset>
            </wp:positionV>
            <wp:extent cx="6398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w w:val="98"/>
              </w:rPr>
              <w:t>Sources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141"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jpe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19" Type="http://schemas.openxmlformats.org/officeDocument/2006/relationships/hyperlink" Target="http://www.sec.gov/Archives/edgar/data/1680581/000119312519228520/d788707ds8.htm" TargetMode="External"/><Relationship Id="rId20" Type="http://schemas.openxmlformats.org/officeDocument/2006/relationships/hyperlink" Target="http://www.sec.gov/Archives/edgar/data/1680581/000119312520063092/d892970ds8.htm" TargetMode="External"/><Relationship Id="rId21" Type="http://schemas.openxmlformats.org/officeDocument/2006/relationships/hyperlink" Target="http://www.sec.gov/Archives/edgar/data/1680581/000119312523065374/d474974ds8.htm" TargetMode="External"/><Relationship Id="rId22" Type="http://schemas.openxmlformats.org/officeDocument/2006/relationships/hyperlink" Target="http://www.sec.gov/Archives/edgar/data/1680581/000119312524048113/d788628ds8.htm" TargetMode="External"/><Relationship Id="rId23" Type="http://schemas.openxmlformats.org/officeDocument/2006/relationships/hyperlink" Target="http://www.sec.gov/Archives/edgar/data/1680581/000119312525034249/d935511ds8.htm" TargetMode="External"/><Relationship Id="rId25" Type="http://schemas.openxmlformats.org/officeDocument/2006/relationships/hyperlink" Target="http://www.sec.gov/Archives/edgar/data/1680581/000104746919004324/a2239321zex-3_1.htm" TargetMode="External"/><Relationship Id="rId26" Type="http://schemas.openxmlformats.org/officeDocument/2006/relationships/hyperlink" Target="http://www.sec.gov/Archives/edgar/data/1680581/000119312523164435/d463131dex31.htm" TargetMode="External"/><Relationship Id="rId27" Type="http://schemas.openxmlformats.org/officeDocument/2006/relationships/hyperlink" Target="http://www.sec.gov/Archives/edgar/data/1680581/000104746919004324/a2239321zex-3_2.htm" TargetMode="External"/><Relationship Id="rId28" Type="http://schemas.openxmlformats.org/officeDocument/2006/relationships/hyperlink" Target="http://www.sec.gov/Archives/edgar/data/1680581/000104746919004014/a2239182zex-10_6.htm" TargetMode="External"/><Relationship Id="rId29" Type="http://schemas.openxmlformats.org/officeDocument/2006/relationships/hyperlink" Target="http://www.sec.gov/Archives/edgar/data/1680581/000104746919004014/a2239182zex-10_7.htm" TargetMode="External"/><Relationship Id="rId30" Type="http://schemas.openxmlformats.org/officeDocument/2006/relationships/hyperlink" Target="http://www.sec.gov/Archives/edgar/data/1680581/000095017022002727/fulc-ex10_10.htm" TargetMode="External"/><Relationship Id="rId31" Type="http://schemas.openxmlformats.org/officeDocument/2006/relationships/hyperlink" Target="http://www.sec.gov/Archives/edgar/data/1680581/000104746919004014/a2239182zex-10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2026-02-24T06:17:36Z</dcterms:created>
  <dcterms:modified xsi:type="dcterms:W3CDTF">2026-02-24T06:17:36Z</dcterms:modified>
</cp:coreProperties>
</file>