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333-277419</w:t>
      </w:r>
    </w:p>
    <w:p>
      <w:pPr>
        <w:spacing w:after="0" w:line="121"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PROSPECTUS SUPPLEMENT</w:t>
      </w:r>
    </w:p>
    <w:p>
      <w:pPr>
        <w:spacing w:after="0" w:line="6"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(To Prospectus dated April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133731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31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20"/>
        <w:spacing w:after="0"/>
        <w:rPr>
          <w:sz w:val="20"/>
          <w:szCs w:val="20"/>
          <w:color w:val="auto"/>
        </w:rPr>
      </w:pPr>
      <w:r>
        <w:rPr>
          <w:rFonts w:ascii="Arial" w:cs="Arial" w:eastAsia="Arial" w:hAnsi="Arial"/>
          <w:sz w:val="43"/>
          <w:szCs w:val="43"/>
          <w:b w:val="1"/>
          <w:bCs w:val="1"/>
          <w:color w:val="auto"/>
        </w:rPr>
        <w:t>Fulcrum Therapeutics, Inc.</w:t>
      </w:r>
    </w:p>
    <w:p>
      <w:pPr>
        <w:spacing w:after="0" w:line="167" w:lineRule="exact"/>
        <w:rPr>
          <w:sz w:val="24"/>
          <w:szCs w:val="24"/>
          <w:color w:val="auto"/>
        </w:rPr>
      </w:pPr>
    </w:p>
    <w:p>
      <w:pPr>
        <w:ind w:left="120" w:right="1480"/>
        <w:spacing w:after="0" w:line="350" w:lineRule="auto"/>
        <w:rPr>
          <w:sz w:val="20"/>
          <w:szCs w:val="20"/>
          <w:color w:val="auto"/>
        </w:rPr>
      </w:pPr>
      <w:r>
        <w:rPr>
          <w:rFonts w:ascii="Arial" w:cs="Arial" w:eastAsia="Arial" w:hAnsi="Arial"/>
          <w:sz w:val="29"/>
          <w:szCs w:val="29"/>
          <w:b w:val="1"/>
          <w:bCs w:val="1"/>
          <w:i w:val="1"/>
          <w:iCs w:val="1"/>
          <w:color w:val="auto"/>
        </w:rPr>
        <w:t>11,851,853 Shares of Common Stock Pre-Funded Warrants to Purchase 1,111,193 Shares of Common Stock</w:t>
      </w:r>
    </w:p>
    <w:p>
      <w:pPr>
        <w:spacing w:after="0" w:line="2" w:lineRule="exact"/>
        <w:rPr>
          <w:sz w:val="24"/>
          <w:szCs w:val="24"/>
          <w:color w:val="auto"/>
        </w:rPr>
      </w:pPr>
    </w:p>
    <w:p>
      <w:pPr>
        <w:ind w:left="120" w:right="660"/>
        <w:spacing w:after="0" w:line="286" w:lineRule="auto"/>
        <w:rPr>
          <w:sz w:val="20"/>
          <w:szCs w:val="20"/>
          <w:color w:val="auto"/>
        </w:rPr>
      </w:pPr>
      <w:r>
        <w:rPr>
          <w:rFonts w:ascii="Arial" w:cs="Arial" w:eastAsia="Arial" w:hAnsi="Arial"/>
          <w:sz w:val="16"/>
          <w:szCs w:val="16"/>
          <w:color w:val="auto"/>
        </w:rPr>
        <w:t>We are offering 11,851,853 of shares of our common stock pursuant to this prospectus supplement and accompanying prospectus, and, in lieu of common stock, pre-funded warrants to purchase 1,111,193 shares of our common stock, to certain investors.</w:t>
      </w:r>
    </w:p>
    <w:p>
      <w:pPr>
        <w:spacing w:after="0" w:line="88" w:lineRule="exact"/>
        <w:rPr>
          <w:sz w:val="24"/>
          <w:szCs w:val="24"/>
          <w:color w:val="auto"/>
        </w:rPr>
      </w:pPr>
    </w:p>
    <w:p>
      <w:pPr>
        <w:ind w:left="120" w:right="60"/>
        <w:spacing w:after="0" w:line="286" w:lineRule="auto"/>
        <w:rPr>
          <w:sz w:val="20"/>
          <w:szCs w:val="20"/>
          <w:color w:val="auto"/>
        </w:rPr>
      </w:pPr>
      <w:r>
        <w:rPr>
          <w:rFonts w:ascii="Arial" w:cs="Arial" w:eastAsia="Arial" w:hAnsi="Arial"/>
          <w:sz w:val="16"/>
          <w:szCs w:val="16"/>
          <w:color w:val="auto"/>
        </w:rPr>
        <w:t>Our common stock is traded on The Nasdaq Global Market under the symbol “FULC.” On December 9, 2025, the last reported sale price per share of our common stock was $14.60.</w:t>
      </w:r>
    </w:p>
    <w:p>
      <w:pPr>
        <w:spacing w:after="0" w:line="75" w:lineRule="exact"/>
        <w:rPr>
          <w:sz w:val="24"/>
          <w:szCs w:val="24"/>
          <w:color w:val="auto"/>
        </w:rPr>
      </w:pPr>
    </w:p>
    <w:p>
      <w:pPr>
        <w:ind w:left="120" w:right="160"/>
        <w:spacing w:after="0" w:line="256" w:lineRule="auto"/>
        <w:rPr>
          <w:sz w:val="20"/>
          <w:szCs w:val="20"/>
          <w:color w:val="auto"/>
        </w:rPr>
      </w:pPr>
      <w:r>
        <w:rPr>
          <w:rFonts w:ascii="Arial" w:cs="Arial" w:eastAsia="Arial" w:hAnsi="Arial"/>
          <w:sz w:val="16"/>
          <w:szCs w:val="16"/>
          <w:color w:val="auto"/>
        </w:rPr>
        <w:t>The purchase price of each pre-funded warrant will equal the price per share at which shares of our common stock are being sold to the public in this offering, minus $0.001, which is the exercise price of each pre-funded warrant. The pre-funded warrants do not expire, and each pre-funded warrant will be exercisable at any time after the date of issuance, subject to an ownership limitation and in some cases clearance under the Hart-Scott- Rodino Antitrust Improvements Act of 1976, as amended, or the HSR Act. This prospectus supplement also relates to the offering of the shares of our common stock issuable upon the exercise of such pre-funded warrants.</w:t>
      </w:r>
    </w:p>
    <w:p>
      <w:pPr>
        <w:spacing w:after="0" w:line="112" w:lineRule="exact"/>
        <w:rPr>
          <w:sz w:val="24"/>
          <w:szCs w:val="24"/>
          <w:color w:val="auto"/>
        </w:rPr>
      </w:pPr>
    </w:p>
    <w:p>
      <w:pPr>
        <w:ind w:left="120" w:right="360"/>
        <w:spacing w:after="0" w:line="286" w:lineRule="auto"/>
        <w:rPr>
          <w:sz w:val="20"/>
          <w:szCs w:val="20"/>
          <w:color w:val="auto"/>
        </w:rPr>
      </w:pPr>
      <w:r>
        <w:rPr>
          <w:rFonts w:ascii="Arial" w:cs="Arial" w:eastAsia="Arial" w:hAnsi="Arial"/>
          <w:sz w:val="16"/>
          <w:szCs w:val="16"/>
          <w:color w:val="auto"/>
        </w:rPr>
        <w:t>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88" w:lineRule="exact"/>
        <w:rPr>
          <w:sz w:val="24"/>
          <w:szCs w:val="24"/>
          <w:color w:val="auto"/>
        </w:rPr>
      </w:pPr>
    </w:p>
    <w:p>
      <w:pPr>
        <w:ind w:left="120" w:right="40"/>
        <w:spacing w:after="0" w:line="259" w:lineRule="auto"/>
        <w:rPr>
          <w:sz w:val="20"/>
          <w:szCs w:val="20"/>
          <w:color w:val="auto"/>
        </w:rPr>
      </w:pPr>
      <w:r>
        <w:rPr>
          <w:rFonts w:ascii="Arial" w:cs="Arial" w:eastAsia="Arial" w:hAnsi="Arial"/>
          <w:sz w:val="16"/>
          <w:szCs w:val="16"/>
          <w:b w:val="1"/>
          <w:bCs w:val="1"/>
          <w:color w:val="auto"/>
        </w:rPr>
        <w:t>Investing in our securities involves a high degree of risk. You should carefully consider the risks and uncertainties described under the heading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on page S-10 of this prospectus supplement and in the accompanying prospectus, as well as those contained in the other documents that are incorporated by reference into this prospectus supplement, the accompanying prospectus and any related free writing prospectus. You should carefully read this entire prospectus supplement and the accompanying prospectus, including any information incorporated by reference hereto and thereto, before deciding whether to purchase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3" w:lineRule="exact"/>
        <w:rPr>
          <w:sz w:val="24"/>
          <w:szCs w:val="24"/>
          <w:color w:val="auto"/>
        </w:rPr>
      </w:pPr>
    </w:p>
    <w:tbl>
      <w:tblPr>
        <w:tblLayout w:type="fixed"/>
        <w:tblInd w:w="12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Pre-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Funded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0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ind w:left="1900"/>
              <w:spacing w:after="0"/>
              <w:rPr>
                <w:sz w:val="20"/>
                <w:szCs w:val="20"/>
                <w:color w:val="auto"/>
              </w:rPr>
            </w:pPr>
            <w:r>
              <w:rPr>
                <w:rFonts w:ascii="Arial" w:cs="Arial" w:eastAsia="Arial" w:hAnsi="Arial"/>
                <w:sz w:val="14"/>
                <w:szCs w:val="14"/>
                <w:b w:val="1"/>
                <w:bCs w:val="1"/>
                <w:color w:val="auto"/>
              </w:rPr>
              <w:t>Per Share</w:t>
            </w: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Warrant</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34"/>
        </w:trPr>
        <w:tc>
          <w:tcPr>
            <w:tcW w:w="6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208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13.50</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13.499</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175,000,009.81</w:t>
            </w:r>
          </w:p>
        </w:tc>
      </w:tr>
      <w:tr>
        <w:trPr>
          <w:trHeight w:val="297"/>
        </w:trPr>
        <w:tc>
          <w:tcPr>
            <w:tcW w:w="60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4"/>
                <w:szCs w:val="24"/>
                <w:color w:val="auto"/>
                <w:vertAlign w:val="superscript"/>
              </w:rPr>
              <w:t>(1)</w:t>
            </w:r>
          </w:p>
        </w:tc>
        <w:tc>
          <w:tcPr>
            <w:tcW w:w="2080" w:type="dxa"/>
            <w:vAlign w:val="bottom"/>
          </w:tcPr>
          <w:p>
            <w:pPr>
              <w:ind w:left="19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0.81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0.81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10,500,067.26</w:t>
            </w: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Proceeds to Fulcrum Therapeutics, Inc., before expenses</w:t>
            </w:r>
          </w:p>
        </w:tc>
        <w:tc>
          <w:tcPr>
            <w:tcW w:w="208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12.69</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12.689</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164,499,942.55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32"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beginning on page S-25 of this prospectus supplement for additional information regarding underwriting compensation.</w:t>
      </w:r>
    </w:p>
    <w:p>
      <w:pPr>
        <w:spacing w:after="0" w:line="146" w:lineRule="exact"/>
        <w:rPr>
          <w:sz w:val="24"/>
          <w:szCs w:val="24"/>
          <w:color w:val="auto"/>
        </w:rPr>
      </w:pPr>
    </w:p>
    <w:p>
      <w:pPr>
        <w:ind w:left="120" w:right="40"/>
        <w:spacing w:after="0" w:line="259" w:lineRule="auto"/>
        <w:rPr>
          <w:sz w:val="20"/>
          <w:szCs w:val="20"/>
          <w:color w:val="auto"/>
        </w:rPr>
      </w:pPr>
      <w:r>
        <w:rPr>
          <w:rFonts w:ascii="Arial" w:cs="Arial" w:eastAsia="Arial" w:hAnsi="Arial"/>
          <w:sz w:val="16"/>
          <w:szCs w:val="16"/>
          <w:color w:val="auto"/>
        </w:rPr>
        <w:t>The underwriters may also exercise their option to purchase up to an additional 1,944,456 shares of common stock from us, at the public offering price, less the underwriting discounts and commissions, for 30 days after the date of this prospectus supplement. If the underwriters exercise the option in full, the total underwriting discounts and commissions payable by us will be $12.1 million, and the total proceeds to us, before expenses, will be $189.2 million in each case, assuming no exercise of any pre-funded warrants offered or sold by us. See “Underwriting” for more information.</w:t>
      </w:r>
    </w:p>
    <w:p>
      <w:pPr>
        <w:spacing w:after="0" w:line="110" w:lineRule="exact"/>
        <w:rPr>
          <w:sz w:val="24"/>
          <w:szCs w:val="24"/>
          <w:color w:val="auto"/>
        </w:rPr>
      </w:pPr>
    </w:p>
    <w:p>
      <w:pPr>
        <w:ind w:left="120" w:right="40"/>
        <w:spacing w:after="0" w:line="271"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9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The shares of common stock and the pre-funded warrants will be ready for delivery against payment therefor on or about December 11, 2025.</w:t>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Book-Running Managers</w:t>
      </w:r>
    </w:p>
    <w:p>
      <w:pPr>
        <w:spacing w:after="0" w:line="131" w:lineRule="exact"/>
        <w:rPr>
          <w:sz w:val="24"/>
          <w:szCs w:val="24"/>
          <w:color w:val="auto"/>
        </w:rPr>
      </w:pPr>
    </w:p>
    <w:p>
      <w:pPr>
        <w:ind w:left="120"/>
        <w:spacing w:after="0"/>
        <w:tabs>
          <w:tab w:leader="none" w:pos="3420" w:val="left"/>
          <w:tab w:leader="none" w:pos="101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9"/>
          <w:szCs w:val="29"/>
          <w:b w:val="1"/>
          <w:bCs w:val="1"/>
          <w:color w:val="auto"/>
        </w:rPr>
        <w:t>Cantor</w:t>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   Oppenheimer &amp; Co.                     Truist Securities</w:t>
      </w:r>
    </w:p>
    <w:p>
      <w:pPr>
        <w:sectPr>
          <w:pgSz w:w="11900" w:h="16838" w:orient="portrait"/>
          <w:cols w:equalWidth="0" w:num="1">
            <w:col w:w="11140"/>
          </w:cols>
          <w:pgMar w:left="320" w:top="225" w:right="439" w:bottom="1440" w:gutter="0" w:footer="0" w:header="0"/>
        </w:sectPr>
      </w:pPr>
    </w:p>
    <w:p>
      <w:pPr>
        <w:spacing w:after="0" w:line="154"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Prospectus Supplement dated December 10,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PROSPECTUS SUPPLEMENT</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36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ABOUT THIS PROSPECTUS SUPPLEMENT</w:t>
            </w:r>
          </w:p>
        </w:tc>
        <w:tc>
          <w:tcPr>
            <w:tcW w:w="6740" w:type="dxa"/>
            <w:vAlign w:val="bottom"/>
            <w:gridSpan w:val="6"/>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10380" w:type="dxa"/>
            <w:vAlign w:val="bottom"/>
            <w:gridSpan w:val="25"/>
          </w:tcPr>
          <w:p>
            <w:pPr>
              <w:spacing w:after="0"/>
              <w:rPr>
                <w:sz w:val="20"/>
                <w:szCs w:val="20"/>
                <w:color w:val="auto"/>
              </w:rPr>
            </w:pPr>
            <w:r>
              <w:rPr>
                <w:rFonts w:ascii="Arial" w:cs="Arial" w:eastAsia="Arial" w:hAnsi="Arial"/>
                <w:sz w:val="18"/>
                <w:szCs w:val="18"/>
                <w:color w:val="0000EE"/>
              </w:rPr>
              <w:t>CAUTIONARY NOTE REGARDING FORWARD-LOOKING STATEMENTS AND INDUSTRY DATA</w:t>
            </w:r>
          </w:p>
        </w:tc>
        <w:tc>
          <w:tcPr>
            <w:tcW w:w="58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50"/>
        </w:trPr>
        <w:tc>
          <w:tcPr>
            <w:tcW w:w="34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PROSPECTUS SUPPLEMENT SUMMARY</w:t>
            </w:r>
          </w:p>
        </w:tc>
        <w:tc>
          <w:tcPr>
            <w:tcW w:w="4360" w:type="dxa"/>
            <w:vAlign w:val="bottom"/>
            <w:tcBorders>
              <w:top w:val="single" w:sz="8" w:color="0000EE"/>
            </w:tcBorders>
            <w:gridSpan w:val="6"/>
          </w:tcPr>
          <w:p>
            <w:pPr>
              <w:spacing w:after="0"/>
              <w:rPr>
                <w:sz w:val="21"/>
                <w:szCs w:val="21"/>
                <w:color w:val="auto"/>
              </w:rPr>
            </w:pPr>
          </w:p>
        </w:tc>
        <w:tc>
          <w:tcPr>
            <w:tcW w:w="254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50"/>
        </w:trPr>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THE OFFERING</w:t>
            </w:r>
          </w:p>
        </w:tc>
        <w:tc>
          <w:tcPr>
            <w:tcW w:w="9040" w:type="dxa"/>
            <w:vAlign w:val="bottom"/>
            <w:gridSpan w:val="20"/>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50"/>
        </w:trPr>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9060" w:type="dxa"/>
            <w:vAlign w:val="bottom"/>
            <w:gridSpan w:val="21"/>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50"/>
        </w:trPr>
        <w:tc>
          <w:tcPr>
            <w:tcW w:w="10380" w:type="dxa"/>
            <w:vAlign w:val="bottom"/>
            <w:gridSpan w:val="25"/>
          </w:tcPr>
          <w:p>
            <w:pPr>
              <w:spacing w:after="0"/>
              <w:rPr>
                <w:sz w:val="20"/>
                <w:szCs w:val="20"/>
                <w:color w:val="auto"/>
              </w:rPr>
            </w:pPr>
            <w:r>
              <w:rPr>
                <w:rFonts w:ascii="Arial" w:cs="Arial" w:eastAsia="Arial" w:hAnsi="Arial"/>
                <w:sz w:val="18"/>
                <w:szCs w:val="18"/>
                <w:color w:val="0000EE"/>
              </w:rPr>
              <w:t>DESCRIPTION OF PRE-FUNDED WARRANTS</w:t>
            </w:r>
          </w:p>
        </w:tc>
        <w:tc>
          <w:tcPr>
            <w:tcW w:w="58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50"/>
        </w:trPr>
        <w:tc>
          <w:tcPr>
            <w:tcW w:w="382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USE OF PROCEEDS</w:t>
            </w:r>
          </w:p>
        </w:tc>
        <w:tc>
          <w:tcPr>
            <w:tcW w:w="6560" w:type="dxa"/>
            <w:vAlign w:val="bottom"/>
            <w:gridSpan w:val="5"/>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250"/>
        </w:trPr>
        <w:tc>
          <w:tcPr>
            <w:tcW w:w="8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9"/>
              </w:rPr>
              <w:t>DILUTION</w:t>
            </w:r>
          </w:p>
        </w:tc>
        <w:tc>
          <w:tcPr>
            <w:tcW w:w="860" w:type="dxa"/>
            <w:vAlign w:val="bottom"/>
            <w:tcBorders>
              <w:top w:val="single" w:sz="8" w:color="0000EE"/>
            </w:tcBorders>
            <w:gridSpan w:val="5"/>
          </w:tcPr>
          <w:p>
            <w:pPr>
              <w:spacing w:after="0"/>
              <w:rPr>
                <w:sz w:val="21"/>
                <w:szCs w:val="21"/>
                <w:color w:val="auto"/>
              </w:rPr>
            </w:pPr>
          </w:p>
        </w:tc>
        <w:tc>
          <w:tcPr>
            <w:tcW w:w="8660" w:type="dxa"/>
            <w:vAlign w:val="bottom"/>
            <w:gridSpan w:val="17"/>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50"/>
        </w:trPr>
        <w:tc>
          <w:tcPr>
            <w:tcW w:w="10380" w:type="dxa"/>
            <w:vAlign w:val="bottom"/>
            <w:gridSpan w:val="25"/>
          </w:tcPr>
          <w:p>
            <w:pPr>
              <w:spacing w:after="0"/>
              <w:rPr>
                <w:sz w:val="20"/>
                <w:szCs w:val="20"/>
                <w:color w:val="auto"/>
              </w:rPr>
            </w:pPr>
            <w:r>
              <w:rPr>
                <w:rFonts w:ascii="Arial" w:cs="Arial" w:eastAsia="Arial" w:hAnsi="Arial"/>
                <w:sz w:val="18"/>
                <w:szCs w:val="18"/>
                <w:color w:val="0000EE"/>
              </w:rPr>
              <w:t>MATERIAL U.S. FEDERAL INCOME AND ESTATE TAX CONSIDERATIONS FOR NON-U.S. HOLDERS OF COMMON STOCK</w:t>
            </w:r>
          </w:p>
        </w:tc>
        <w:tc>
          <w:tcPr>
            <w:tcW w:w="580" w:type="dxa"/>
            <w:vAlign w:val="bottom"/>
          </w:tcPr>
          <w:p>
            <w:pPr>
              <w:jc w:val="right"/>
              <w:spacing w:after="0"/>
              <w:rPr>
                <w:sz w:val="20"/>
                <w:szCs w:val="20"/>
                <w:color w:val="auto"/>
              </w:rPr>
            </w:pPr>
            <w:r>
              <w:rPr>
                <w:rFonts w:ascii="Arial" w:cs="Arial" w:eastAsia="Arial" w:hAnsi="Arial"/>
                <w:sz w:val="18"/>
                <w:szCs w:val="18"/>
                <w:color w:val="auto"/>
              </w:rPr>
              <w:t>S-18</w:t>
            </w:r>
          </w:p>
        </w:tc>
      </w:tr>
      <w:tr>
        <w:trPr>
          <w:trHeight w:val="183"/>
        </w:trPr>
        <w:tc>
          <w:tcPr>
            <w:tcW w:w="180" w:type="dxa"/>
            <w:vAlign w:val="bottom"/>
            <w:tcBorders>
              <w:top w:val="single" w:sz="8" w:color="0000EE"/>
            </w:tcBorders>
          </w:tcPr>
          <w:p>
            <w:pPr>
              <w:spacing w:after="0"/>
              <w:rPr>
                <w:sz w:val="15"/>
                <w:szCs w:val="15"/>
                <w:color w:val="auto"/>
              </w:rPr>
            </w:pPr>
          </w:p>
        </w:tc>
        <w:tc>
          <w:tcPr>
            <w:tcW w:w="268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8"/>
              </w:rPr>
              <w:t>AND PRE-FUNDED WARRANTS</w:t>
            </w:r>
          </w:p>
        </w:tc>
        <w:tc>
          <w:tcPr>
            <w:tcW w:w="7340" w:type="dxa"/>
            <w:vAlign w:val="bottom"/>
            <w:tcBorders>
              <w:top w:val="single" w:sz="8" w:color="0000EE"/>
            </w:tcBorders>
            <w:gridSpan w:val="11"/>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50"/>
        </w:trPr>
        <w:tc>
          <w:tcPr>
            <w:tcW w:w="14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UNDERWRITING</w:t>
            </w:r>
          </w:p>
        </w:tc>
        <w:tc>
          <w:tcPr>
            <w:tcW w:w="8960" w:type="dxa"/>
            <w:vAlign w:val="bottom"/>
            <w:gridSpan w:val="19"/>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50"/>
        </w:trPr>
        <w:tc>
          <w:tcPr>
            <w:tcW w:w="1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LEGAL MATTERS</w:t>
            </w:r>
          </w:p>
        </w:tc>
        <w:tc>
          <w:tcPr>
            <w:tcW w:w="8900" w:type="dxa"/>
            <w:vAlign w:val="bottom"/>
            <w:gridSpan w:val="18"/>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S-36</w:t>
            </w:r>
          </w:p>
        </w:tc>
      </w:tr>
      <w:tr>
        <w:trPr>
          <w:trHeight w:val="250"/>
        </w:trPr>
        <w:tc>
          <w:tcPr>
            <w:tcW w:w="8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EXPERTS</w:t>
            </w:r>
          </w:p>
        </w:tc>
        <w:tc>
          <w:tcPr>
            <w:tcW w:w="9540" w:type="dxa"/>
            <w:vAlign w:val="bottom"/>
            <w:gridSpan w:val="23"/>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S-36</w:t>
            </w:r>
          </w:p>
        </w:tc>
      </w:tr>
      <w:tr>
        <w:trPr>
          <w:trHeight w:val="250"/>
        </w:trPr>
        <w:tc>
          <w:tcPr>
            <w:tcW w:w="39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WHERE YOU CAN FIND MORE INFORMATION</w:t>
            </w:r>
          </w:p>
        </w:tc>
        <w:tc>
          <w:tcPr>
            <w:tcW w:w="6480" w:type="dxa"/>
            <w:vAlign w:val="bottom"/>
            <w:gridSpan w:val="4"/>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S-36</w:t>
            </w:r>
          </w:p>
        </w:tc>
      </w:tr>
      <w:tr>
        <w:trPr>
          <w:trHeight w:val="250"/>
        </w:trPr>
        <w:tc>
          <w:tcPr>
            <w:tcW w:w="10380" w:type="dxa"/>
            <w:vAlign w:val="bottom"/>
            <w:gridSpan w:val="25"/>
          </w:tcPr>
          <w:p>
            <w:pPr>
              <w:spacing w:after="0"/>
              <w:rPr>
                <w:sz w:val="20"/>
                <w:szCs w:val="20"/>
                <w:color w:val="auto"/>
              </w:rPr>
            </w:pPr>
            <w:r>
              <w:rPr>
                <w:rFonts w:ascii="Arial" w:cs="Arial" w:eastAsia="Arial" w:hAnsi="Arial"/>
                <w:sz w:val="18"/>
                <w:szCs w:val="18"/>
                <w:color w:val="0000EE"/>
              </w:rPr>
              <w:t>INCORPORATION OF CERTAIN DOCUMENTS BY REFERENCE</w:t>
            </w:r>
          </w:p>
        </w:tc>
        <w:tc>
          <w:tcPr>
            <w:tcW w:w="580" w:type="dxa"/>
            <w:vAlign w:val="bottom"/>
          </w:tcPr>
          <w:p>
            <w:pPr>
              <w:jc w:val="right"/>
              <w:spacing w:after="0"/>
              <w:rPr>
                <w:sz w:val="20"/>
                <w:szCs w:val="20"/>
                <w:color w:val="auto"/>
              </w:rPr>
            </w:pPr>
            <w:r>
              <w:rPr>
                <w:rFonts w:ascii="Arial" w:cs="Arial" w:eastAsia="Arial" w:hAnsi="Arial"/>
                <w:sz w:val="18"/>
                <w:szCs w:val="18"/>
                <w:color w:val="auto"/>
              </w:rPr>
              <w:t>S-37</w:t>
            </w:r>
          </w:p>
        </w:tc>
      </w:tr>
      <w:tr>
        <w:trPr>
          <w:trHeight w:val="518"/>
        </w:trPr>
        <w:tc>
          <w:tcPr>
            <w:tcW w:w="5280" w:type="dxa"/>
            <w:vAlign w:val="bottom"/>
            <w:tcBorders>
              <w:top w:val="single" w:sz="8" w:color="0000EE"/>
            </w:tcBorders>
            <w:gridSpan w:val="22"/>
          </w:tcPr>
          <w:p>
            <w:pPr>
              <w:spacing w:after="0"/>
              <w:rPr>
                <w:sz w:val="20"/>
                <w:szCs w:val="20"/>
                <w:color w:val="auto"/>
              </w:rPr>
            </w:pPr>
            <w:r>
              <w:rPr>
                <w:rFonts w:ascii="Arial" w:cs="Arial" w:eastAsia="Arial" w:hAnsi="Arial"/>
                <w:sz w:val="29"/>
                <w:szCs w:val="29"/>
                <w:b w:val="1"/>
                <w:bCs w:val="1"/>
                <w:color w:val="auto"/>
              </w:rPr>
              <w:t>PROSPECTUS</w:t>
            </w:r>
          </w:p>
        </w:tc>
        <w:tc>
          <w:tcPr>
            <w:tcW w:w="510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r>
      <w:tr>
        <w:trPr>
          <w:trHeight w:val="299"/>
        </w:trPr>
        <w:tc>
          <w:tcPr>
            <w:tcW w:w="10380" w:type="dxa"/>
            <w:vAlign w:val="bottom"/>
            <w:gridSpan w:val="25"/>
          </w:tcPr>
          <w:p>
            <w:pPr>
              <w:spacing w:after="0"/>
              <w:rPr>
                <w:sz w:val="20"/>
                <w:szCs w:val="20"/>
                <w:color w:val="auto"/>
              </w:rPr>
            </w:pPr>
            <w:r>
              <w:rPr>
                <w:rFonts w:ascii="Arial" w:cs="Arial" w:eastAsia="Arial" w:hAnsi="Arial"/>
                <w:sz w:val="18"/>
                <w:szCs w:val="18"/>
                <w:color w:val="0000EE"/>
              </w:rPr>
              <w:t>ABOUT THIS PROSPECTUS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0"/>
        </w:trPr>
        <w:tc>
          <w:tcPr>
            <w:tcW w:w="13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1040" w:type="dxa"/>
            <w:vAlign w:val="bottom"/>
            <w:tcBorders>
              <w:top w:val="single" w:sz="8" w:color="0000EE"/>
            </w:tcBorders>
            <w:gridSpan w:val="7"/>
          </w:tcPr>
          <w:p>
            <w:pPr>
              <w:spacing w:after="0"/>
              <w:rPr>
                <w:sz w:val="24"/>
                <w:szCs w:val="24"/>
                <w:color w:val="auto"/>
              </w:rPr>
            </w:pPr>
          </w:p>
        </w:tc>
        <w:tc>
          <w:tcPr>
            <w:tcW w:w="802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0"/>
        </w:trPr>
        <w:tc>
          <w:tcPr>
            <w:tcW w:w="39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WHERE YOU CAN FIND MORE INFORMATION</w:t>
            </w:r>
          </w:p>
        </w:tc>
        <w:tc>
          <w:tcPr>
            <w:tcW w:w="648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0"/>
        </w:trPr>
        <w:tc>
          <w:tcPr>
            <w:tcW w:w="10380" w:type="dxa"/>
            <w:vAlign w:val="bottom"/>
            <w:gridSpan w:val="25"/>
          </w:tcPr>
          <w:p>
            <w:pPr>
              <w:spacing w:after="0"/>
              <w:rPr>
                <w:sz w:val="20"/>
                <w:szCs w:val="20"/>
                <w:color w:val="auto"/>
              </w:rPr>
            </w:pPr>
            <w:r>
              <w:rPr>
                <w:rFonts w:ascii="Arial" w:cs="Arial" w:eastAsia="Arial" w:hAnsi="Arial"/>
                <w:sz w:val="18"/>
                <w:szCs w:val="18"/>
                <w:color w:val="0000EE"/>
              </w:rPr>
              <w:t>INCORPORATION OF CERTAIN DOCUMENTS BY REFERENCE</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0"/>
        </w:trPr>
        <w:tc>
          <w:tcPr>
            <w:tcW w:w="10380" w:type="dxa"/>
            <w:vAlign w:val="bottom"/>
            <w:gridSpan w:val="25"/>
          </w:tcPr>
          <w:p>
            <w:pPr>
              <w:spacing w:after="0"/>
              <w:rPr>
                <w:sz w:val="20"/>
                <w:szCs w:val="20"/>
                <w:color w:val="auto"/>
              </w:rPr>
            </w:pPr>
            <w:r>
              <w:rPr>
                <w:rFonts w:ascii="Arial" w:cs="Arial" w:eastAsia="Arial" w:hAnsi="Arial"/>
                <w:sz w:val="18"/>
                <w:szCs w:val="18"/>
                <w:color w:val="0000EE"/>
              </w:rPr>
              <w:t>CAUTIONARY NOTE REGARDING FORWARD-LOOKING STATEMENTS AND INDUSTRY DATA</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0"/>
        </w:trPr>
        <w:tc>
          <w:tcPr>
            <w:tcW w:w="784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ABOUT FULCRUM THERAPEUTICS, INC.</w:t>
            </w:r>
          </w:p>
        </w:tc>
        <w:tc>
          <w:tcPr>
            <w:tcW w:w="254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34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USE OF PROCEEDS</w:t>
            </w:r>
          </w:p>
        </w:tc>
        <w:tc>
          <w:tcPr>
            <w:tcW w:w="694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0380" w:type="dxa"/>
            <w:vAlign w:val="bottom"/>
            <w:gridSpan w:val="25"/>
          </w:tcPr>
          <w:p>
            <w:pPr>
              <w:spacing w:after="0"/>
              <w:rPr>
                <w:sz w:val="20"/>
                <w:szCs w:val="20"/>
                <w:color w:val="auto"/>
              </w:rPr>
            </w:pPr>
            <w:r>
              <w:rPr>
                <w:rFonts w:ascii="Arial" w:cs="Arial" w:eastAsia="Arial" w:hAnsi="Arial"/>
                <w:sz w:val="18"/>
                <w:szCs w:val="18"/>
                <w:color w:val="0000EE"/>
              </w:rPr>
              <w:t>DESCRIPTION OF DEBT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0"/>
        </w:trPr>
        <w:tc>
          <w:tcPr>
            <w:tcW w:w="298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8"/>
              </w:rPr>
              <w:t>DESCRIPTION OF CAPITAL STOCK</w:t>
            </w:r>
          </w:p>
        </w:tc>
        <w:tc>
          <w:tcPr>
            <w:tcW w:w="200" w:type="dxa"/>
            <w:vAlign w:val="bottom"/>
            <w:tcBorders>
              <w:top w:val="single" w:sz="8" w:color="0000EE"/>
            </w:tcBorders>
          </w:tcPr>
          <w:p>
            <w:pPr>
              <w:spacing w:after="0"/>
              <w:rPr>
                <w:sz w:val="24"/>
                <w:szCs w:val="24"/>
                <w:color w:val="auto"/>
              </w:rPr>
            </w:pPr>
          </w:p>
        </w:tc>
        <w:tc>
          <w:tcPr>
            <w:tcW w:w="720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0"/>
        </w:trPr>
        <w:tc>
          <w:tcPr>
            <w:tcW w:w="10380" w:type="dxa"/>
            <w:vAlign w:val="bottom"/>
            <w:gridSpan w:val="25"/>
          </w:tcPr>
          <w:p>
            <w:pPr>
              <w:spacing w:after="0"/>
              <w:rPr>
                <w:sz w:val="20"/>
                <w:szCs w:val="20"/>
                <w:color w:val="auto"/>
              </w:rPr>
            </w:pPr>
            <w:r>
              <w:rPr>
                <w:rFonts w:ascii="Arial" w:cs="Arial" w:eastAsia="Arial" w:hAnsi="Arial"/>
                <w:sz w:val="18"/>
                <w:szCs w:val="18"/>
                <w:color w:val="0000EE"/>
              </w:rPr>
              <w:t>DESCRIPTION OF DEPOSITARY SHARES</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0"/>
        </w:trPr>
        <w:tc>
          <w:tcPr>
            <w:tcW w:w="21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9"/>
              </w:rPr>
              <w:t>DESCRIPTION OF UNITS</w:t>
            </w:r>
          </w:p>
        </w:tc>
        <w:tc>
          <w:tcPr>
            <w:tcW w:w="1380" w:type="dxa"/>
            <w:vAlign w:val="bottom"/>
            <w:tcBorders>
              <w:top w:val="single" w:sz="8" w:color="0000EE"/>
            </w:tcBorders>
            <w:gridSpan w:val="8"/>
          </w:tcPr>
          <w:p>
            <w:pPr>
              <w:spacing w:after="0"/>
              <w:rPr>
                <w:sz w:val="24"/>
                <w:szCs w:val="24"/>
                <w:color w:val="auto"/>
              </w:rPr>
            </w:pPr>
          </w:p>
        </w:tc>
        <w:tc>
          <w:tcPr>
            <w:tcW w:w="688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0"/>
        </w:trPr>
        <w:tc>
          <w:tcPr>
            <w:tcW w:w="26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8"/>
              </w:rPr>
              <w:t>DESCRIPTION OF WARRANTS</w:t>
            </w:r>
          </w:p>
        </w:tc>
        <w:tc>
          <w:tcPr>
            <w:tcW w:w="778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0"/>
        </w:trPr>
        <w:tc>
          <w:tcPr>
            <w:tcW w:w="20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FORMS OF SECURITIES</w:t>
            </w:r>
          </w:p>
        </w:tc>
        <w:tc>
          <w:tcPr>
            <w:tcW w:w="83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0"/>
        </w:trPr>
        <w:tc>
          <w:tcPr>
            <w:tcW w:w="10380" w:type="dxa"/>
            <w:vAlign w:val="bottom"/>
            <w:gridSpan w:val="25"/>
          </w:tcPr>
          <w:p>
            <w:pPr>
              <w:spacing w:after="0"/>
              <w:rPr>
                <w:sz w:val="20"/>
                <w:szCs w:val="20"/>
                <w:color w:val="auto"/>
              </w:rPr>
            </w:pPr>
            <w:r>
              <w:rPr>
                <w:rFonts w:ascii="Arial" w:cs="Arial" w:eastAsia="Arial" w:hAnsi="Arial"/>
                <w:sz w:val="18"/>
                <w:szCs w:val="18"/>
                <w:color w:val="0000EE"/>
              </w:rPr>
              <w:t>PLAN OF DISTRIBUTION</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1"/>
        </w:trPr>
        <w:tc>
          <w:tcPr>
            <w:tcW w:w="14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2"/>
          </w:tcPr>
          <w:p>
            <w:pPr>
              <w:spacing w:after="0"/>
              <w:rPr>
                <w:sz w:val="24"/>
                <w:szCs w:val="24"/>
                <w:color w:val="auto"/>
              </w:rPr>
            </w:pPr>
          </w:p>
        </w:tc>
        <w:tc>
          <w:tcPr>
            <w:tcW w:w="83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0"/>
        </w:trPr>
        <w:tc>
          <w:tcPr>
            <w:tcW w:w="10380" w:type="dxa"/>
            <w:vAlign w:val="bottom"/>
            <w:gridSpan w:val="25"/>
          </w:tcPr>
          <w:p>
            <w:pPr>
              <w:spacing w:after="0"/>
              <w:rPr>
                <w:sz w:val="20"/>
                <w:szCs w:val="20"/>
                <w:color w:val="auto"/>
              </w:rPr>
            </w:pPr>
            <w:r>
              <w:rPr>
                <w:rFonts w:ascii="Arial" w:cs="Arial" w:eastAsia="Arial" w:hAnsi="Arial"/>
                <w:sz w:val="18"/>
                <w:szCs w:val="18"/>
                <w:color w:val="0000EE"/>
              </w:rPr>
              <w:t>EXPERTS</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5"/>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S-i</w:t>
            </w:r>
          </w:p>
        </w:tc>
        <w:tc>
          <w:tcPr>
            <w:tcW w:w="5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ABOUT THIS PROSPECTUS SUPPLEMENT</w:t>
      </w:r>
    </w:p>
    <w:p>
      <w:pPr>
        <w:spacing w:after="0" w:line="15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document is part of a registration statement that we filed with the Securities and Exchange Commission, or the SEC, utilizing a “shelf” registration process and consists of two parts. The first part is this prospectus supplement, which describes the specific terms of this securities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12"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securities.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9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3"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Unless the context otherwise indicates, references in this prospectus supplement to “Fulcrum” “we,” “our,” “us” and “the Company” refer, collectively, to Fulcrum Therapeutics, Inc., a Delaware corporation and its consolidated subsidiary, and the term “securities” refers to shares of our common stock, pre-funded warrants and shares of common stock underlying the pre-funded warrants.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right="680"/>
        <w:spacing w:after="0" w:line="288" w:lineRule="auto"/>
        <w:rPr>
          <w:sz w:val="20"/>
          <w:szCs w:val="20"/>
          <w:color w:val="auto"/>
        </w:rPr>
      </w:pPr>
      <w:r>
        <w:rPr>
          <w:rFonts w:ascii="Arial" w:cs="Arial" w:eastAsia="Arial" w:hAnsi="Arial"/>
          <w:sz w:val="29"/>
          <w:szCs w:val="29"/>
          <w:b w:val="1"/>
          <w:bCs w:val="1"/>
          <w:color w:val="auto"/>
        </w:rPr>
        <w:t>CAUTIONARY NOTE REGARDING FORWARD-LOOKING STATEMENTS AND INDUSTRY DATA</w:t>
      </w:r>
    </w:p>
    <w:p>
      <w:pPr>
        <w:spacing w:after="0" w:line="2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This prospectus supplement, the accompanying base prospectus and the documents incorporated by reference in each of this prospectus supplement and the accompanying base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supplement and the accompanying base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16"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86" w:lineRule="exact"/>
        <w:rPr>
          <w:sz w:val="20"/>
          <w:szCs w:val="20"/>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ongoing clinical trial of pociredir, including the timing of data announcements and status of enrollment;</w:t>
      </w:r>
    </w:p>
    <w:p>
      <w:pPr>
        <w:spacing w:after="0" w:line="144"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pociredir and any other product candidates;</w:t>
      </w:r>
    </w:p>
    <w:p>
      <w:pPr>
        <w:spacing w:after="0" w:line="86" w:lineRule="exact"/>
        <w:rPr>
          <w:rFonts w:ascii="Arial" w:cs="Arial" w:eastAsia="Arial" w:hAnsi="Arial"/>
          <w:sz w:val="18"/>
          <w:szCs w:val="18"/>
          <w:color w:val="auto"/>
        </w:rPr>
      </w:pPr>
    </w:p>
    <w:p>
      <w:pPr>
        <w:ind w:left="340" w:right="7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86" w:lineRule="exact"/>
        <w:rPr>
          <w:rFonts w:ascii="Arial" w:cs="Arial" w:eastAsia="Arial" w:hAnsi="Arial"/>
          <w:sz w:val="18"/>
          <w:szCs w:val="18"/>
          <w:color w:val="auto"/>
        </w:rPr>
      </w:pPr>
    </w:p>
    <w:p>
      <w:pPr>
        <w:ind w:left="340" w:hanging="224"/>
        <w:spacing w:after="0" w:line="24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(including planned investigational new drug application filings) and our research and development programs, including novel therapeutic agents for the potential treatment of bone marrow failure syndromes, such as Diamond-Blackfan anemia, or DBA, 5q deletion syndrome, Shwachman-Diamond syndrome, and Fanconi anemia, and other discovery programs;</w:t>
      </w:r>
    </w:p>
    <w:p>
      <w:pPr>
        <w:spacing w:after="0" w:line="106" w:lineRule="exact"/>
        <w:rPr>
          <w:rFonts w:ascii="Arial" w:cs="Arial" w:eastAsia="Arial" w:hAnsi="Arial"/>
          <w:sz w:val="18"/>
          <w:szCs w:val="18"/>
          <w:color w:val="auto"/>
        </w:rPr>
      </w:pPr>
    </w:p>
    <w:p>
      <w:pPr>
        <w:ind w:left="340" w:right="10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pociredir and any other product candidates, including in combination with other drugs and therapies;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approved;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progress and results of our exclusive global license agreement with CAMP4 Therapeutics Corp.;</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in-license, acquire or develop additional products, product candidates or technologies with significant commercial potential that are consistent with our commercial objectives;</w:t>
      </w:r>
    </w:p>
    <w:p>
      <w:pPr>
        <w:spacing w:after="0" w:line="86" w:lineRule="exact"/>
        <w:rPr>
          <w:rFonts w:ascii="Arial" w:cs="Arial" w:eastAsia="Arial" w:hAnsi="Arial"/>
          <w:sz w:val="18"/>
          <w:szCs w:val="18"/>
          <w:color w:val="auto"/>
        </w:rPr>
      </w:pPr>
    </w:p>
    <w:p>
      <w:pPr>
        <w:ind w:left="340" w:right="8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expenses, future revenue, timing of any future revenue, capital requirements and needs for additional financing;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54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including uncertainty resulting from recent changes in the administration, shifts in government policy and the evolving regulatory environment;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license agreements or obtain additional funding;</w:t>
      </w:r>
    </w:p>
    <w:p>
      <w:pPr>
        <w:spacing w:after="0" w:line="144" w:lineRule="exact"/>
        <w:rPr>
          <w:rFonts w:ascii="Arial" w:cs="Arial" w:eastAsia="Arial" w:hAnsi="Arial"/>
          <w:sz w:val="18"/>
          <w:szCs w:val="18"/>
          <w:color w:val="auto"/>
        </w:rPr>
      </w:pPr>
    </w:p>
    <w:p>
      <w:pPr>
        <w:ind w:left="340" w:right="52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pandemics or other geopolitical events or prolonged government shutdowns on our business and operations, including our clinical trials and development plans, as well as our future financial results;</w:t>
      </w:r>
    </w:p>
    <w:p>
      <w:pPr>
        <w:spacing w:after="0" w:line="86" w:lineRule="exact"/>
        <w:rPr>
          <w:rFonts w:ascii="Arial" w:cs="Arial" w:eastAsia="Arial" w:hAnsi="Arial"/>
          <w:sz w:val="18"/>
          <w:szCs w:val="18"/>
          <w:color w:val="auto"/>
        </w:rPr>
      </w:pPr>
    </w:p>
    <w:p>
      <w:pPr>
        <w:ind w:left="340" w:right="20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 smaller reporting company as defined under the federal securities laws;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completion of, and use of proceeds from, this offering.</w:t>
      </w:r>
    </w:p>
    <w:p>
      <w:pPr>
        <w:spacing w:after="0" w:line="131" w:lineRule="exact"/>
        <w:rPr>
          <w:sz w:val="20"/>
          <w:szCs w:val="20"/>
          <w:color w:val="auto"/>
        </w:rPr>
      </w:pPr>
    </w:p>
    <w:p>
      <w:pPr>
        <w:jc w:val="both"/>
        <w:ind w:left="120" w:right="140"/>
        <w:spacing w:after="0" w:line="275" w:lineRule="auto"/>
        <w:rPr>
          <w:sz w:val="20"/>
          <w:szCs w:val="20"/>
          <w:color w:val="auto"/>
        </w:rPr>
      </w:pPr>
      <w:r>
        <w:rPr>
          <w:rFonts w:ascii="Arial" w:cs="Arial" w:eastAsia="Arial" w:hAnsi="Arial"/>
          <w:sz w:val="17"/>
          <w:szCs w:val="17"/>
          <w:color w:val="auto"/>
        </w:rPr>
        <w:t>We may not actually achieve the plans, intentions or expectations disclosed in our forward- 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w:t>
      </w:r>
    </w:p>
    <w:p>
      <w:pPr>
        <w:spacing w:after="0" w:line="84" w:lineRule="exact"/>
        <w:rPr>
          <w:sz w:val="20"/>
          <w:szCs w:val="20"/>
          <w:color w:val="auto"/>
        </w:rPr>
      </w:pPr>
    </w:p>
    <w:p>
      <w:pPr>
        <w:ind w:left="120" w:right="80"/>
        <w:spacing w:after="0" w:line="266" w:lineRule="auto"/>
        <w:rPr>
          <w:sz w:val="20"/>
          <w:szCs w:val="20"/>
          <w:color w:val="auto"/>
        </w:rPr>
      </w:pPr>
      <w:r>
        <w:rPr>
          <w:rFonts w:ascii="Arial" w:cs="Arial" w:eastAsia="Arial" w:hAnsi="Arial"/>
          <w:sz w:val="17"/>
          <w:szCs w:val="17"/>
          <w:color w:val="auto"/>
        </w:rPr>
        <w:t>You should also carefully review the “Risk Factors” in this prospectus supplement, along with the risk factors and cautionary statements described in the other documents incorporated by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we may make or enter into.</w:t>
      </w:r>
    </w:p>
    <w:p>
      <w:pPr>
        <w:spacing w:after="0" w:line="92"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You should read this prospectus supplement, the accompanying base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The forward-looking statements contained in this prospectus supplement and the accompanying base prospectus and incorporated by reference herein are made as of the date hereof, and we do not assume any obligation to update any forward-looking statements except as required by applicable law.</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56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SUPPLEMENT SUMMARY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supplement, the accompanying base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securities discussed under “Risk Factors” beginning on page S-10 of this prospectus supplement and page 2 of the accompanying base prospectus, along with our consolidated financial statements and notes to those consolidated financial statements and the other documents incorporated by reference in this prospectus supplement, along with any free writing prospectus that we have authorized for use in connection with this offering.</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Company Overview</w:t>
      </w:r>
    </w:p>
    <w:p>
      <w:pPr>
        <w:spacing w:after="0" w:line="135" w:lineRule="exact"/>
        <w:rPr>
          <w:sz w:val="20"/>
          <w:szCs w:val="20"/>
          <w:color w:val="auto"/>
        </w:rPr>
      </w:pPr>
    </w:p>
    <w:p>
      <w:pPr>
        <w:jc w:val="both"/>
        <w:ind w:left="300" w:right="500"/>
        <w:spacing w:after="0" w:line="253" w:lineRule="auto"/>
        <w:rPr>
          <w:sz w:val="20"/>
          <w:szCs w:val="20"/>
          <w:color w:val="auto"/>
        </w:rPr>
      </w:pPr>
      <w:r>
        <w:rPr>
          <w:rFonts w:ascii="Arial" w:cs="Arial" w:eastAsia="Arial" w:hAnsi="Arial"/>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101" w:lineRule="exact"/>
        <w:rPr>
          <w:sz w:val="20"/>
          <w:szCs w:val="20"/>
          <w:color w:val="auto"/>
        </w:rPr>
      </w:pPr>
    </w:p>
    <w:p>
      <w:pPr>
        <w:ind w:left="300" w:right="140"/>
        <w:spacing w:after="0"/>
        <w:rPr>
          <w:sz w:val="20"/>
          <w:szCs w:val="20"/>
          <w:color w:val="auto"/>
        </w:rPr>
      </w:pPr>
      <w:r>
        <w:rPr>
          <w:rFonts w:ascii="Arial" w:cs="Arial" w:eastAsia="Arial" w:hAnsi="Arial"/>
          <w:sz w:val="18"/>
          <w:szCs w:val="18"/>
          <w:color w:val="auto"/>
        </w:rPr>
        <w:t>In addition,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continue to advance our program for the potential treatment of bone marrow failure syndromes, such as DBA, 5q deletion syndrome, Shwachman-Diamond syndrome, and Fanconi anemia, and we plan to submit an investigational new drug application, or IND, during the first half of 2026. We also presented preclinical data for FTX-6274, an oral embryonic ectoderm development, or EED, inhibitor candidate, at the European Society for Medical Oncology (ESMO) Congress 2025, demonstrating robust efficacy in castration resistant prostate cancer models.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Recent Developments</w:t>
      </w:r>
    </w:p>
    <w:p>
      <w:pPr>
        <w:spacing w:after="0" w:line="148" w:lineRule="exact"/>
        <w:rPr>
          <w:sz w:val="20"/>
          <w:szCs w:val="20"/>
          <w:color w:val="auto"/>
        </w:rPr>
      </w:pPr>
    </w:p>
    <w:p>
      <w:pPr>
        <w:ind w:left="300" w:right="20"/>
        <w:spacing w:after="0" w:line="253" w:lineRule="auto"/>
        <w:rPr>
          <w:sz w:val="20"/>
          <w:szCs w:val="20"/>
          <w:color w:val="auto"/>
        </w:rPr>
      </w:pPr>
      <w:r>
        <w:rPr>
          <w:rFonts w:ascii="Arial" w:cs="Arial" w:eastAsia="Arial" w:hAnsi="Arial"/>
          <w:sz w:val="18"/>
          <w:szCs w:val="18"/>
          <w:color w:val="auto"/>
        </w:rPr>
        <w:t>On December 6, 2025, we announced initial results from the ongoing 20 mg dose cohort (n=12) of the Phase 1b PIONEER trial of pociredir in SCD in connection with a presentation at the 67th American Society of Hematology Annual Meeting on such date. Results are as follows:</w:t>
      </w:r>
    </w:p>
    <w:p>
      <w:pPr>
        <w:spacing w:after="0" w:line="101" w:lineRule="exact"/>
        <w:rPr>
          <w:sz w:val="20"/>
          <w:szCs w:val="20"/>
          <w:color w:val="auto"/>
        </w:rPr>
      </w:pPr>
    </w:p>
    <w:p>
      <w:pPr>
        <w:ind w:left="1120" w:right="20" w:hanging="407"/>
        <w:spacing w:after="0" w:line="265"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Mean absolute fetal hemoglobin, or HbF, increased by 9.9% at 6 weeks of treatment with pociredir (vs. 5.6% at Week 6 and 8.6% at Week 12 in the 12 mg cohort), increasing from a baseline of 7.1% to 16.9%. As of the November 11, 2025 data cutoff, 7 of 12 patients (58%) achieved absolute HbF levels </w:t>
      </w:r>
      <w:r>
        <w:rPr>
          <w:rFonts w:ascii="Times New Roman" w:cs="Times New Roman" w:eastAsia="Times New Roman" w:hAnsi="Times New Roman"/>
          <w:sz w:val="17"/>
          <w:szCs w:val="17"/>
          <w:color w:val="auto"/>
        </w:rPr>
        <w:t>≥</w:t>
      </w:r>
      <w:r>
        <w:rPr>
          <w:rFonts w:ascii="Arial" w:cs="Arial" w:eastAsia="Arial" w:hAnsi="Arial"/>
          <w:sz w:val="17"/>
          <w:szCs w:val="17"/>
          <w:color w:val="auto"/>
        </w:rPr>
        <w:t>20% at Week 6, and all patients demonstrated a robust HbF increase. HbF levels of 20% are associated with ~90% of patients experiencing zero vaso-occlusive crises, or VOCs, per year, based on real-world data we presented at the 20th Annual Sickle Cell &amp; Thalassemia Conference in October 2025.</w:t>
      </w:r>
    </w:p>
    <w:p>
      <w:pPr>
        <w:spacing w:after="0" w:line="94" w:lineRule="exact"/>
        <w:rPr>
          <w:rFonts w:ascii="Arial" w:cs="Arial" w:eastAsia="Arial" w:hAnsi="Arial"/>
          <w:sz w:val="17"/>
          <w:szCs w:val="17"/>
          <w:color w:val="auto"/>
        </w:rPr>
      </w:pPr>
    </w:p>
    <w:p>
      <w:pPr>
        <w:ind w:left="1120" w:right="120" w:hanging="407"/>
        <w:spacing w:after="0" w:line="24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clear dose-response was observed, with a &gt;3.75-fold mean induction of HbF at Week 12 among patients who reached the Week 12 visit as of the November 11, 2025 data cutoff (n=6), compared to a 2.4-fold mean induction at Week 12 in the 12 mg cohort. The average baseline for these six patients is 5.0% as compared to 7.1% for the full cohort. Fold induction accounts for differences in baseline HbF levels and enables a normalized comparison of dose-response.</w:t>
      </w:r>
    </w:p>
    <w:p>
      <w:pPr>
        <w:spacing w:after="0" w:line="106" w:lineRule="exact"/>
        <w:rPr>
          <w:rFonts w:ascii="Arial" w:cs="Arial" w:eastAsia="Arial" w:hAnsi="Arial"/>
          <w:sz w:val="18"/>
          <w:szCs w:val="18"/>
          <w:color w:val="auto"/>
        </w:rPr>
      </w:pPr>
    </w:p>
    <w:p>
      <w:pPr>
        <w:ind w:left="1120" w:right="380" w:hanging="407"/>
        <w:spacing w:after="0" w:line="271"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proportion of F-cells (HbF-containing red blood cells) increased from a mean of 31% at baseline to 58% at Week 6 (n=9), indicating early progression toward pan-cellular HbF induction (evenly distributed</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93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40" w:right="220"/>
        <w:spacing w:after="0" w:line="253" w:lineRule="auto"/>
        <w:rPr>
          <w:sz w:val="20"/>
          <w:szCs w:val="20"/>
          <w:color w:val="auto"/>
        </w:rPr>
      </w:pPr>
      <w:r>
        <w:rPr>
          <w:rFonts w:ascii="Arial" w:cs="Arial" w:eastAsia="Arial" w:hAnsi="Arial"/>
          <w:sz w:val="18"/>
          <w:szCs w:val="18"/>
          <w:color w:val="auto"/>
        </w:rPr>
        <w:t>across red blood cells). F-cells are resistant to sickling and hemolysis because of HbF-mediated inhibition of sickle hemoglobin (HbS) polymerization. Consequently, higher proportions of F-cells are associated with improved red blood cell health.</w:t>
      </w:r>
    </w:p>
    <w:p>
      <w:pPr>
        <w:spacing w:after="0" w:line="101" w:lineRule="exact"/>
        <w:rPr>
          <w:sz w:val="20"/>
          <w:szCs w:val="20"/>
          <w:color w:val="auto"/>
        </w:rPr>
      </w:pPr>
    </w:p>
    <w:p>
      <w:pPr>
        <w:ind w:left="1120" w:hanging="40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Markers of hemolysis and erythropoiesis improved at Week 6:</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Indirect bilirubin decreased by 37% (vs. 37% at Week 12 in the 12 mg cohort)</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Lactate dehydrogenase decreased by 37% (vs. 28% at Week 12 in the 12 mg cohort)</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Red cell distribution width decreased by 22% (vs. 27% at Week 12 in the 12 mg cohort)</w:t>
      </w:r>
    </w:p>
    <w:p>
      <w:pPr>
        <w:spacing w:after="0" w:line="144" w:lineRule="exact"/>
        <w:rPr>
          <w:rFonts w:ascii="Arial" w:cs="Arial" w:eastAsia="Arial" w:hAnsi="Arial"/>
          <w:sz w:val="18"/>
          <w:szCs w:val="18"/>
          <w:color w:val="auto"/>
        </w:rPr>
      </w:pPr>
    </w:p>
    <w:p>
      <w:pPr>
        <w:ind w:left="1640" w:right="140" w:hanging="185"/>
        <w:spacing w:after="0" w:line="271" w:lineRule="auto"/>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Reticulocyte counts decreased by 33% (vs. 31% at Week 12 in the 12 mg cohort), indicating healthier bone marrow function</w:t>
      </w:r>
    </w:p>
    <w:p>
      <w:pPr>
        <w:spacing w:after="0" w:line="86" w:lineRule="exact"/>
        <w:rPr>
          <w:rFonts w:ascii="Arial" w:cs="Arial" w:eastAsia="Arial" w:hAnsi="Arial"/>
          <w:sz w:val="18"/>
          <w:szCs w:val="18"/>
          <w:color w:val="auto"/>
        </w:rPr>
      </w:pPr>
    </w:p>
    <w:p>
      <w:pPr>
        <w:ind w:left="1120" w:right="380" w:hanging="407"/>
        <w:spacing w:after="0" w:line="25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Mean hemoglobin increased by 0.8 g/dL at Week 6 (vs. 0.9 g/dL at Week 12 in the 12 mg cohort), increasing from a baseline of 7.3 g/dL to 8.1 g/dL. Combined with reductions in reticulocyte counts, these findings indicate decreased red blood cell destruction and improvements in anemia.</w:t>
      </w:r>
    </w:p>
    <w:p>
      <w:pPr>
        <w:spacing w:after="0" w:line="101" w:lineRule="exact"/>
        <w:rPr>
          <w:rFonts w:ascii="Arial" w:cs="Arial" w:eastAsia="Arial" w:hAnsi="Arial"/>
          <w:sz w:val="18"/>
          <w:szCs w:val="18"/>
          <w:color w:val="auto"/>
        </w:rPr>
      </w:pPr>
    </w:p>
    <w:p>
      <w:pPr>
        <w:ind w:left="1120" w:hanging="407"/>
        <w:spacing w:after="0" w:line="25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trend of reduced VOC frequency was observed relative to patients’ documented VOC frequency during the 6–12 months prior to enrollment. As of November 11, 2025 data cut off, eight of 12 patients (67%) reported no VOCs during the treatment period.</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Pociredir Safety Update</w:t>
      </w:r>
    </w:p>
    <w:p>
      <w:pPr>
        <w:spacing w:after="0" w:line="148" w:lineRule="exact"/>
        <w:rPr>
          <w:sz w:val="20"/>
          <w:szCs w:val="20"/>
          <w:color w:val="auto"/>
        </w:rPr>
      </w:pPr>
    </w:p>
    <w:p>
      <w:pPr>
        <w:ind w:left="1120" w:right="340" w:hanging="407"/>
        <w:spacing w:after="0" w:line="271"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November 11, 2025 data cutoff, pociredir has been dosed in 148 adults, including 89 subjects in multiple dose cohorts up to 12 weeks.</w:t>
      </w:r>
    </w:p>
    <w:p>
      <w:pPr>
        <w:spacing w:after="0" w:line="86" w:lineRule="exact"/>
        <w:rPr>
          <w:rFonts w:ascii="Arial" w:cs="Arial" w:eastAsia="Arial" w:hAnsi="Arial"/>
          <w:sz w:val="18"/>
          <w:szCs w:val="18"/>
          <w:color w:val="auto"/>
        </w:rPr>
      </w:pPr>
    </w:p>
    <w:p>
      <w:pPr>
        <w:ind w:left="1640" w:hanging="18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103 healthy subjects, including 44 who received pociredir for 10 to 14 days treatment duration</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45 SCD patients who received pociredir for up to 12 weeks treatment duration</w:t>
      </w:r>
    </w:p>
    <w:p>
      <w:pPr>
        <w:spacing w:after="0" w:line="144" w:lineRule="exact"/>
        <w:rPr>
          <w:rFonts w:ascii="Arial" w:cs="Arial" w:eastAsia="Arial" w:hAnsi="Arial"/>
          <w:sz w:val="18"/>
          <w:szCs w:val="18"/>
          <w:color w:val="auto"/>
        </w:rPr>
      </w:pPr>
    </w:p>
    <w:p>
      <w:pPr>
        <w:ind w:left="1120" w:right="80" w:hanging="407"/>
        <w:spacing w:after="0" w:line="24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profile observed in the 20 mg dose cohort as of the November 11, 2025 data cutoff, together with follow-up data from the 12 mg dose cohort, remained consistent with previously reported safety data. Pociredir was generally well-tolerated, with no treatment-related serious adverse events and no discontinuations due to treatment-related adverse events as of the November 11, 2025, data cutoff.</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48" w:lineRule="exact"/>
        <w:rPr>
          <w:sz w:val="20"/>
          <w:szCs w:val="20"/>
          <w:color w:val="auto"/>
        </w:rPr>
      </w:pPr>
    </w:p>
    <w:p>
      <w:pPr>
        <w:ind w:left="300" w:right="240"/>
        <w:spacing w:after="0" w:line="259" w:lineRule="auto"/>
        <w:rPr>
          <w:sz w:val="20"/>
          <w:szCs w:val="20"/>
          <w:color w:val="auto"/>
        </w:rPr>
      </w:pPr>
      <w:r>
        <w:rPr>
          <w:rFonts w:ascii="Arial" w:cs="Arial" w:eastAsia="Arial" w:hAnsi="Arial"/>
          <w:sz w:val="17"/>
          <w:szCs w:val="17"/>
          <w:color w:val="auto"/>
        </w:rPr>
        <w:t>We were incorporated under the laws of the State of Delaware on August 18, 2015 under the name Fulcrum Therapeutics, Inc. Our principal executive offices are located at 26 Landsdowne Street, Cambridge, Massachusetts 02139, and our telephone number is</w:t>
      </w:r>
    </w:p>
    <w:p>
      <w:pPr>
        <w:spacing w:after="0" w:line="1" w:lineRule="exact"/>
        <w:rPr>
          <w:sz w:val="20"/>
          <w:szCs w:val="20"/>
          <w:color w:val="auto"/>
        </w:rPr>
      </w:pPr>
    </w:p>
    <w:p>
      <w:pPr>
        <w:ind w:left="300" w:right="160" w:hanging="6"/>
        <w:spacing w:after="0" w:line="242" w:lineRule="auto"/>
        <w:tabs>
          <w:tab w:leader="none" w:pos="770" w:val="left"/>
        </w:tabs>
        <w:numPr>
          <w:ilvl w:val="0"/>
          <w:numId w:val="7"/>
        </w:numPr>
        <w:rPr>
          <w:rFonts w:ascii="Arial" w:cs="Arial" w:eastAsia="Arial" w:hAnsi="Arial"/>
          <w:sz w:val="18"/>
          <w:szCs w:val="18"/>
          <w:color w:val="auto"/>
        </w:rPr>
      </w:pPr>
      <w:r>
        <w:rPr>
          <w:rFonts w:ascii="Arial" w:cs="Arial" w:eastAsia="Arial" w:hAnsi="Arial"/>
          <w:sz w:val="18"/>
          <w:szCs w:val="18"/>
          <w:color w:val="auto"/>
        </w:rPr>
        <w:t>651-8851. Our website address is http://www.fulcrumtx.com. The information contained on, or that can be accessed through, our website is not a part of this prospectus supplement. We have included our website address in this prospectus supplement solely as an inactive textual reference.</w:t>
      </w:r>
    </w:p>
    <w:p>
      <w:pPr>
        <w:spacing w:after="0" w:line="112" w:lineRule="exact"/>
        <w:rPr>
          <w:sz w:val="20"/>
          <w:szCs w:val="20"/>
          <w:color w:val="auto"/>
        </w:rPr>
      </w:pPr>
    </w:p>
    <w:p>
      <w:pPr>
        <w:ind w:left="300" w:right="120"/>
        <w:spacing w:after="0" w:line="225" w:lineRule="auto"/>
        <w:rPr>
          <w:sz w:val="20"/>
          <w:szCs w:val="20"/>
          <w:color w:val="auto"/>
        </w:rPr>
      </w:pPr>
      <w:r>
        <w:rPr>
          <w:rFonts w:ascii="Arial" w:cs="Arial" w:eastAsia="Arial" w:hAnsi="Arial"/>
          <w:sz w:val="18"/>
          <w:szCs w:val="18"/>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supplement and the accompanying base prospectus are the property of their respective owners. Solely for convenience, some of the trademarks, service marks and trade names referred to in this prospectus supplement and the accompanying base prospectus are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24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31242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 Smaller Reporting Company</w:t>
      </w:r>
    </w:p>
    <w:p>
      <w:pPr>
        <w:spacing w:after="0" w:line="135" w:lineRule="exact"/>
        <w:rPr>
          <w:sz w:val="20"/>
          <w:szCs w:val="20"/>
          <w:color w:val="auto"/>
        </w:rPr>
      </w:pPr>
    </w:p>
    <w:p>
      <w:pPr>
        <w:ind w:left="300"/>
        <w:spacing w:after="0" w:line="242" w:lineRule="auto"/>
        <w:rPr>
          <w:sz w:val="20"/>
          <w:szCs w:val="20"/>
          <w:color w:val="auto"/>
        </w:rPr>
      </w:pPr>
      <w:r>
        <w:rPr>
          <w:rFonts w:ascii="Arial" w:cs="Arial" w:eastAsia="Arial" w:hAnsi="Arial"/>
          <w:sz w:val="18"/>
          <w:szCs w:val="18"/>
          <w:color w:val="auto"/>
        </w:rPr>
        <w:t>We are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as of our most recently completed second fiscal quarter or (ii) our annual revenue was less than $100 million during the most recently completed fiscal year and the market value of our stock held by non-affiliates is less than $700 million as of our most recently completed second fiscal quarter.</w:t>
      </w:r>
    </w:p>
    <w:p>
      <w:pPr>
        <w:spacing w:after="0" w:line="111" w:lineRule="exact"/>
        <w:rPr>
          <w:sz w:val="20"/>
          <w:szCs w:val="20"/>
          <w:color w:val="auto"/>
        </w:rPr>
      </w:pPr>
    </w:p>
    <w:p>
      <w:pPr>
        <w:ind w:left="300" w:right="100"/>
        <w:spacing w:after="0" w:line="271" w:lineRule="auto"/>
        <w:rPr>
          <w:sz w:val="20"/>
          <w:szCs w:val="20"/>
          <w:color w:val="auto"/>
        </w:rPr>
      </w:pPr>
      <w:r>
        <w:rPr>
          <w:rFonts w:ascii="Arial" w:cs="Arial" w:eastAsia="Arial" w:hAnsi="Arial"/>
          <w:sz w:val="18"/>
          <w:szCs w:val="18"/>
          <w:color w:val="auto"/>
        </w:rPr>
        <w:t>As long as we remain a smaller reporting company, we may continue to rely on exemptions from certain disclosure requirements that are applicable to public companies that are not smaller reporting companies. These scaled disclosure requirements include:</w:t>
      </w:r>
    </w:p>
    <w:p>
      <w:pPr>
        <w:spacing w:after="0" w:line="86" w:lineRule="exact"/>
        <w:rPr>
          <w:sz w:val="20"/>
          <w:szCs w:val="20"/>
          <w:color w:val="auto"/>
        </w:rPr>
      </w:pPr>
    </w:p>
    <w:p>
      <w:pPr>
        <w:ind w:left="480" w:right="580" w:hanging="186"/>
        <w:spacing w:after="0" w:line="271"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86" w:lineRule="exact"/>
        <w:rPr>
          <w:rFonts w:ascii="Arial" w:cs="Arial" w:eastAsia="Arial" w:hAnsi="Arial"/>
          <w:sz w:val="18"/>
          <w:szCs w:val="18"/>
          <w:color w:val="auto"/>
        </w:rPr>
      </w:pPr>
    </w:p>
    <w:p>
      <w:pPr>
        <w:ind w:left="480" w:right="140" w:hanging="186"/>
        <w:spacing w:after="0" w:line="25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101" w:lineRule="exact"/>
        <w:rPr>
          <w:rFonts w:ascii="Arial" w:cs="Arial" w:eastAsia="Arial" w:hAnsi="Arial"/>
          <w:sz w:val="18"/>
          <w:szCs w:val="18"/>
          <w:color w:val="auto"/>
        </w:rPr>
      </w:pPr>
    </w:p>
    <w:p>
      <w:pPr>
        <w:ind w:left="480" w:hanging="18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44" w:lineRule="exact"/>
        <w:rPr>
          <w:sz w:val="20"/>
          <w:szCs w:val="20"/>
          <w:color w:val="auto"/>
        </w:rPr>
      </w:pPr>
    </w:p>
    <w:p>
      <w:pPr>
        <w:ind w:left="300" w:right="200"/>
        <w:spacing w:after="0" w:line="253" w:lineRule="auto"/>
        <w:rPr>
          <w:sz w:val="20"/>
          <w:szCs w:val="20"/>
          <w:color w:val="auto"/>
        </w:rPr>
      </w:pPr>
      <w:r>
        <w:rPr>
          <w:rFonts w:ascii="Arial" w:cs="Arial" w:eastAsia="Arial" w:hAnsi="Arial"/>
          <w:sz w:val="18"/>
          <w:szCs w:val="18"/>
          <w:color w:val="auto"/>
        </w:rPr>
        <w:t>We cannot predict whether investors will find our common stock less attractive if we continue to rely on these exemptions. If some investors find our common stock less attractive as a result, there may be a less active trading market for our common stock and our stock price may be more volatile.</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THE OFFERING</w:t>
      </w:r>
    </w:p>
    <w:p>
      <w:pPr>
        <w:spacing w:after="0" w:line="154" w:lineRule="exact"/>
        <w:rPr>
          <w:sz w:val="20"/>
          <w:szCs w:val="20"/>
          <w:color w:val="auto"/>
        </w:rPr>
      </w:pPr>
    </w:p>
    <w:p>
      <w:pPr>
        <w:ind w:left="380" w:hanging="78"/>
        <w:spacing w:after="0" w:line="281" w:lineRule="auto"/>
        <w:rPr>
          <w:sz w:val="20"/>
          <w:szCs w:val="20"/>
          <w:color w:val="auto"/>
        </w:rPr>
      </w:pPr>
      <w:r>
        <w:rPr>
          <w:rFonts w:ascii="Arial" w:cs="Arial" w:eastAsia="Arial" w:hAnsi="Arial"/>
          <w:sz w:val="18"/>
          <w:szCs w:val="18"/>
          <w:b w:val="1"/>
          <w:bCs w:val="1"/>
          <w:color w:val="auto"/>
        </w:rPr>
        <w:t>Common stock offered by us pursuant to the prospectus supplement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11,851,853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-986155</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-439420</wp:posOffset>
            </wp:positionV>
            <wp:extent cx="6998970" cy="4907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907280"/>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4140" w:space="200"/>
            <w:col w:w="6560"/>
          </w:cols>
          <w:pgMar w:left="320" w:top="455" w:right="679" w:bottom="1440" w:gutter="0" w:footer="0" w:header="0"/>
        </w:sectPr>
      </w:pPr>
    </w:p>
    <w:p>
      <w:pPr>
        <w:spacing w:after="0" w:line="135" w:lineRule="exact"/>
        <w:rPr>
          <w:sz w:val="20"/>
          <w:szCs w:val="20"/>
          <w:color w:val="auto"/>
        </w:rPr>
      </w:pPr>
    </w:p>
    <w:p>
      <w:pPr>
        <w:ind w:left="380" w:hanging="78"/>
        <w:spacing w:after="0" w:line="281" w:lineRule="auto"/>
        <w:rPr>
          <w:sz w:val="20"/>
          <w:szCs w:val="20"/>
          <w:color w:val="auto"/>
        </w:rPr>
      </w:pPr>
      <w:r>
        <w:rPr>
          <w:rFonts w:ascii="Arial" w:cs="Arial" w:eastAsia="Arial" w:hAnsi="Arial"/>
          <w:sz w:val="18"/>
          <w:szCs w:val="18"/>
          <w:b w:val="1"/>
          <w:bCs w:val="1"/>
          <w:color w:val="auto"/>
        </w:rPr>
        <w:t>Pre-funded warrants offered by us pursuant to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360" w:lineRule="exact"/>
        <w:rPr>
          <w:sz w:val="20"/>
          <w:szCs w:val="20"/>
          <w:color w:val="auto"/>
        </w:rPr>
      </w:pPr>
    </w:p>
    <w:p>
      <w:pPr>
        <w:ind w:left="380" w:right="20" w:hanging="78"/>
        <w:spacing w:after="0" w:line="281" w:lineRule="auto"/>
        <w:rPr>
          <w:sz w:val="20"/>
          <w:szCs w:val="20"/>
          <w:color w:val="auto"/>
        </w:rPr>
      </w:pPr>
      <w:r>
        <w:rPr>
          <w:rFonts w:ascii="Arial" w:cs="Arial" w:eastAsia="Arial" w:hAnsi="Arial"/>
          <w:sz w:val="18"/>
          <w:szCs w:val="18"/>
          <w:b w:val="1"/>
          <w:bCs w:val="1"/>
          <w:color w:val="auto"/>
        </w:rPr>
        <w:t>Common stock to be outstanding immediately after this offering</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We are also offering, in lieu of common stock, pre-funded warrants to purchase up to 1,111,193 shares of our common stock to certain investors whose purchase of shares of common stock in this offering would otherwise result in such investor, together with its affiliates, beneficially owning shares of common stock with a value of or in excess of (i) the notification threshold of the HSR Act, or (ii) 4.99% (or, at the election of the purchaser, 9.99%) of the total number of shares of our common stock outstanding immediately after giving effect to such exercise. The purchase price of each pre-funded warrant will equal the price per share at which shares of common stock are being sold to the public in this offering, minus $0.001, which is the exercise price of each pre-funded warrant. The pre-funded warrants do not expire, and each pre-funded warrant will be exercisable at any time after the date of issuance, subject to an ownership limitation and in some cases clearance under the HSR Act. See “Description of Pre-Funded Warrants” in this prospectus supplement for additional information. This prospectus supplement also relates to the offering of the shares of common stock issuable upon the exercise of such pre-funded warrants.</w:t>
      </w:r>
    </w:p>
    <w:p>
      <w:pPr>
        <w:spacing w:after="0" w:line="13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underwriters have a 30-day option to purchase up to an additional 1,944,456 of shares of common stock.</w:t>
      </w:r>
    </w:p>
    <w:p>
      <w:pPr>
        <w:spacing w:after="0" w:line="100"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65,960,291 shares (67,904,747 shares if the underwriters exercise their option to purchase additional shares in full), in each case assuming no exercise of any pre-funded warrants offered and to be sold by us.</w:t>
      </w:r>
    </w:p>
    <w:p>
      <w:pPr>
        <w:spacing w:after="0" w:line="115"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We estimate that the net proceeds to us from this offering will be approximately $164.1 million, or approximately $188.8 million if the underwriters exercise their option to purchase additional shares in full.</w:t>
      </w:r>
    </w:p>
    <w:p>
      <w:pPr>
        <w:spacing w:after="0" w:line="11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currently intend to use the net proceeds from the sale of securities offered under this prospectus supplement primarily for general corporate purposes, which may include working capital and capital expenditures, research and development expenses, including</w:t>
      </w:r>
    </w:p>
    <w:p>
      <w:pPr>
        <w:spacing w:after="0" w:line="200" w:lineRule="exact"/>
        <w:rPr>
          <w:sz w:val="20"/>
          <w:szCs w:val="20"/>
          <w:color w:val="auto"/>
        </w:rPr>
      </w:pPr>
    </w:p>
    <w:p>
      <w:pPr>
        <w:sectPr>
          <w:pgSz w:w="11900" w:h="16838" w:orient="portrait"/>
          <w:cols w:equalWidth="0" w:num="2">
            <w:col w:w="4260" w:space="80"/>
            <w:col w:w="6560"/>
          </w:cols>
          <w:pgMar w:left="320" w:top="455" w:right="679" w:bottom="1440" w:gutter="0" w:footer="0" w:header="0"/>
          <w:type w:val="continuous"/>
        </w:sectPr>
      </w:pPr>
    </w:p>
    <w:p>
      <w:pPr>
        <w:spacing w:after="0" w:line="8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S-7</w:t>
      </w:r>
    </w:p>
    <w:p>
      <w:pPr>
        <w:sectPr>
          <w:pgSz w:w="11900" w:h="16838" w:orient="portrait"/>
          <w:cols w:equalWidth="0" w:num="1">
            <w:col w:w="10900"/>
          </w:cols>
          <w:pgMar w:left="320" w:top="455"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75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42" w:lineRule="auto"/>
        <w:rPr>
          <w:sz w:val="20"/>
          <w:szCs w:val="20"/>
          <w:color w:val="auto"/>
        </w:rPr>
      </w:pPr>
      <w:r>
        <w:rPr>
          <w:rFonts w:ascii="Arial" w:cs="Arial" w:eastAsia="Arial" w:hAnsi="Arial"/>
          <w:sz w:val="18"/>
          <w:szCs w:val="18"/>
          <w:color w:val="auto"/>
        </w:rPr>
        <w:t>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 See “Use of Proceeds” in this prospectus supplement for more information.</w:t>
      </w:r>
    </w:p>
    <w:p>
      <w:pPr>
        <w:spacing w:after="0" w:line="7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You should read the “Risk Factors” in this prospectus supplement, the</w:t>
      </w:r>
    </w:p>
    <w:p>
      <w:pPr>
        <w:ind w:left="4340" w:right="40" w:hanging="4034"/>
        <w:spacing w:after="0" w:line="244" w:lineRule="auto"/>
        <w:tabs>
          <w:tab w:leader="none" w:pos="4320" w:val="left"/>
        </w:tabs>
        <w:rPr>
          <w:sz w:val="20"/>
          <w:szCs w:val="20"/>
          <w:color w:val="auto"/>
        </w:rPr>
      </w:pPr>
      <w:r>
        <w:rPr>
          <w:rFonts w:ascii="Arial" w:cs="Arial" w:eastAsia="Arial" w:hAnsi="Arial"/>
          <w:sz w:val="35"/>
          <w:szCs w:val="35"/>
          <w:b w:val="1"/>
          <w:bCs w:val="1"/>
          <w:color w:val="auto"/>
          <w:vertAlign w:val="superscript"/>
        </w:rPr>
        <w:t>Risk factors</w:t>
      </w:r>
      <w:r>
        <w:rPr>
          <w:sz w:val="20"/>
          <w:szCs w:val="20"/>
          <w:color w:val="auto"/>
        </w:rPr>
        <w:tab/>
      </w:r>
      <w:r>
        <w:rPr>
          <w:rFonts w:ascii="Arial" w:cs="Arial" w:eastAsia="Arial" w:hAnsi="Arial"/>
          <w:sz w:val="18"/>
          <w:szCs w:val="18"/>
          <w:color w:val="auto"/>
        </w:rPr>
        <w:t>accompanying base prospectus, and the risks set forth under the caption “Item 1A. Risk Factors” included in our Quarterly Report on Form 10-Q for the three months ended September 30, 2025 and the other documents incorporated by reference into this prospectus supplement for a discussion of factors to consider carefully before deciding to purchase our securities.</w:t>
      </w:r>
    </w:p>
    <w:p>
      <w:pPr>
        <w:spacing w:after="0" w:line="11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“FULC”. We do not intend to list the pre-funded warrants on The Nasdaq Global</w:t>
      </w:r>
    </w:p>
    <w:p>
      <w:pPr>
        <w:ind w:left="4340" w:right="240" w:hanging="4034"/>
        <w:spacing w:after="0" w:line="253" w:lineRule="auto"/>
        <w:tabs>
          <w:tab w:leader="none" w:pos="4320" w:val="left"/>
        </w:tabs>
        <w:rPr>
          <w:sz w:val="20"/>
          <w:szCs w:val="20"/>
          <w:color w:val="auto"/>
        </w:rPr>
      </w:pPr>
      <w:r>
        <w:rPr>
          <w:rFonts w:ascii="Arial" w:cs="Arial" w:eastAsia="Arial" w:hAnsi="Arial"/>
          <w:sz w:val="35"/>
          <w:szCs w:val="35"/>
          <w:b w:val="1"/>
          <w:bCs w:val="1"/>
          <w:color w:val="auto"/>
          <w:vertAlign w:val="superscript"/>
        </w:rPr>
        <w:t>Nasdaq Global Market Symbol</w:t>
      </w:r>
      <w:r>
        <w:rPr>
          <w:sz w:val="20"/>
          <w:szCs w:val="20"/>
          <w:color w:val="auto"/>
        </w:rPr>
        <w:tab/>
      </w:r>
      <w:r>
        <w:rPr>
          <w:rFonts w:ascii="Arial" w:cs="Arial" w:eastAsia="Arial" w:hAnsi="Arial"/>
          <w:sz w:val="18"/>
          <w:szCs w:val="18"/>
          <w:color w:val="auto"/>
        </w:rPr>
        <w:t>Market or any other national securities exchange or any recognized trading system. Without an active market, the liquidity of the pre-funded warrants will be limited.</w:t>
      </w:r>
    </w:p>
    <w:p>
      <w:pPr>
        <w:spacing w:after="0" w:line="151" w:lineRule="exact"/>
        <w:rPr>
          <w:sz w:val="20"/>
          <w:szCs w:val="20"/>
          <w:color w:val="auto"/>
        </w:rPr>
      </w:pPr>
    </w:p>
    <w:p>
      <w:pPr>
        <w:ind w:left="300" w:right="300"/>
        <w:spacing w:after="0" w:line="271" w:lineRule="auto"/>
        <w:rPr>
          <w:sz w:val="20"/>
          <w:szCs w:val="20"/>
          <w:color w:val="auto"/>
        </w:rPr>
      </w:pPr>
      <w:r>
        <w:rPr>
          <w:rFonts w:ascii="Arial" w:cs="Arial" w:eastAsia="Arial" w:hAnsi="Arial"/>
          <w:sz w:val="18"/>
          <w:szCs w:val="18"/>
          <w:color w:val="auto"/>
        </w:rPr>
        <w:t>The number of shares of our common stock shown above to be outstanding immediately after this offering is based on 54,108,438 shares of common stock outstanding as of September 30, 2025 and excludes the following:</w:t>
      </w:r>
    </w:p>
    <w:p>
      <w:pPr>
        <w:spacing w:after="0" w:line="86" w:lineRule="exact"/>
        <w:rPr>
          <w:sz w:val="20"/>
          <w:szCs w:val="20"/>
          <w:color w:val="auto"/>
        </w:rPr>
      </w:pPr>
    </w:p>
    <w:p>
      <w:pPr>
        <w:ind w:left="480" w:right="640" w:hanging="186"/>
        <w:spacing w:after="0" w:line="271"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11,870,785 shares of common stock issuable upon the exercise of stock options outstanding as of September 30, 2025 at a weighted average exercise price of $6.57 per share;</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69,486 shares of common stock issuable upon vesting of restricted stock units, or RSUs, outstanding as of September 30, 2025;</w:t>
      </w:r>
    </w:p>
    <w:p>
      <w:pPr>
        <w:spacing w:after="0" w:line="144" w:lineRule="exact"/>
        <w:rPr>
          <w:rFonts w:ascii="Arial" w:cs="Arial" w:eastAsia="Arial" w:hAnsi="Arial"/>
          <w:sz w:val="18"/>
          <w:szCs w:val="18"/>
          <w:color w:val="auto"/>
        </w:rPr>
      </w:pPr>
    </w:p>
    <w:p>
      <w:pPr>
        <w:ind w:left="480" w:right="20" w:hanging="186"/>
        <w:spacing w:after="0" w:line="24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4,779,386, 1,681,184 and 2,052,030 shares of our common stock available for future issuance as of September 30, 2025 under our 2019 Stock Incentive Plan, or the 2019 Plan, our 2022 Inducement Stock Incentive Plan, or the Inducement Plan, and our 2019 Employee Stock Purchase Plan, or the ESPP, respectively, as well as any automatic increases in the number of shares of common stock reserved under these plans; and</w:t>
      </w:r>
    </w:p>
    <w:p>
      <w:pPr>
        <w:spacing w:after="0" w:line="106" w:lineRule="exact"/>
        <w:rPr>
          <w:rFonts w:ascii="Arial" w:cs="Arial" w:eastAsia="Arial" w:hAnsi="Arial"/>
          <w:sz w:val="18"/>
          <w:szCs w:val="18"/>
          <w:color w:val="auto"/>
        </w:rPr>
      </w:pPr>
    </w:p>
    <w:p>
      <w:pPr>
        <w:ind w:left="480" w:right="60" w:hanging="186"/>
        <w:spacing w:after="0" w:line="271"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8,500,000 shares of common stock issuable upon the exercise of pre-funded warrants outstanding as of September 30, 2025 at an exercise price of $0.001 per share.</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otherwise indicated, all information in this prospectus supplement:</w:t>
      </w:r>
    </w:p>
    <w:p>
      <w:pPr>
        <w:spacing w:after="0" w:line="144" w:lineRule="exact"/>
        <w:rPr>
          <w:sz w:val="20"/>
          <w:szCs w:val="20"/>
          <w:color w:val="auto"/>
        </w:rPr>
      </w:pPr>
    </w:p>
    <w:p>
      <w:pPr>
        <w:ind w:left="480" w:right="160" w:hanging="186"/>
        <w:spacing w:after="0" w:line="271"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no exercise of the outstanding stock options, settlement of the RSUs or exercise of the outstanding pre-funded warrants described above;</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 in this offering;</w:t>
      </w:r>
    </w:p>
    <w:p>
      <w:pPr>
        <w:spacing w:after="0" w:line="144" w:lineRule="exact"/>
        <w:rPr>
          <w:rFonts w:ascii="Arial" w:cs="Arial" w:eastAsia="Arial" w:hAnsi="Arial"/>
          <w:sz w:val="18"/>
          <w:szCs w:val="18"/>
          <w:color w:val="auto"/>
        </w:rPr>
      </w:pPr>
    </w:p>
    <w:p>
      <w:pPr>
        <w:ind w:left="480" w:right="900" w:hanging="186"/>
        <w:spacing w:after="0" w:line="271"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reflect the potential issuance of shares of our common stock that remain available for sale as of the date of this prospectus supplement under our “at-the-market” offering program, pursuant to which we may sell</w:t>
      </w: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06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706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00"/>
        <w:spacing w:after="0" w:line="209" w:lineRule="auto"/>
        <w:rPr>
          <w:sz w:val="20"/>
          <w:szCs w:val="20"/>
          <w:color w:val="auto"/>
        </w:rPr>
      </w:pPr>
      <w:r>
        <w:rPr>
          <w:rFonts w:ascii="Arial" w:cs="Arial" w:eastAsia="Arial" w:hAnsi="Arial"/>
          <w:sz w:val="18"/>
          <w:szCs w:val="18"/>
          <w:color w:val="auto"/>
        </w:rPr>
        <w:t>common stock for remaining gross proceeds of up to $100 million from time to time under our Controlled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with Cantor Fitzgerald &amp; Co. and Stifel, Nicolas &amp; Company, Incorporated; and</w:t>
      </w:r>
    </w:p>
    <w:p>
      <w:pPr>
        <w:spacing w:after="0" w:line="113" w:lineRule="exact"/>
        <w:rPr>
          <w:sz w:val="20"/>
          <w:szCs w:val="20"/>
          <w:color w:val="auto"/>
        </w:rPr>
      </w:pPr>
    </w:p>
    <w:p>
      <w:pPr>
        <w:ind w:left="480" w:hanging="186"/>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no exercise of the pre-funded warrants that we are offering in this offering in lieu of common stock to certain investors.</w:t>
      </w:r>
    </w:p>
    <w:p>
      <w:pPr>
        <w:spacing w:after="0" w:line="31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S-9</w:t>
      </w:r>
    </w:p>
    <w:p>
      <w:pPr>
        <w:sectPr>
          <w:pgSz w:w="11900" w:h="16838" w:orient="portrait"/>
          <w:cols w:equalWidth="0" w:num="1">
            <w:col w:w="10720"/>
          </w:cols>
          <w:pgMar w:left="320" w:top="455" w:right="8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5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i w:val="1"/>
          <w:iCs w:val="1"/>
          <w:color w:val="auto"/>
        </w:rPr>
        <w:t>Investing in our securities involves a high degree of risk. You should carefully consider the risks and uncertainties described below together with all of the other information contained in this prospectus supplement and the accompanying base prospectus and the risk factors in our most recent Annual Report on Form 10-K, our most recent Quarterly Reports on Form 10-Q, together with other information in this prospectus supplement, the accompanying base prospectus and the information and documents incorporated by reference in this prospectus supplement and the accompanying base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w:t>
      </w:r>
    </w:p>
    <w:p>
      <w:pPr>
        <w:spacing w:after="0" w:line="137"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7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All of our outstanding shares of common stock are, and the shares of common stock (including shares of common stock underlying the pre-funded warrants) sold in this offering will be, freely tradeable without restriction or further registration under the Securities Act, unless owned or purchased by our “affiliates” as that term is defined in Rule 144 under the Securities Act.</w:t>
      </w:r>
    </w:p>
    <w:p>
      <w:pPr>
        <w:spacing w:after="0" w:line="95"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52"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Our management may invest or spend the proceeds of this offering in ways with which you may not agree or in ways that may not yield a return.</w:t>
      </w:r>
    </w:p>
    <w:p>
      <w:pPr>
        <w:spacing w:after="0" w:line="5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In addition, the issuance from time to time of shares of our common stock in this offering (including shares of common stock underlying the pre-funded warrants), or our ability to issue these shares of common stock, could result in resales of our common stock by our current stockholders concerned about the potential dilution of their holdings. In turn, these resales could have the effect of depressing the market price for our common stock.</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4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price of the securities to be sold in this offering is substantially higher than the net tangible book value per share of our common stock. Therefore, if you purchase shares of our common stock (or pre-funded warrants in lieu thereof) in this offering, you will pay a price per share that substantially exceeds our net tangible book value per share after this offering. After giving effect to the sale of shares of our common stock and pre-funded warrants in the aggregate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amount of 11,851,853 shares of our common stock and pre-funded warrants to purchase 1,111,193 shares of common stock at the public offering price of $13.50 per share of common stock and $13.499 per pre-funded warrant, and after deducting underwriting discounts and commissions and estimated offering expenses payable by us, our as adjusted net tangible book value as of September 30, 2025 would have been approximately $362.5 million, or approximately $ 5.50 per share. This represents an immediate increase in as adjusted net tangible book value of approximately $ 1.83 per share to our existing stockholders and an immediate dilution in as adjusted net tangible book value of approximately $8.00 per share to purchasers of our common stock or pre-funded warrants in this offering. See “Dilution” in this prospectus supplement for more information.</w:t>
      </w:r>
    </w:p>
    <w:p>
      <w:pPr>
        <w:spacing w:after="0" w:line="254"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stockholders.</w:t>
      </w:r>
    </w:p>
    <w:p>
      <w:pPr>
        <w:spacing w:after="0" w:line="7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December 8, 2025, the closing price of our common stock ranged from a high of $30.97 per share to a low of $2.26 per share. The stock market in general and the market for smaller biopharmaceutical companies in particular have experienced extreme volatility that has often been unrelated to the operating performance of particular companies.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4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248"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58"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129"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w:t>
      </w:r>
    </w:p>
    <w:p>
      <w:pPr>
        <w:spacing w:after="0" w:line="252"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Except for the right to participate in certain dividends and distributions, holders of the pre-funded warrants will have no rights as common stockholders until such holders exercise their pre-funded warrants and acquire our common stock.</w:t>
      </w:r>
    </w:p>
    <w:p>
      <w:pPr>
        <w:spacing w:after="0" w:line="58"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Until holders of the pre-funded warrants exercise their pre-funded warrants and acquire shares of our common stock, such holders will have no rights with respect to the shares of our common stock underlying such pre-funded warrants, except that the holder of a pre-funded warrant shall be entitled to participate in certain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00"/>
        <w:spacing w:after="0" w:line="253" w:lineRule="auto"/>
        <w:rPr>
          <w:sz w:val="20"/>
          <w:szCs w:val="20"/>
          <w:color w:val="auto"/>
        </w:rPr>
      </w:pPr>
      <w:r>
        <w:rPr>
          <w:rFonts w:ascii="Arial" w:cs="Arial" w:eastAsia="Arial" w:hAnsi="Arial"/>
          <w:sz w:val="18"/>
          <w:szCs w:val="18"/>
          <w:color w:val="auto"/>
        </w:rPr>
        <w:t>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common stockholder only as to matters for which the record date occurs after the exercise date.</w:t>
      </w:r>
    </w:p>
    <w:p>
      <w:pPr>
        <w:spacing w:after="0" w:line="238" w:lineRule="exact"/>
        <w:rPr>
          <w:sz w:val="20"/>
          <w:szCs w:val="20"/>
          <w:color w:val="auto"/>
        </w:rPr>
      </w:pPr>
    </w:p>
    <w:p>
      <w:pPr>
        <w:ind w:left="120" w:right="360"/>
        <w:spacing w:after="0" w:line="278" w:lineRule="auto"/>
        <w:rPr>
          <w:sz w:val="20"/>
          <w:szCs w:val="20"/>
          <w:color w:val="auto"/>
        </w:rPr>
      </w:pPr>
      <w:r>
        <w:rPr>
          <w:rFonts w:ascii="Arial" w:cs="Arial" w:eastAsia="Arial" w:hAnsi="Arial"/>
          <w:sz w:val="18"/>
          <w:szCs w:val="18"/>
          <w:b w:val="1"/>
          <w:bCs w:val="1"/>
          <w:i w:val="1"/>
          <w:iCs w:val="1"/>
          <w:color w:val="auto"/>
        </w:rPr>
        <w:t>Significant holders or beneficial owners of our common stock may not be permitted to exercise the pre-funded warrants that they hold.</w:t>
      </w:r>
    </w:p>
    <w:p>
      <w:pPr>
        <w:spacing w:after="0" w:line="7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4.99% (or, at the election of the purchaser, 9.99%) of the number of shares of our common stock outstanding immediately after giving effect to the exercise; or (ii) the combined voting power of our securities beneficially owned by such holder (together with its affiliates) to exceed 4.99% (or, at the election of the purchaser, 9.99%) of the combined voting power of all of our securities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not receive any meaningful amount of additional funds upon the exercise of the pre-funded warrants.</w:t>
      </w:r>
    </w:p>
    <w:p>
      <w:pPr>
        <w:spacing w:after="0" w:line="142"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DESCRIPTION OF PRE-FUNDED WARRANTS</w:t>
      </w:r>
    </w:p>
    <w:p>
      <w:pPr>
        <w:spacing w:after="0" w:line="154"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The following is a brief summary of certain terms and conditions of the pre-funded warrants being offered. The following description is subject in all respects to the provisions contained in the pre-funded warrants.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Form</w:t>
      </w:r>
    </w:p>
    <w:p>
      <w:pPr>
        <w:spacing w:after="0" w:line="135"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pre-funded warrants will be issued as individual warrant agreements to investors. The form of pre-funded warrant will be filed as an exhibit to a Current Report on Form 8-K that we expect to file with the SEC.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Term</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pre-funded warrants do not expire.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Exercisability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pre-funded warrants are exercisable at any time on or after their original issuance. The pre-funded warrants are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Exercise Limitations</w:t>
      </w:r>
    </w:p>
    <w:p>
      <w:pPr>
        <w:spacing w:after="0" w:line="14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may not effect the exercise of any pre-funded warrant, and a holder will not be entitled to exercise any portion of any pre-funded warrant that, upon giving effect to such exercise, would cause the aggregate number of shares of our common stock beneficially owned by the holder (together with its attribution affiliates (as defined below)) to exceed 4.99% (or, at the election of the purchaser, 9.99%) of the number of shares of our common stock that would be outstanding immediately after giving effect to the exercise. However, any holder of a pre-funded warrant may increase or decrease such percentage to any other percentage not in excess of 19.99% upon at least 61 days’ prior notice from the holder to us. For purposes of the foregoing, “attribution affiliates”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w:t>
      </w:r>
    </w:p>
    <w:p>
      <w:pPr>
        <w:spacing w:after="0" w:line="112"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In addition, if the exercise of a pre-funded warrant would result in a holder of pre-funded warrants (together with its attribution affiliates)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 Threshold,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Threshold shall not be exercisable until the expiration or early termination of the applicable waiting period under the HSR Act or receipt of applicable approval.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Exercise Price</w:t>
      </w:r>
    </w:p>
    <w:p>
      <w:pPr>
        <w:spacing w:after="0" w:line="14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Transferability</w:t>
      </w:r>
    </w:p>
    <w:p>
      <w:pPr>
        <w:spacing w:after="0" w:line="148"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Subject to applicable laws, the pre-funded warrants may be offered for sale, sold, transferred or assigned without our consent. The ownership of the pre-funded warrants and any transfers of the pre-funded warrants will be registered in a warrant register maintained by the warrant agent. We will initially act as warrant agent.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Exchange Listing</w:t>
      </w:r>
    </w:p>
    <w:p>
      <w:pPr>
        <w:spacing w:after="0" w:line="1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There is no established trading market for the pre-funded warrants, and we do not expect a market to develop. We do not plan on applying to list the pre-funded warrants on The Nasdaq Global Market or any other national securities exchange or any nationally recognized trading system.</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Fundamental Transactions</w:t>
      </w:r>
    </w:p>
    <w:p>
      <w:pPr>
        <w:spacing w:after="0" w:line="13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In the event a holder does not exercise its pre-funded warrants in connection with a fundamental transaction, such holder’s pre-funded warrants will be deemed exercised in full pursuant to the “cashless exercise” mechanic described above upon the consummation of such transaction.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Rights as a Stockholder</w:t>
      </w:r>
    </w:p>
    <w:p>
      <w:pPr>
        <w:spacing w:after="0" w:line="13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its affiliates to exceed the exercise limitations described above, a portion of such distribution shall be held in abeyance for the benefit of such holder until such time as the ownership limitations would not be exceeded.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USE OF PROCEEDS</w:t>
      </w:r>
    </w:p>
    <w:p>
      <w:pPr>
        <w:spacing w:after="0" w:line="15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estimate that the net proceeds to us from the issuance and sale of shares of common stock (or pre-funded warrants in lieu thereof) in this offering will be approximately $164.1 million, or approximately $188.8 million if the underwriters exercise their option to purchase additional shares in full, in each case after deducting underwriting discounts and commissions and estimated offering expenses payable to us. We will receive nominal proceeds, if any, from any exercise of pre-funded warrants.</w:t>
      </w:r>
    </w:p>
    <w:p>
      <w:pPr>
        <w:spacing w:after="0" w:line="10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marketable securities,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09"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98"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5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If you invest in our common stock, or pre-funded warrants in lieu thereof, in this offering, your ownership interest will be diluted immediately to the extent of the difference between the public offering price per share of our common stock or pre-funded warrants you will pay in this offering and the as adjusted net tangible book value per share of our common stock immediately after this offering.</w:t>
      </w:r>
    </w:p>
    <w:p>
      <w:pPr>
        <w:spacing w:after="0" w:line="101"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Our historical net tangible book value as of September 30, 2025 was approximately $ 198.4 million, or $3.67 per share of our common stock. Our historical net tangible book value is the amount of our total tangible assets less our total liabilities. Historical net tangible book value per share represents historical net tangible book value divided by the 54,108,438 shares of our common stock outstanding as of September 30, 2025.</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giving effect to the issuance and sale of 11,851,853 shares of our common stock that we are offering at the public offering price of</w:t>
      </w:r>
    </w:p>
    <w:p>
      <w:pPr>
        <w:spacing w:after="0" w:line="1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$13.50 per share, and pre-funded warrants to purchase up to 1,111,193 shares of common stock at the public offering price of $ 13.499 per pre-funded warrant (which equals the public offering price of the common stock at which shares of our common stock are being sold to the public in this offering less the $0.001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and after deducting the underwriting discounts and commissions and estimated offering expenses payable by us, our as adjusted net tangible book value at September 30, 2025 would have been approximately $362.5 million, or $5.50 per share. This represents an immediate increase in as adjusted net tangible book value of $1.83 per share to existing stockholders and an immediate dilution of $8.00 per share to investors in this offering. Dilution per share to new investors is determined by subtracting as adjusted net tangible book value per share after this offering from the public offering price per share paid by new investors. The following table illustrates this per share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13.50</w:t>
            </w:r>
          </w:p>
        </w:tc>
      </w:tr>
      <w:tr>
        <w:trPr>
          <w:trHeight w:val="203"/>
        </w:trPr>
        <w:tc>
          <w:tcPr>
            <w:tcW w:w="956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value per share as of September 30, 2025</w:t>
            </w:r>
          </w:p>
        </w:tc>
        <w:tc>
          <w:tcPr>
            <w:tcW w:w="8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w w:val="97"/>
              </w:rPr>
              <w:t>$3.67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5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84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1.83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5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60" w:type="dxa"/>
            <w:vAlign w:val="bottom"/>
            <w:tcBorders>
              <w:top w:val="single" w:sz="8" w:color="auto"/>
            </w:tcBorders>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7"/>
        </w:trPr>
        <w:tc>
          <w:tcPr>
            <w:tcW w:w="9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5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0"/>
        </w:trPr>
        <w:tc>
          <w:tcPr>
            <w:tcW w:w="9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95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16"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Assuming the pre-funded warrants were immediately and fully exercised, this would result in an as adjusted net tangible book value, after giving effect to this offering and pre-funded warrant exercise, of $5.40 per share. This represents an increase in net tangible book value of $1.73 per share to existing stockholders and dilution in net tangible book value per share of $8.10 to new investors participating in this offering.</w:t>
      </w:r>
    </w:p>
    <w:p>
      <w:pPr>
        <w:spacing w:after="0" w:line="106"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If the underwriters exercise their option to purchase additional shares in full, the immediate dilution in as adjusted net tangible book value per share to investors in this offering would be $7.80 per share.</w:t>
      </w:r>
    </w:p>
    <w:p>
      <w:pPr>
        <w:spacing w:after="0" w:line="73"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The table and discussion above are based on 54,108,438 shares of our common stock outstanding as of September 30, 2025, and exclude the following:</w:t>
      </w:r>
    </w:p>
    <w:p>
      <w:pPr>
        <w:spacing w:after="0" w:line="86" w:lineRule="exact"/>
        <w:rPr>
          <w:sz w:val="20"/>
          <w:szCs w:val="20"/>
          <w:color w:val="auto"/>
        </w:rPr>
      </w:pPr>
    </w:p>
    <w:p>
      <w:pPr>
        <w:ind w:left="340" w:right="22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11,870,785 shares of common stock issuable upon the exercise of stock options outstanding as of September 30, 2025 at a weighted average exercise price of $6.57 per share;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69,486 shares of common stock issuable upon vesting of RSUs outstanding as of September 30, 2025;</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240" w:hanging="224"/>
        <w:spacing w:after="0" w:line="25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4,779,386, 1,681,184 and 2,052,030 shares of our common stock available for future issuance as of September 30, 2025 under the 2019 Plan, the Inducement Plan and the ESPP, respectively, as well as any automatic increases in the number of shares of common stock reserved under these plans; and</w:t>
      </w:r>
    </w:p>
    <w:p>
      <w:pPr>
        <w:spacing w:after="0" w:line="101"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8,500,000 shares of common stock issuable upon the exercise of pre-funded warrants outstanding as of September 30, 2025 at an exercise price of $0.001 per share.</w:t>
      </w:r>
    </w:p>
    <w:p>
      <w:pPr>
        <w:spacing w:after="0" w:line="7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Further, the number of shares of our common stock to be outstanding after this offering does not take into account the 1,111,193 shares of our common stock issuable upon the exercise of the pre-funded warrants.</w:t>
      </w:r>
    </w:p>
    <w:p>
      <w:pPr>
        <w:spacing w:after="0" w:line="86" w:lineRule="exact"/>
        <w:rPr>
          <w:sz w:val="20"/>
          <w:szCs w:val="20"/>
          <w:color w:val="auto"/>
        </w:rPr>
      </w:pPr>
    </w:p>
    <w:p>
      <w:pPr>
        <w:ind w:left="120" w:right="20"/>
        <w:spacing w:after="0" w:line="220" w:lineRule="auto"/>
        <w:rPr>
          <w:sz w:val="20"/>
          <w:szCs w:val="20"/>
          <w:color w:val="auto"/>
        </w:rPr>
      </w:pPr>
      <w:r>
        <w:rPr>
          <w:rFonts w:ascii="Arial" w:cs="Arial" w:eastAsia="Arial" w:hAnsi="Arial"/>
          <w:sz w:val="18"/>
          <w:szCs w:val="18"/>
          <w:color w:val="auto"/>
        </w:rPr>
        <w:t>To the extent that outstanding stock options are exercised, outstanding RSUs are settled, outstanding or new pre-funded warrants are exercised, new stock options are issued, or we issue additional shares of common stock in the future, including pursuant to our Controlled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Agreement with Cantor Fitzgerald &amp; Co. and Stifel, Nicolas &amp; Company, Incorporated, there will be further dilution to investors purchasing securities in this offering.</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right="120"/>
        <w:spacing w:after="0" w:line="288" w:lineRule="auto"/>
        <w:rPr>
          <w:sz w:val="20"/>
          <w:szCs w:val="20"/>
          <w:color w:val="auto"/>
        </w:rPr>
      </w:pPr>
      <w:r>
        <w:rPr>
          <w:rFonts w:ascii="Arial" w:cs="Arial" w:eastAsia="Arial" w:hAnsi="Arial"/>
          <w:sz w:val="29"/>
          <w:szCs w:val="29"/>
          <w:b w:val="1"/>
          <w:bCs w:val="1"/>
          <w:color w:val="auto"/>
        </w:rPr>
        <w:t>MATERIAL U.S. FEDERAL INCOME TAX CONSIDERATIONS FOR INVESTORS IN COMMON STOCK AND PRE-FUNDED WARRANTS</w:t>
      </w:r>
    </w:p>
    <w:p>
      <w:pPr>
        <w:spacing w:after="0" w:line="25"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The following summary describes the material U.S. federal income tax considerations applicable to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w:t>
      </w:r>
    </w:p>
    <w:p>
      <w:pPr>
        <w:spacing w:after="0" w:line="10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Special rules different from those described below may apply to certain investors that are subject to special treatment under the Internal Revenue Code of 1986, as amended, or the Code, such as:</w:t>
      </w:r>
    </w:p>
    <w:p>
      <w:pPr>
        <w:spacing w:after="0" w:line="86" w:lineRule="exact"/>
        <w:rPr>
          <w:sz w:val="20"/>
          <w:szCs w:val="20"/>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44"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Non-U.S. Holders (as defined below) that own, or are deemed to own, more than 5% of our common stock (directly, indirectly or by attribution) or more than 5% of our pre-funded warrants;</w:t>
      </w:r>
    </w:p>
    <w:p>
      <w:pPr>
        <w:spacing w:after="0" w:line="86"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86"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6" w:lineRule="exact"/>
        <w:rPr>
          <w:rFonts w:ascii="Arial" w:cs="Arial" w:eastAsia="Arial" w:hAnsi="Arial"/>
          <w:sz w:val="18"/>
          <w:szCs w:val="18"/>
          <w:color w:val="auto"/>
        </w:rPr>
      </w:pPr>
    </w:p>
    <w:p>
      <w:pPr>
        <w:ind w:left="340" w:right="62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that hold our common stock or pre-funded warrants as part of a “straddle,” “hedge,” “conversion transaction,” “synthetic security” or integrated investment or other risk reduction strategy;</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for U.S. tax purposes is not the U.S. dollar;</w:t>
      </w:r>
    </w:p>
    <w:p>
      <w:pPr>
        <w:spacing w:after="0" w:line="144" w:lineRule="exact"/>
        <w:rPr>
          <w:rFonts w:ascii="Arial" w:cs="Arial" w:eastAsia="Arial" w:hAnsi="Arial"/>
          <w:sz w:val="18"/>
          <w:szCs w:val="18"/>
          <w:color w:val="auto"/>
        </w:rPr>
      </w:pPr>
    </w:p>
    <w:p>
      <w:pPr>
        <w:ind w:left="340" w:right="8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who do not hold our common stock or pre-funded warrants as “capital assets” within the meaning of Section 1221 of the Code (generally, for investment purposes); and</w:t>
      </w:r>
    </w:p>
    <w:p>
      <w:pPr>
        <w:spacing w:after="0" w:line="86"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(regardless of their places of organization or formation).</w:t>
      </w:r>
    </w:p>
    <w:p>
      <w:pPr>
        <w:spacing w:after="0" w:line="8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Such investors are urged to consult their own tax advisors to determine the U.S. federal, state, local and other tax consequences that may be relevant to them.</w:t>
      </w:r>
    </w:p>
    <w:p>
      <w:pPr>
        <w:spacing w:after="0" w:line="7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For the purposes of this discussion, a “U.S. Holder” means a beneficial owner of our common stock or pre-funded warrants, other than a partnership or other pass-through entity,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9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0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w:t>
      </w:r>
    </w:p>
    <w:p>
      <w:pPr>
        <w:spacing w:after="0" w:line="101"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PERSONS CONSIDERING THE PURCHASE OF OUR COMMON STOCK OR PRE-FUNDED WARRANTS PURSUANT TO THIS OFFERING SHOULD CONSULT THEIR OWN TAX ADVISORS CONCERNING THE U.S. FEDERAL INCOME TAX CONSEQUENCES OF ACQUIRING, OWNING AND DISPOSING OF OUR COMMON STOCK AND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Characterization of the Pre-Funded Warrants for Tax Purposes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Although the characterization of the pre-funded warrants for U.S. federal income tax purposes is not entirely clear, because the exercise price of the pre-funded warrants is a nominal amount, we expect to treat the pre-funded warrants as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$0.001 per share. The balance of this discussion generally assumes that the characterization described above is respected for U.S. federal income tax purposes.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position with respect to the characterization of pre-funded warrants is not binding on the IRS and the IRS may treat</w:t>
      </w:r>
    </w:p>
    <w:p>
      <w:pPr>
        <w:spacing w:after="0" w:line="14" w:lineRule="exact"/>
        <w:rPr>
          <w:sz w:val="20"/>
          <w:szCs w:val="20"/>
          <w:color w:val="auto"/>
        </w:rPr>
      </w:pPr>
    </w:p>
    <w:p>
      <w:pPr>
        <w:ind w:left="120" w:right="360"/>
        <w:spacing w:after="0" w:line="234" w:lineRule="auto"/>
        <w:rPr>
          <w:sz w:val="20"/>
          <w:szCs w:val="20"/>
          <w:color w:val="auto"/>
        </w:rPr>
      </w:pPr>
      <w:r>
        <w:rPr>
          <w:rFonts w:ascii="Arial" w:cs="Arial" w:eastAsia="Arial" w:hAnsi="Arial"/>
          <w:sz w:val="18"/>
          <w:szCs w:val="18"/>
          <w:color w:val="auto"/>
        </w:rPr>
        <w:t>the pre-funded warrants as warrants to acquire our common stock and, if so, the amount and character of your gain with respect to an investment in our pre-funded warrants could change. You should consult your tax advisor regarding the characterization</w:t>
      </w:r>
    </w:p>
    <w:p>
      <w:pPr>
        <w:spacing w:after="0" w:line="1" w:lineRule="exact"/>
        <w:rPr>
          <w:sz w:val="20"/>
          <w:szCs w:val="20"/>
          <w:color w:val="auto"/>
        </w:rPr>
      </w:pPr>
    </w:p>
    <w:p>
      <w:pPr>
        <w:ind w:left="120" w:right="240"/>
        <w:spacing w:after="0" w:line="250" w:lineRule="auto"/>
        <w:rPr>
          <w:sz w:val="20"/>
          <w:szCs w:val="20"/>
          <w:color w:val="auto"/>
        </w:rPr>
      </w:pPr>
      <w:r>
        <w:rPr>
          <w:rFonts w:ascii="Arial" w:cs="Arial" w:eastAsia="Arial" w:hAnsi="Arial"/>
          <w:sz w:val="18"/>
          <w:szCs w:val="18"/>
          <w:color w:val="auto"/>
        </w:rPr>
        <w:t>of pre-funded warrants for U.S. federal income tax purposes, and the consequences to you of an investment in the pre-funded warrants based on your own particular facts and circumstances.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Consequences to U.S. Holders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Common Stock and Pre-funded Warrants</w:t>
      </w:r>
    </w:p>
    <w:p>
      <w:pPr>
        <w:spacing w:after="0" w:line="14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requirements are satisfied. Distributions in excess of our current and accumulated earnings and profits will be treated as a return of capital to the extent of a U.S. Holder’s tax basis in the common stock (or pre-funded warrant) and thereafter as capital gain from the sale or exchange of such common stock (or pre-funded warrant). The tax treatment of such gain is further described in “—Sale or Other Disposition of Common</w:t>
      </w:r>
    </w:p>
    <w:p>
      <w:pPr>
        <w:spacing w:after="0" w:line="3" w:lineRule="exact"/>
        <w:rPr>
          <w:sz w:val="20"/>
          <w:szCs w:val="20"/>
          <w:color w:val="auto"/>
        </w:rPr>
      </w:pPr>
    </w:p>
    <w:p>
      <w:pPr>
        <w:jc w:val="both"/>
        <w:ind w:left="120" w:right="60"/>
        <w:spacing w:after="0" w:line="242" w:lineRule="auto"/>
        <w:rPr>
          <w:sz w:val="20"/>
          <w:szCs w:val="20"/>
          <w:color w:val="auto"/>
        </w:rPr>
      </w:pPr>
      <w:r>
        <w:rPr>
          <w:rFonts w:ascii="Arial" w:cs="Arial" w:eastAsia="Arial" w:hAnsi="Arial"/>
          <w:sz w:val="18"/>
          <w:szCs w:val="18"/>
          <w:color w:val="auto"/>
        </w:rPr>
        <w:t>Stock or Pre-Funded Warrants” below. Dividends received by a corporation may be eligible for a dividends received deduction, subject to applicable limitations. Any such distributions will also be subject to the discussions below under the section titled “—Information Reporting and Backup Withholding.”</w:t>
      </w:r>
    </w:p>
    <w:p>
      <w:pPr>
        <w:spacing w:after="0" w:line="112" w:lineRule="exact"/>
        <w:rPr>
          <w:sz w:val="20"/>
          <w:szCs w:val="20"/>
          <w:color w:val="auto"/>
        </w:rPr>
      </w:pPr>
    </w:p>
    <w:p>
      <w:pPr>
        <w:ind w:left="120" w:right="200"/>
        <w:spacing w:after="0" w:line="241" w:lineRule="auto"/>
        <w:rPr>
          <w:sz w:val="20"/>
          <w:szCs w:val="20"/>
          <w:color w:val="auto"/>
        </w:rPr>
      </w:pPr>
      <w:r>
        <w:rPr>
          <w:rFonts w:ascii="Arial" w:cs="Arial" w:eastAsia="Arial" w:hAnsi="Arial"/>
          <w:sz w:val="18"/>
          <w:szCs w:val="18"/>
          <w:color w:val="auto"/>
        </w:rPr>
        <w:t>A U.S. Holder of a pre-funded warrant is expected to receive any distributions paid with respect to common stock prior to the exercise of the pre-funded warrant and, in such case, would be taxed in the same manner as a U.S. Holder of common stock that receives such a distribution. However, under certain circumstances, it is possible for cash to be held in abeyance for the U.S. Holder until</w:t>
      </w:r>
    </w:p>
    <w:p>
      <w:pPr>
        <w:spacing w:after="0" w:line="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 pre-funded warrant is exercised or the ownership limitations (described under “Description of Pre-Funded Warrants”)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 may be considered constructive distributions under Section 305 of the Code and taxable as discussed above. A holder of a pre-funded warrant should consult its tax advisor regarding the tax treatment of any distribution with respect to such pre-funded warrant that is held in abeyance in connection with any applicable limitation on the holder’s beneficial ownership of our common stock.</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Disposition of Common Stock or Pre-Funded Warrants</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For U.S. federal income tax purposes, gain or loss realized on the sale or other disposition of common stock or pre-funded warrants will be capital gain or loss, and will be long-term capital gain or loss if you have held the common stock or pre-funded warrants for more than one year. The amount of the gain or loss will equal the difference between your tax basis in the common stock or pre-funded warrants disposed of and the amount realized on the disposition. Long-term capital gains recognized by non-corporate U.S. Holders will be subject to reduced tax rates. The deductibility of capital losses is subject to limitations.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9" w:lineRule="exact"/>
        <w:rPr>
          <w:sz w:val="20"/>
          <w:szCs w:val="20"/>
          <w:color w:val="auto"/>
        </w:rPr>
      </w:pPr>
    </w:p>
    <w:p>
      <w:pPr>
        <w:ind w:left="120" w:right="480"/>
        <w:spacing w:after="0" w:line="259" w:lineRule="auto"/>
        <w:rPr>
          <w:sz w:val="20"/>
          <w:szCs w:val="20"/>
          <w:color w:val="auto"/>
        </w:rPr>
      </w:pPr>
      <w:r>
        <w:rPr>
          <w:rFonts w:ascii="Arial" w:cs="Arial" w:eastAsia="Arial" w:hAnsi="Arial"/>
          <w:sz w:val="17"/>
          <w:szCs w:val="17"/>
          <w:color w:val="auto"/>
        </w:rPr>
        <w:t>Information reporting requirements generally will apply to any payments of dividends on our common stock and pre-funded warrants, constructive dividends on our pre-funded warrants, and gross proceeds on the sale or other disposition of our common stock</w:t>
      </w:r>
    </w:p>
    <w:p>
      <w:pPr>
        <w:spacing w:after="0" w:line="1" w:lineRule="exact"/>
        <w:rPr>
          <w:sz w:val="20"/>
          <w:szCs w:val="20"/>
          <w:color w:val="auto"/>
        </w:rPr>
      </w:pPr>
    </w:p>
    <w:p>
      <w:pPr>
        <w:ind w:left="120" w:right="240"/>
        <w:spacing w:after="0" w:line="264" w:lineRule="auto"/>
        <w:rPr>
          <w:sz w:val="20"/>
          <w:szCs w:val="20"/>
          <w:color w:val="auto"/>
        </w:rPr>
      </w:pPr>
      <w:r>
        <w:rPr>
          <w:rFonts w:ascii="Arial" w:cs="Arial" w:eastAsia="Arial" w:hAnsi="Arial"/>
          <w:sz w:val="17"/>
          <w:szCs w:val="17"/>
          <w:color w:val="auto"/>
        </w:rPr>
        <w:t>and pre-funded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amounts withheld under the backup withholding rules will be allowed as a refund or a credit against a U.S. Holder’s U.S. federal income tax liability provided the required information is furnished timely to the IRS.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Consequences to Non-U.S. Holders</w:t>
      </w:r>
    </w:p>
    <w:p>
      <w:pPr>
        <w:spacing w:after="0" w:line="148"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For purposes of this discussion, a Non-U.S. Holder is a beneficial owner of our common stock or pre-funded warrants, other than a partnership or other pass-through entity that is (i) a non-resident alien individual, (ii) a corporation or other foreign organization taxable as a corporation for U.S. federal income tax purposes that is created or organized in or under laws other than the laws of the United States, any state thereof, or the District of Columbia; (iii) an estate, the income of which is not subject to U.S. federal income tax on a net income basis; or (iv) a trust the income of which is not subject to U.S. federal income tax on a net income basis and that (1) has not made an election to be treated as a U.S. person under applicable U.S. Treasury Regulations and (2) either (i) is not subject to the primary supervision of a court within the United States or (ii) is not subject to the substantial control of one or more U.S. persons is not a U.S. Holder. If you are not a Non-U.S. Holder, this section does not apply to you.</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Common Stock and Pre-funded Warrants</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 —Sale or Other Disposition of Common Stock and Pre-Funded Warrants.”</w:t>
      </w:r>
    </w:p>
    <w:p>
      <w:pPr>
        <w:spacing w:after="0" w:line="104"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w:t>
      </w:r>
    </w:p>
    <w:p>
      <w:pPr>
        <w:ind w:left="120"/>
        <w:spacing w:after="0" w:line="238" w:lineRule="auto"/>
        <w:rPr>
          <w:sz w:val="20"/>
          <w:szCs w:val="20"/>
          <w:color w:val="auto"/>
        </w:rPr>
      </w:pPr>
      <w:r>
        <w:rPr>
          <w:rFonts w:ascii="Arial" w:cs="Arial" w:eastAsia="Arial" w:hAnsi="Arial"/>
          <w:sz w:val="18"/>
          <w:szCs w:val="18"/>
          <w:color w:val="auto"/>
        </w:rPr>
        <w:t>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with the IRS.</w:t>
      </w:r>
    </w:p>
    <w:p>
      <w:pPr>
        <w:spacing w:after="0" w:line="114"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w:t>
      </w:r>
    </w:p>
    <w:p>
      <w:pPr>
        <w:spacing w:after="0" w:line="2"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93"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A Non-U.S. Holder of a pre-funded warrant is expected to receive any distributions paid with respect to common stock prior to the exercise of the pre-funded warrant and, in such case, would be taxed in the same manner as Non-U.S. Holder of common stock that receives such a distribution. However, under certain circumstances, it is possible for cash to be held in abeyance for a Non-U.S. Holder until</w:t>
      </w:r>
    </w:p>
    <w:p>
      <w:pPr>
        <w:spacing w:after="0" w:line="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 pre-funded warrant is exercised or the ownership limitations (described under “Description of Pre -Funded Warrants”)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 may be considered constructive distributions under Section 305 of the Code and taxable as discussed above. A holder of a pre-funded warrant should consult its tax advisor regarding the tax treatment of any distribution with respect to such pre-funded warrant that is held in abeyance in connection with any applicable limitation on the holder’s beneficial ownership of our common stock.</w:t>
      </w:r>
    </w:p>
    <w:p>
      <w:pPr>
        <w:spacing w:after="0" w:line="115"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See also the section below titled “—Foreign Accounts” for additional withholding rules that may apply to dividends paid to certain foreign financial institutions or non-financial foreign entities.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Disposition of Common Stock and Pre-Funded Warrants</w:t>
      </w:r>
    </w:p>
    <w:p>
      <w:pPr>
        <w:spacing w:after="0" w:line="14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Subject to the discussion below under the sections titled “—Information Reporting and Backup Withholding” and “—Foreign Accounts,”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w:t>
      </w:r>
    </w:p>
    <w:p>
      <w:pPr>
        <w:spacing w:after="0" w:line="99"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the regular graduated U.S. federal income tax rates applicable to U.S. persons, unless a specific treaty exemption applies.</w:t>
      </w:r>
    </w:p>
    <w:p>
      <w:pPr>
        <w:ind w:left="120" w:right="20"/>
        <w:spacing w:after="0" w:line="237" w:lineRule="auto"/>
        <w:rPr>
          <w:sz w:val="20"/>
          <w:szCs w:val="20"/>
          <w:color w:val="auto"/>
        </w:rPr>
      </w:pPr>
      <w:r>
        <w:rPr>
          <w:rFonts w:ascii="Arial" w:cs="Arial" w:eastAsia="Arial" w:hAnsi="Arial"/>
          <w:sz w:val="18"/>
          <w:szCs w:val="18"/>
          <w:color w:val="auto"/>
        </w:rPr>
        <w:t>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or pre-funded warrants and any constructive dividends deemed paid on pre-funded warrants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09" w:lineRule="exact"/>
        <w:rPr>
          <w:sz w:val="20"/>
          <w:szCs w:val="20"/>
          <w:color w:val="auto"/>
        </w:rPr>
      </w:pPr>
    </w:p>
    <w:p>
      <w:pPr>
        <w:ind w:left="120" w:right="920"/>
        <w:spacing w:after="0" w:line="245"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IRS</w:t>
      </w:r>
    </w:p>
    <w:p>
      <w:pPr>
        <w:jc w:val="both"/>
        <w:ind w:left="120" w:right="420"/>
        <w:spacing w:after="0" w:line="250" w:lineRule="auto"/>
        <w:rPr>
          <w:sz w:val="20"/>
          <w:szCs w:val="20"/>
          <w:color w:val="auto"/>
        </w:rPr>
      </w:pPr>
      <w:r>
        <w:rPr>
          <w:rFonts w:ascii="Arial" w:cs="Arial" w:eastAsia="Arial" w:hAnsi="Arial"/>
          <w:sz w:val="18"/>
          <w:szCs w:val="18"/>
          <w:color w:val="auto"/>
        </w:rPr>
        <w:t>Form W-8BEN-E, as applicable, or otherwise establishes an exemption, provided that the applicable withholding agent does not have actual knowledge or reason to know the holder is a U.S. person.</w:t>
      </w:r>
    </w:p>
    <w:p>
      <w:pPr>
        <w:spacing w:after="0" w:line="104" w:lineRule="exact"/>
        <w:rPr>
          <w:sz w:val="20"/>
          <w:szCs w:val="20"/>
          <w:color w:val="auto"/>
        </w:rPr>
      </w:pPr>
    </w:p>
    <w:p>
      <w:pPr>
        <w:jc w:val="both"/>
        <w:ind w:left="120" w:right="440"/>
        <w:spacing w:after="0" w:line="245"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common stock or pre-funded warrants effected by or through a U.S. office of any broker, U.S.</w:t>
      </w:r>
    </w:p>
    <w:p>
      <w:pPr>
        <w:jc w:val="both"/>
        <w:ind w:left="120" w:right="420"/>
        <w:spacing w:after="0" w:line="248" w:lineRule="auto"/>
        <w:rPr>
          <w:sz w:val="20"/>
          <w:szCs w:val="20"/>
          <w:color w:val="auto"/>
        </w:rPr>
      </w:pPr>
      <w:r>
        <w:rPr>
          <w:rFonts w:ascii="Arial" w:cs="Arial" w:eastAsia="Arial" w:hAnsi="Arial"/>
          <w:sz w:val="17"/>
          <w:szCs w:val="17"/>
          <w:color w:val="auto"/>
        </w:rPr>
        <w:t>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w:t>
      </w:r>
    </w:p>
    <w:p>
      <w:pPr>
        <w:spacing w:after="0" w:line="2"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99" w:lineRule="exact"/>
        <w:rPr>
          <w:sz w:val="20"/>
          <w:szCs w:val="20"/>
          <w:color w:val="auto"/>
        </w:rPr>
      </w:pPr>
    </w:p>
    <w:p>
      <w:pPr>
        <w:jc w:val="both"/>
        <w:ind w:left="120" w:right="600"/>
        <w:spacing w:after="0" w:line="253"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Accounts</w:t>
      </w:r>
    </w:p>
    <w:p>
      <w:pPr>
        <w:spacing w:after="0" w:line="148" w:lineRule="exact"/>
        <w:rPr>
          <w:sz w:val="20"/>
          <w:szCs w:val="20"/>
          <w:color w:val="auto"/>
        </w:rPr>
      </w:pPr>
    </w:p>
    <w:p>
      <w:pPr>
        <w:jc w:val="both"/>
        <w:ind w:left="120" w:right="300"/>
        <w:spacing w:after="0" w:line="241" w:lineRule="auto"/>
        <w:rPr>
          <w:sz w:val="20"/>
          <w:szCs w:val="20"/>
          <w:color w:val="auto"/>
        </w:rPr>
      </w:pPr>
      <w:r>
        <w:rPr>
          <w:rFonts w:ascii="Arial" w:cs="Arial" w:eastAsia="Arial" w:hAnsi="Arial"/>
          <w:sz w:val="18"/>
          <w:szCs w:val="18"/>
          <w:color w:val="auto"/>
        </w:rPr>
        <w:t>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w:t>
      </w:r>
    </w:p>
    <w:p>
      <w:pPr>
        <w:spacing w:after="0" w:line="2" w:lineRule="exact"/>
        <w:rPr>
          <w:sz w:val="20"/>
          <w:szCs w:val="20"/>
          <w:color w:val="auto"/>
        </w:rPr>
      </w:pPr>
    </w:p>
    <w:p>
      <w:pPr>
        <w:ind w:left="120" w:right="160"/>
        <w:spacing w:after="0" w:line="234" w:lineRule="auto"/>
        <w:rPr>
          <w:sz w:val="20"/>
          <w:szCs w:val="20"/>
          <w:color w:val="auto"/>
        </w:rPr>
      </w:pPr>
      <w:r>
        <w:rPr>
          <w:rFonts w:ascii="Arial" w:cs="Arial" w:eastAsia="Arial" w:hAnsi="Arial"/>
          <w:sz w:val="18"/>
          <w:szCs w:val="18"/>
          <w:color w:val="auto"/>
        </w:rPr>
        <w:t>or pre-funded warrants, constructive distributions deemed paid with respect to pre-funded warrants and the gross proceeds of the disposition on our common stock or pre-funded warrants paid to a “foreign financial institution” or a “non-financial foreign entity” (each as defined in the Code), unless (1) the foreign financial institution agrees to undertake certain diligence and reporting obligations,</w:t>
      </w:r>
    </w:p>
    <w:p>
      <w:pPr>
        <w:spacing w:after="0" w:line="2" w:lineRule="exact"/>
        <w:rPr>
          <w:sz w:val="20"/>
          <w:szCs w:val="20"/>
          <w:color w:val="auto"/>
        </w:rPr>
      </w:pPr>
    </w:p>
    <w:p>
      <w:pPr>
        <w:ind w:left="120" w:right="540" w:hanging="4"/>
        <w:spacing w:after="0" w:line="234" w:lineRule="auto"/>
        <w:tabs>
          <w:tab w:leader="none" w:pos="3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w:t>
      </w:r>
    </w:p>
    <w:p>
      <w:pPr>
        <w:spacing w:after="0" w:line="1" w:lineRule="exact"/>
        <w:rPr>
          <w:rFonts w:ascii="Arial" w:cs="Arial" w:eastAsia="Arial" w:hAnsi="Arial"/>
          <w:sz w:val="18"/>
          <w:szCs w:val="18"/>
          <w:color w:val="auto"/>
        </w:rPr>
      </w:pPr>
    </w:p>
    <w:p>
      <w:pPr>
        <w:ind w:left="120" w:right="20"/>
        <w:spacing w:after="0" w:line="238" w:lineRule="auto"/>
        <w:rPr>
          <w:rFonts w:ascii="Arial" w:cs="Arial" w:eastAsia="Arial" w:hAnsi="Arial"/>
          <w:sz w:val="18"/>
          <w:szCs w:val="18"/>
          <w:color w:val="auto"/>
        </w:rPr>
      </w:pPr>
      <w:r>
        <w:rPr>
          <w:rFonts w:ascii="Arial" w:cs="Arial" w:eastAsia="Arial" w:hAnsi="Arial"/>
          <w:sz w:val="18"/>
          <w:szCs w:val="18"/>
          <w:color w:val="auto"/>
        </w:rPr>
        <w:t>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institutions located in jurisdictions that have an intergovernmental agreement with the United States governing FATCA may be subject to different rules.</w:t>
      </w:r>
    </w:p>
    <w:p>
      <w:pPr>
        <w:spacing w:after="0" w:line="7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Treasury Secretary has issued proposed regulations providing that the withholding provisions under FATCA do not apply with respect to payment of gross proceeds from a sale or other disposition of our common stock or pre-funded warrants, which may be relied upon by taxpayers until final regulations are issued. Prospective investors should consult their tax advisors regarding the potential application of withholding under FATCA to their investment in our common stock or pre-funded warrants.</w:t>
      </w:r>
    </w:p>
    <w:p>
      <w:pPr>
        <w:spacing w:after="0" w:line="10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We are offering the securities described in this prospectus supplement through a number of underwriters. J.P. Morgan Securities LLC, Leerink Partners LLC and Cantor Fitzgerald &amp; Co.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Number of</w:t>
            </w: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175"/>
        </w:trPr>
        <w:tc>
          <w:tcPr>
            <w:tcW w:w="85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Pre-Funded</w:t>
            </w:r>
          </w:p>
        </w:tc>
        <w:tc>
          <w:tcPr>
            <w:tcW w:w="0" w:type="dxa"/>
            <w:vAlign w:val="bottom"/>
          </w:tcPr>
          <w:p>
            <w:pPr>
              <w:spacing w:after="0"/>
              <w:rPr>
                <w:sz w:val="1"/>
                <w:szCs w:val="1"/>
                <w:color w:val="auto"/>
              </w:rPr>
            </w:pPr>
          </w:p>
        </w:tc>
      </w:tr>
      <w:tr>
        <w:trPr>
          <w:trHeight w:val="217"/>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Underwriters</w:t>
            </w: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Shares</w:t>
            </w: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Warrants</w:t>
            </w: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2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4,029,631</w:t>
            </w: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377,806</w:t>
            </w: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Leerink Partners LLC</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3,437,037</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322,246</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Cantor Fitzgerald &amp; Co.</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2,607,408</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244,462</w:t>
            </w: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Oppenheimer &amp; Co. Inc.</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1,066,666</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100,007</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Truist Securities, Inc.</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711,111</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66,672</w:t>
            </w:r>
          </w:p>
        </w:tc>
        <w:tc>
          <w:tcPr>
            <w:tcW w:w="0" w:type="dxa"/>
            <w:vAlign w:val="bottom"/>
          </w:tcPr>
          <w:p>
            <w:pPr>
              <w:spacing w:after="0"/>
              <w:rPr>
                <w:sz w:val="1"/>
                <w:szCs w:val="1"/>
                <w:color w:val="auto"/>
              </w:rPr>
            </w:pPr>
          </w:p>
        </w:tc>
      </w:tr>
      <w:tr>
        <w:trPr>
          <w:trHeight w:val="232"/>
        </w:trPr>
        <w:tc>
          <w:tcPr>
            <w:tcW w:w="8580" w:type="dxa"/>
            <w:vAlign w:val="bottom"/>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11,851,853</w:t>
            </w:r>
          </w:p>
        </w:tc>
        <w:tc>
          <w:tcPr>
            <w:tcW w:w="1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1,111,193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303"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The underwriters are committed to purchase all the securities offered by us if they purchase any securities. The underwriting agreement also provides that if an underwriter defaults, the purchase commitments of non-defaulting underwriters may also be increased or the offering may be terminated.</w:t>
      </w:r>
    </w:p>
    <w:p>
      <w:pPr>
        <w:spacing w:after="0" w:line="101"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underwriters propose to offer the securities directly to the public at the respective public offering prices set forth on the cover page of this prospectus supplement and to certain dealers at that price less a concession not in excess of $0.486 per share of common stock or pre-funded warrant. After the offering of the securities to the public, if all of the securities are not sold at the respective public offering prices, the underwriters may change the offering price and the other selling terms. Sales of any securities made outside of the United States may be made by affiliates of the underwriters.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 to Purchase Additional Shares</w:t>
      </w:r>
    </w:p>
    <w:p>
      <w:pPr>
        <w:spacing w:after="0" w:line="148"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color w:val="auto"/>
        </w:rPr>
        <w:t>The underwriters have an option to buy up to 1,944,456 additional shares of common stock from us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Commissions and Expenses</w:t>
      </w:r>
    </w:p>
    <w:p>
      <w:pPr>
        <w:spacing w:after="0" w:line="148"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underwriting fee is equal to the public offering price per share of common stock (or pre-funded warrant) less the amount paid by the underwriters to us per share of common stock (or pre-funded warrant). The underwriting fee is $0.81 per share or pre-funded warrant. The following table shows the per share and</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pre-funded warrant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With full option</w:t>
            </w:r>
          </w:p>
        </w:tc>
      </w:tr>
      <w:tr>
        <w:trPr>
          <w:trHeight w:val="162"/>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Without option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 purchase</w:t>
            </w:r>
          </w:p>
        </w:tc>
      </w:tr>
      <w:tr>
        <w:trPr>
          <w:trHeight w:val="162"/>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to purchase</w:t>
            </w:r>
          </w:p>
        </w:tc>
        <w:tc>
          <w:tcPr>
            <w:tcW w:w="16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r>
      <w:tr>
        <w:trPr>
          <w:trHeight w:val="171"/>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shares exercise</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Per Pre-Funded Warrant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0.81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0.81</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10,500,067.26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12,075,076.62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51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12"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$0.4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Electronic Distribution</w:t>
      </w:r>
    </w:p>
    <w:p>
      <w:pPr>
        <w:spacing w:after="0" w:line="135"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A prospectus supplement and accompanying prospectus in electronic format may be made available on the web sites maintained by one or more underwriters, or selling group members, if any, participating in the offering. The underwriters may agree to allocate a number of securities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 Sales of Similar Securities</w:t>
      </w:r>
    </w:p>
    <w:p>
      <w:pPr>
        <w:spacing w:after="0" w:line="135"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We have agreed that we will not (i) offer, sell, contract to sell, pledge, grant any option to purchase, make any short sale or otherwise transfer or dispose of, directly or indirectly, or file with the SEC a registration statement under the Securities Act relating to, any of our securities that are substantially similar to the shares of common stock to be sold in this offering,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our common stock or any such other securities (regardless of whether any of these transactions are to be settled by delivery of common stock or such other securities, in cash or otherwise), in each case without the prior written consent of the representatives for a period of 60 days after the date of this prospectus supplement, other than the shares of our common stock to be sold in this offering.</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our actions, as described above, do not apply to certain transactions, including (i) the securities to be sold hereunder,</w:t>
      </w:r>
    </w:p>
    <w:p>
      <w:pPr>
        <w:spacing w:after="0" w:line="14" w:lineRule="exact"/>
        <w:rPr>
          <w:sz w:val="20"/>
          <w:szCs w:val="20"/>
          <w:color w:val="auto"/>
        </w:rPr>
      </w:pPr>
    </w:p>
    <w:p>
      <w:pPr>
        <w:ind w:left="120" w:right="100" w:hanging="4"/>
        <w:spacing w:after="0" w:line="248" w:lineRule="auto"/>
        <w:tabs>
          <w:tab w:leader="none" w:pos="3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issuance of shares of common stock or any securities (including without limitation options, restricted stock or restricted stock units) convertible into, or exercisable for, shares of our common stock pursuant to any employee stock option plan, incentive plan, stock plan, dividend reinvestment plan or otherwise in equity compensation arrangements existing as of the date of this prospectus supplement,</w:t>
      </w:r>
    </w:p>
    <w:p>
      <w:pPr>
        <w:spacing w:after="0" w:line="1" w:lineRule="exact"/>
        <w:rPr>
          <w:rFonts w:ascii="Arial" w:cs="Arial" w:eastAsia="Arial" w:hAnsi="Arial"/>
          <w:sz w:val="17"/>
          <w:szCs w:val="17"/>
          <w:color w:val="auto"/>
        </w:rPr>
      </w:pPr>
    </w:p>
    <w:p>
      <w:pPr>
        <w:ind w:left="120" w:right="20" w:hanging="4"/>
        <w:spacing w:after="0" w:line="239" w:lineRule="auto"/>
        <w:tabs>
          <w:tab w:leader="none" w:pos="4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grant of awards pursuant to employee equity-based compensation plans, incentive plans, stock plans or other arrangements existing as of the date of this prospectus supplement, (iv) the filing of a registration statement on Form S-8 in connection with the registration of shares of common stock issuable under any employee equity-based compensation plan, incentive plan, stock plan, dividend reinvestment plan adopted and approved by our board of directors existing prior to the date of this prospectus supplement, or (v) the issuance</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of up to 5% of the outstanding shares of common stock immediately after the closing of this offering as in connection with the bona fide acquisition, strategic investment, licensing, commercialization, joint venture, technology transfer or development collaboration agreement with an unaffiliated third party; provided that in the case of (ii), (iii) and (v), all recipients of shares of common stock or any security convertible into or exercisable for common stock enter into a lock-up agreement with respect to the remaining portion of the 60-day lock-up period.</w:t>
      </w:r>
    </w:p>
    <w:p>
      <w:pPr>
        <w:spacing w:after="0" w:line="9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directors and executive officers, and certain stockholders (such persons, the “lock-up parties”) have entered into lock-up agreements with the underwriters prior to the commencement of this offering pursuant to which each lock-up party, with limited exceptions, for a period of 30 days after the date of this prospectus supplement, may not (and may not cause any of their direct or indirect affiliates to), without the prior written consent of the representatives, (i) offer, sell, contract to sell, pledge, grant any option, right or warrant to purchase, purchase any option or contract to sell, lend or otherwise transfer or dispose of any shares of our common stock or any options or warrants to purchase shares of our common stock, or any securities convertible into or exercisable or exchangeable for or that represent the right to receive shares of our common stock, including, without limitation, common stock or such other securities which may be deemed to be beneficially owned by such lock-up parties in accordance with the rules and regulations of the SEC (such shares of common stock, options, rights, warrants or other securities, collectively, the “lock-up securities”), including without limitation any such lock-up securities now owned or hereafter acquired by the lock-up parties, (ii) engage in any hedging or other transaction or arrangement (including, without limitation, any short sale or the purchase or sale of, or entry into, any put or call option, or combination thereof, forward, swap or other derivative transaction or instrument, however described or defined) which is designed to or which reasonably could be expected to lead to or result in a sale, loan, pledge or other disposition (whether by the lock-up parties or someone other than the lock-up parties), or transfer any of the economic consequences of ownership, in whole or in part, directly or indirectly, of the lock-up securities, whether any such transaction or arrangement (or instrument provided for thereunder) would be settled by delivery of shares of common stock or other securities, in cash or otherwise (any such sale, loan, pledge or other disposition, or transfer of economic consequences, a “Transfer”), (iii) make any demand for, or exercise any right with respect to, the registration of any lock-up securities, or (iv) publicly disclose the intention to do any of the foregoing. The lock-up parties have further acknowledged that they have not, and have not caused or directed any of their affiliates to be or become, currently a party to any agreement or arrangement that provides for, is designed to or reasonably could be expected to lead to or result in any Transfer during the lock-up period.</w:t>
      </w:r>
    </w:p>
    <w:p>
      <w:pPr>
        <w:spacing w:after="0" w:line="128"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transfers or dispositions of shares of common stock or any security convertible into or exercisable or exchangeable for common stock (a) as one or more bona fide gifts or charitable contributions, or for bona fide estate planning purposes; (b) upon death by will, testamentary document or intestate succession; (c) to any member of the immediate family of the lock-up party or to any trust for the direct or indirect benefit of the lock-up party or the immediate family of the lock-up party, if the lock-up party is a natural person or, if the lock-up party is a trust, to a trustor or beneficiary of the trust or the estate of a beneficiary of such trust; (d) to a partnership, limited liability company or other entity of which the lock-up party and their immediate family are the legal and beneficial owner of all of the outstanding equity securities or similar interests;</w:t>
      </w:r>
    </w:p>
    <w:p>
      <w:pPr>
        <w:ind w:left="380" w:hanging="264"/>
        <w:spacing w:after="0" w:line="23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(a), (b), (c) or (d) above;</w:t>
      </w:r>
    </w:p>
    <w:p>
      <w:pPr>
        <w:ind w:left="120" w:right="160" w:hanging="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or other business entity (A) to another corporation, partnership, limited liability company or other business entity that is an affiliate of the lock-up party, or to any investment fund or other entity which fund or entity is controlled or managed by such lock-up party or affiliates of such lock-up party, or (B) as part of a distribution by the lock-up party to its stockholders, partners, members or other equityholders or to the estate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50" w:lineRule="auto"/>
        <w:rPr>
          <w:sz w:val="20"/>
          <w:szCs w:val="20"/>
          <w:color w:val="auto"/>
        </w:rPr>
      </w:pPr>
      <w:r>
        <w:rPr>
          <w:rFonts w:ascii="Arial" w:cs="Arial" w:eastAsia="Arial" w:hAnsi="Arial"/>
          <w:sz w:val="17"/>
          <w:szCs w:val="17"/>
          <w:color w:val="auto"/>
        </w:rPr>
        <w:t>of any such stockholders, partners, members or other equityholders; (g) by operation of law, such as pursuant to a qualified domestic order, divorce settlement, divorce decree or separation agreement; (h) by an employee to us upon the employee’s death, disability or termination of employment; (i) in connection with the sale of the lock-up party’s shares of common stock acquired from the underwriters in this offering or in open market transactions after the completion of this offering, if the lock-up party is not one of our officers or directors; and (j) to us in connection with the vesting, settlement or exercise of restricted stock units, options, warrants or other rights to purchase shares of our common stock (including, in each case, by way of “net” or “cashless” exercise) that are scheduled to expire or automatically vest during the lock-up period,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incorporated by reference into the registration statement of which this prospectus supplement forms a part; provided, however, that (1) in the case of clauses (a), (b), (c), (d), (e) and (f) above, such transfer or distribution shall not involve a disposition for value, (2) in the case of clauses (a), (b), (c), (d), (e), (f) and (g) above, it shall be a condition to the transfer or distribution that the donee, devisee, transferee or distributee, as the case may be, shall sign and deliver a lock-up agreement,</w:t>
      </w:r>
    </w:p>
    <w:p>
      <w:pPr>
        <w:spacing w:after="0" w:line="3" w:lineRule="exact"/>
        <w:rPr>
          <w:sz w:val="20"/>
          <w:szCs w:val="20"/>
          <w:color w:val="auto"/>
        </w:rPr>
      </w:pPr>
    </w:p>
    <w:p>
      <w:pPr>
        <w:ind w:left="120" w:right="60" w:hanging="4"/>
        <w:spacing w:after="0" w:line="237"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clauses (d), (e) and (f) above, no filing by any party (including, without limitation, any donor, donee, devisee, transferee or distributee) under the Exchange Act, or other public filing, report or announcement reporting a reduction in beneficial ownership of lock-up securities shall be required or shall be voluntarily made in connection with such transfer or distribution, and (4) in the case of clauses (a), (g), (h), (i) and (j)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(x) the circumstances of such transfer or distribution and (y) in the case of a transfer or distribution pursuant to clauses (a) and (g) above, that the donee, devisee, transferee or distributee has agreed to be bound by a lock-up agreement.</w:t>
      </w:r>
    </w:p>
    <w:p>
      <w:pPr>
        <w:spacing w:after="0" w:line="102" w:lineRule="exact"/>
        <w:rPr>
          <w:sz w:val="20"/>
          <w:szCs w:val="20"/>
          <w:color w:val="auto"/>
        </w:rPr>
      </w:pPr>
    </w:p>
    <w:p>
      <w:pPr>
        <w:ind w:left="120"/>
        <w:spacing w:after="0" w:line="254" w:lineRule="auto"/>
        <w:rPr>
          <w:sz w:val="20"/>
          <w:szCs w:val="20"/>
          <w:color w:val="auto"/>
        </w:rPr>
      </w:pPr>
      <w:r>
        <w:rPr>
          <w:rFonts w:ascii="Arial" w:cs="Arial" w:eastAsia="Arial" w:hAnsi="Arial"/>
          <w:sz w:val="17"/>
          <w:szCs w:val="17"/>
          <w:color w:val="auto"/>
        </w:rPr>
        <w:t>The lock-up parties may (i) transfer, sell, or dispose of the lock-up securities pursuant to an existing Rule 10b5-1 trading plan adopted prior to the date of the lock-up agreement, which has not been amended following the date of the lock-up agreement, provided that any filing made under the Exchange Act in connection with such a sale shall disclose that the sale was made pursuant to a Rule 10b5-1 trading plan entered into on a date before the date of this prospectus supplement and (ii) enter into a written plan meeting the requirements of</w:t>
      </w:r>
    </w:p>
    <w:p>
      <w:pPr>
        <w:ind w:left="120" w:right="140"/>
        <w:spacing w:after="0" w:line="239" w:lineRule="auto"/>
        <w:rPr>
          <w:sz w:val="20"/>
          <w:szCs w:val="20"/>
          <w:color w:val="auto"/>
        </w:rPr>
      </w:pPr>
      <w:r>
        <w:rPr>
          <w:rFonts w:ascii="Arial" w:cs="Arial" w:eastAsia="Arial" w:hAnsi="Arial"/>
          <w:sz w:val="18"/>
          <w:szCs w:val="18"/>
          <w:color w:val="auto"/>
        </w:rPr>
        <w:t>Rule 10b5-1 under the Exchange Act relating to the transfer, sale or other disposition of the lock-up parties’ lock-up securities, if then permitted by us, provided that (a) none of the securities subject to such plan may be transferred, sold or otherwise disposed of until after the expiration of the lock-up period and (b) to the extent a public announcement or filing under the Exchange Act, if any, is required by or on behalf of the lock-up parties or us regarding the entry of such plan, such announcement or filing shall include a statement to the effect that no transfer of shares of common stock may be made under such plan during the lock-up period.</w:t>
      </w:r>
    </w:p>
    <w:p>
      <w:pPr>
        <w:spacing w:after="0" w:line="11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lock-up parties may also transfer lock-up securities pursuant to a bona fide third-party tender offer, merger, consolidation or other similar transaction that is approved by our board and made to all holders of our capital stock involving a change of control; provided that in the event that such tender offer, merger, consolidation or other similar transaction is not completed, the lock-up parties’ lock-up securities shall remain subject to the provisions of the lock-up agreement.</w:t>
      </w:r>
    </w:p>
    <w:p>
      <w:pPr>
        <w:spacing w:after="0" w:line="10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 representatives, in their sole discretion, may release the securities subject to any of the lock-up agreements with the underwriters described above, in whole or in part at any time.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Listing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Stabilization</w:t>
      </w:r>
    </w:p>
    <w:p>
      <w:pPr>
        <w:spacing w:after="0" w:line="13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1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Activities and Relationships</w:t>
      </w:r>
    </w:p>
    <w:p>
      <w:pPr>
        <w:spacing w:after="0" w:line="135"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35"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in any jurisdiction in which such an offer or a solicitation is unlawful.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4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109"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44" w:lineRule="exact"/>
        <w:rPr>
          <w:rFonts w:ascii="Arial" w:cs="Arial" w:eastAsia="Arial" w:hAnsi="Arial"/>
          <w:sz w:val="18"/>
          <w:szCs w:val="18"/>
          <w:color w:val="auto"/>
        </w:rPr>
      </w:pPr>
    </w:p>
    <w:p>
      <w:pPr>
        <w:ind w:left="340" w:right="52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3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provided that no such offer of securities shall require the Company or any of the underwriters to publish a prospectus pursuant to Article 3 of the Prospectus Regulation or supplement a prospectus pursuant to Article 23 of the Prospectus Regulation.</w:t>
      </w:r>
    </w:p>
    <w:p>
      <w:pPr>
        <w:spacing w:after="0" w:line="86"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4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In relation to the United Kingdom, no securities have been offered or will be offered pursuant to the offering to the public in the United Kingdom prior to the publication of a prospectus in relation to the securities which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of any securities at any time under the following exemptions under the UK Prospectus Regulation:</w:t>
      </w:r>
    </w:p>
    <w:p>
      <w:pPr>
        <w:spacing w:after="0" w:line="109"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44" w:lineRule="exact"/>
        <w:rPr>
          <w:rFonts w:ascii="Arial" w:cs="Arial" w:eastAsia="Arial" w:hAnsi="Arial"/>
          <w:sz w:val="18"/>
          <w:szCs w:val="18"/>
          <w:color w:val="auto"/>
        </w:rPr>
      </w:pPr>
    </w:p>
    <w:p>
      <w:pPr>
        <w:ind w:left="340" w:right="14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3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provided that no such offer of the securities shall require the Company or any of the underwriters to publish a prospectus pursuant to Section 85 of the FSMA or supplement a prospectus pursuant to Article 23 of the UK Prospectus Regulation.</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9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In addition, this prospectus supplement and the accompanying prospectus are only being distributed to, and is only directed at, and any investment or investment activity to which this prospectus supplement and the accompanying prospectus relate is available only to, and will be engaged in only with, persons who are outside the United Kingdom or persons in the United Kingdom (i) having professional experience in matters relating to investments who fall within the definition of “investment professionals” in Article 19(5) of the Financial Services and Markets Act 2000 (Financial Promotion) Order 2005, or the Order; or (ii) who are high net worth entities falling within Article 49(2)(a) to (d) of the Order (all such persons together being referred to as “relevant persons”). Persons who are not relevant persons should not take any action on the basis of this prospectus supplement and the accompanying prospectus and should not act or rely on them.</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w:t>
      </w:r>
    </w:p>
    <w:p>
      <w:pPr>
        <w:spacing w:after="0" w:line="14" w:lineRule="exact"/>
        <w:rPr>
          <w:sz w:val="20"/>
          <w:szCs w:val="20"/>
          <w:color w:val="auto"/>
        </w:rPr>
      </w:pPr>
    </w:p>
    <w:p>
      <w:pPr>
        <w:ind w:left="120" w:hanging="4"/>
        <w:spacing w:after="0" w:line="237" w:lineRule="auto"/>
        <w:tabs>
          <w:tab w:leader="none" w:pos="3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persons whose ordinary business is to buy or sell shares or debentures, 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other than with respect to securities that are or are intended to be disposed of only to persons outside Hong Kong or only to “professional investors” as defined in the SFO and any rules made under that Ordinance.</w:t>
      </w:r>
    </w:p>
    <w:p>
      <w:pPr>
        <w:spacing w:after="0" w:line="11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This prospectus supplement and the accompanying prospectus have not been registered with the Registrar of Companies in Hong Kong. Accordingly, this prospectus supplement and the accompanying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accompanying prospectus and that he is not acquiring, and has not been offered, any securities in circumstances that contravene any such restrictions.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48"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securities offered hereby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that is:</w:t>
      </w:r>
    </w:p>
    <w:p>
      <w:pPr>
        <w:spacing w:after="0" w:line="144" w:lineRule="exact"/>
        <w:rPr>
          <w:sz w:val="20"/>
          <w:szCs w:val="20"/>
          <w:color w:val="auto"/>
        </w:rPr>
      </w:pPr>
    </w:p>
    <w:p>
      <w:pPr>
        <w:ind w:left="340" w:right="440" w:hanging="224"/>
        <w:spacing w:after="0" w:line="30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3" w:lineRule="exact"/>
        <w:rPr>
          <w:rFonts w:ascii="Arial" w:cs="Arial" w:eastAsia="Arial" w:hAnsi="Arial"/>
          <w:sz w:val="17"/>
          <w:szCs w:val="17"/>
          <w:color w:val="auto"/>
        </w:rPr>
      </w:pPr>
    </w:p>
    <w:p>
      <w:pPr>
        <w:ind w:left="340" w:right="140" w:hanging="224"/>
        <w:spacing w:after="0" w:line="24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06"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340" w:right="52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Resale Restrictions</w:t>
      </w:r>
    </w:p>
    <w:p>
      <w:pPr>
        <w:spacing w:after="0" w:line="13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offering of the securities in Canada is being made only in the provinces of Ontario, Quebec, Alberta and British Columbia on a private placement basis exempt from the requirement that the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Representations of Canadian Purchasers</w:t>
      </w:r>
    </w:p>
    <w:p>
      <w:pPr>
        <w:spacing w:after="0" w:line="133"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By purchasing the securities in Canada and accepting delivery of a purchase confirmation, a purchaser is representing to us and the dealer from whom the purchase confirmation is received that:</w:t>
      </w:r>
    </w:p>
    <w:p>
      <w:pPr>
        <w:spacing w:after="0" w:line="86" w:lineRule="exact"/>
        <w:rPr>
          <w:sz w:val="20"/>
          <w:szCs w:val="20"/>
          <w:color w:val="auto"/>
        </w:rPr>
      </w:pPr>
    </w:p>
    <w:p>
      <w:pPr>
        <w:ind w:left="340" w:right="580" w:hanging="224"/>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securities without the benefit of a prospectus qualified under those securities laws, as it is an “accredited investor” as defined under National Instrument 45-106—</w:t>
      </w:r>
      <w:r>
        <w:rPr>
          <w:rFonts w:ascii="Arial" w:cs="Arial" w:eastAsia="Arial" w:hAnsi="Arial"/>
          <w:sz w:val="18"/>
          <w:szCs w:val="18"/>
          <w:i w:val="1"/>
          <w:iCs w:val="1"/>
          <w:color w:val="auto"/>
        </w:rPr>
        <w:t>Prospectus</w:t>
      </w:r>
      <w:r>
        <w:rPr>
          <w:rFonts w:ascii="Arial" w:cs="Arial" w:eastAsia="Arial" w:hAnsi="Arial"/>
          <w:sz w:val="18"/>
          <w:szCs w:val="18"/>
          <w:color w:val="auto"/>
        </w:rPr>
        <w:t xml:space="preserve"> </w:t>
      </w:r>
      <w:r>
        <w:rPr>
          <w:rFonts w:ascii="Arial" w:cs="Arial" w:eastAsia="Arial" w:hAnsi="Arial"/>
          <w:sz w:val="18"/>
          <w:szCs w:val="18"/>
          <w:i w:val="1"/>
          <w:iCs w:val="1"/>
          <w:color w:val="auto"/>
        </w:rPr>
        <w:t>Exemptions</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340" w:right="660" w:hanging="224"/>
        <w:spacing w:after="0" w:line="27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is a “permitted client” as defined under National Instrument 31-103—</w:t>
      </w:r>
      <w:r>
        <w:rPr>
          <w:rFonts w:ascii="Arial" w:cs="Arial" w:eastAsia="Arial" w:hAnsi="Arial"/>
          <w:sz w:val="18"/>
          <w:szCs w:val="18"/>
          <w:i w:val="1"/>
          <w:iCs w:val="1"/>
          <w:color w:val="auto"/>
        </w:rPr>
        <w:t>Registration Requirements, Exemptions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Ongoing Registrant Obligations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Conflicts of Interest</w:t>
      </w:r>
    </w:p>
    <w:p>
      <w:pPr>
        <w:spacing w:after="0" w:line="13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Canadian purchasers are hereby notified that the underwriters relying on the exemption set out in section 3A.3 or 3A.4, if applicable, of National Instrument 33-105—</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to not provide certain conflict of interest disclosures in this document.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Statutory Rights of Action</w:t>
      </w:r>
    </w:p>
    <w:p>
      <w:pPr>
        <w:spacing w:after="0" w:line="13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Enforcement of Legal Rights</w:t>
      </w:r>
    </w:p>
    <w:p>
      <w:pPr>
        <w:spacing w:after="0" w:line="146"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Taxation and Eligibility for Investment</w:t>
      </w:r>
    </w:p>
    <w:p>
      <w:pPr>
        <w:spacing w:after="0" w:line="146" w:lineRule="exact"/>
        <w:rPr>
          <w:sz w:val="20"/>
          <w:szCs w:val="20"/>
          <w:color w:val="auto"/>
        </w:rPr>
      </w:pPr>
    </w:p>
    <w:p>
      <w:pPr>
        <w:ind w:left="120" w:right="500"/>
        <w:spacing w:after="0" w:line="253" w:lineRule="auto"/>
        <w:rPr>
          <w:sz w:val="20"/>
          <w:szCs w:val="20"/>
          <w:color w:val="auto"/>
        </w:rPr>
      </w:pPr>
      <w:r>
        <w:rPr>
          <w:rFonts w:ascii="Arial" w:cs="Arial" w:eastAsia="Arial" w:hAnsi="Arial"/>
          <w:sz w:val="18"/>
          <w:szCs w:val="18"/>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48"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out below. Accordingly, if you receive this prospectus supplement and the accompanying prospectus in Australia, you confirm and warrant that you are either:</w:t>
      </w:r>
    </w:p>
    <w:p>
      <w:pPr>
        <w:spacing w:after="0" w:line="86"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44" w:lineRule="exact"/>
        <w:rPr>
          <w:rFonts w:ascii="Arial" w:cs="Arial" w:eastAsia="Arial" w:hAnsi="Arial"/>
          <w:sz w:val="18"/>
          <w:szCs w:val="18"/>
          <w:color w:val="auto"/>
        </w:rPr>
      </w:pPr>
    </w:p>
    <w:p>
      <w:pPr>
        <w:ind w:left="340" w:right="60" w:hanging="224"/>
        <w:spacing w:after="0" w:line="25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“professional investor” under Section 708(11)(a) or (b) of the Corporations Act.</w:t>
      </w:r>
    </w:p>
    <w:p>
      <w:pPr>
        <w:spacing w:after="0" w:line="131"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w:t>
      </w:r>
    </w:p>
    <w:p>
      <w:pPr>
        <w:spacing w:after="0" w:line="10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Further, you warrant and agree that you will not offer any of the securities issued to you pursuant to this prospectus supplement and the accompanying prospectus for resale in Australia within 12 months of those securities being issued unless any such resale offer is exempt from the requirement to issue a disclosure document under Section 708 of the Corporations Act.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4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document does not constitute a prospectus under the Israeli Securities Law, 5728-1968 (the “Israeli Securities Law”), and has not been filed with or approved by the Israel Securities Authority. In Israel, this prospectus supplement and the accompanying prospectus is being distributed only to, and is directed only at, and any offer of the securities offered hereby is directed only at: (i) a limited number of persons in 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8" w:lineRule="exact"/>
        <w:rPr>
          <w:sz w:val="20"/>
          <w:szCs w:val="20"/>
          <w:color w:val="auto"/>
        </w:rPr>
      </w:pPr>
    </w:p>
    <w:p>
      <w:pPr>
        <w:ind w:left="120" w:right="40"/>
        <w:spacing w:after="0" w:line="259"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securities or the offering, may be publicly distributed or otherwise made publicly available in Switzerland.</w:t>
      </w:r>
    </w:p>
    <w:p>
      <w:pPr>
        <w:spacing w:after="0" w:line="8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Neither this prospectus supplement and the accompanying prospectus, nor any other offering or marketing material relating to the offering, the Company or the securities offered hereby, have been or will be filed with</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or approved by any Swiss regulatory authority. In particular, this prospectus supplement and the accompanying prospectus will not be filed with, and the offer of securities will not be supervised by, the Swiss Financial Market Supervisory Authority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the securities offered hereby.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48"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(including the Dubai International Financial Centre (“DIFC”)) other than in compliance with the laws of the United Arab Emirates (and the DIFC) governing the issue, offering and sale of securities. Further, this prospectus supplement and the accompanying prospectus do not constitute a public offer of securities in the United Arab Emirates (including the DIFC) and is not intended to be a public offer. This prospectus supplement and the accompanying prospectus have not been approved by or filed with the Central Bank of the United Arab Emirates, the Securities and Commodities Authority, Financial Services Regulatory Authority or the Dubai Financial Services Authority.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5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validity of the securities offered hereby will be passed upon by Goodwin Procter LLP, Boston, Massachusetts. Mintz, Levin, Cohn, Ferris, Glovsky, and Popeo, P.C., Boston, Massachusetts, is acting as counsel for the underwriters in connection with certain legal matters relating to this offering.</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68"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on Form 10-K for the year ended December 31,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68"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 www.sec.gov. Copies of certain information filed by us with the SEC are also available on our website at http://www.fulcrumtx.com. Our website is not a part of this prospectus supplement and information contained on, or that can be accessed through our website, is not incorporated by reference in this prospectus supplement and the accompanying base prospectus.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and the accompanying base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INCORPORATION OF CERTAIN DOCUMENTS BY REFERENCE</w:t>
      </w:r>
    </w:p>
    <w:p>
      <w:pPr>
        <w:spacing w:after="0" w:line="15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and the accompanying base prospectus.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001-38978) and any future filings we make with the SEC under Sections 13(a), 13(c), 14 or 15(d) of the Exchange Act until the offering of securities offered hereby is terminated or completed (in each case, other than those documents or the portions deemed to have been “furnished” and not filed with the SEC, including those made pursuant to Item 2.02, Item 7.01 or Item 9.01 of Form 8-K or other information):</w:t>
      </w:r>
    </w:p>
    <w:p>
      <w:pPr>
        <w:spacing w:after="0" w:line="118" w:lineRule="exact"/>
        <w:rPr>
          <w:sz w:val="20"/>
          <w:szCs w:val="20"/>
          <w:color w:val="auto"/>
        </w:rPr>
      </w:pPr>
    </w:p>
    <w:p>
      <w:pPr>
        <w:ind w:left="340" w:right="120" w:hanging="224"/>
        <w:spacing w:after="0" w:line="25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December 31, 2024, filed on February 25, 2025, including the information specifically incorporated by reference into our Annual Report on </w:t>
      </w:r>
      <w:hyperlink r:id="rId6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definitive proxy statement on </w:t>
      </w:r>
      <w:hyperlink r:id="rId61">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on April 30, 2025;</w:t>
      </w:r>
    </w:p>
    <w:p>
      <w:pPr>
        <w:spacing w:after="0" w:line="101"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25"/>
        </w:numPr>
        <w:rPr>
          <w:rFonts w:ascii="Arial" w:cs="Arial" w:eastAsia="Arial" w:hAnsi="Arial"/>
          <w:sz w:val="18"/>
          <w:szCs w:val="18"/>
          <w:color w:val="0000EE"/>
        </w:rPr>
      </w:pPr>
      <w:hyperlink r:id="rId62">
        <w:r>
          <w:rPr>
            <w:rFonts w:ascii="Arial" w:cs="Arial" w:eastAsia="Arial" w:hAnsi="Arial"/>
            <w:sz w:val="18"/>
            <w:szCs w:val="18"/>
            <w:color w:val="auto"/>
          </w:rPr>
          <w:t xml:space="preserve">Quarterly Reports on Form 10-Q for the quarters ended March 31, 2025, June 30, 2025 and September 30, 2025, filed on </w:t>
        </w:r>
        <w:r>
          <w:rPr>
            <w:rFonts w:ascii="Arial" w:cs="Arial" w:eastAsia="Arial" w:hAnsi="Arial"/>
            <w:sz w:val="18"/>
            <w:szCs w:val="18"/>
            <w:u w:val="single" w:color="auto"/>
            <w:color w:val="0000EE"/>
          </w:rPr>
          <w:t>May 1,</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2025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3">
        <w:r>
          <w:rPr>
            <w:rFonts w:ascii="Arial" w:cs="Arial" w:eastAsia="Arial" w:hAnsi="Arial"/>
            <w:sz w:val="18"/>
            <w:szCs w:val="18"/>
            <w:u w:val="single" w:color="auto"/>
            <w:color w:val="0000EE"/>
          </w:rPr>
          <w:t xml:space="preserve">July 29, 2025 </w:t>
        </w:r>
      </w:hyperlink>
      <w:hyperlink r:id="rId6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October 29, 2025</w:t>
        </w:r>
      </w:hyperlink>
      <w:hyperlink r:id="rId62">
        <w:r>
          <w:rPr>
            <w:rFonts w:ascii="Arial" w:cs="Arial" w:eastAsia="Arial" w:hAnsi="Arial"/>
            <w:sz w:val="18"/>
            <w:szCs w:val="18"/>
            <w:color w:val="000000"/>
          </w:rPr>
          <w:t>, respectively;</w:t>
        </w:r>
      </w:hyperlink>
    </w:p>
    <w:p>
      <w:pPr>
        <w:spacing w:after="0" w:line="86" w:lineRule="exact"/>
        <w:rPr>
          <w:rFonts w:ascii="Arial" w:cs="Arial" w:eastAsia="Arial" w:hAnsi="Arial"/>
          <w:sz w:val="18"/>
          <w:szCs w:val="18"/>
          <w:color w:val="0000EE"/>
        </w:rPr>
      </w:pPr>
    </w:p>
    <w:p>
      <w:pPr>
        <w:ind w:left="340" w:hanging="224"/>
        <w:spacing w:after="0" w:line="27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65">
        <w:r>
          <w:rPr>
            <w:rFonts w:ascii="Arial" w:cs="Arial" w:eastAsia="Arial" w:hAnsi="Arial"/>
            <w:sz w:val="18"/>
            <w:szCs w:val="18"/>
            <w:u w:val="single" w:color="auto"/>
            <w:color w:val="0000EE"/>
          </w:rPr>
          <w:t>March 4, 2025</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EE"/>
          </w:rPr>
          <w:t>June 27, 2025</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July 29, 2025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information furnished rather than filed), and </w:t>
      </w:r>
      <w:hyperlink r:id="rId68">
        <w:r>
          <w:rPr>
            <w:rFonts w:ascii="Arial" w:cs="Arial" w:eastAsia="Arial" w:hAnsi="Arial"/>
            <w:sz w:val="18"/>
            <w:szCs w:val="18"/>
            <w:u w:val="single" w:color="auto"/>
            <w:color w:val="0000EE"/>
          </w:rPr>
          <w:t>December 8, 2025</w:t>
        </w:r>
      </w:hyperlink>
      <w:r>
        <w:rPr>
          <w:rFonts w:ascii="Arial" w:cs="Arial" w:eastAsia="Arial" w:hAnsi="Arial"/>
          <w:sz w:val="18"/>
          <w:szCs w:val="18"/>
          <w:color w:val="auto"/>
        </w:rPr>
        <w:t>; and</w:t>
      </w:r>
    </w:p>
    <w:p>
      <w:pPr>
        <w:spacing w:after="0" w:line="86" w:lineRule="exact"/>
        <w:rPr>
          <w:rFonts w:ascii="Arial" w:cs="Arial" w:eastAsia="Arial" w:hAnsi="Arial"/>
          <w:sz w:val="18"/>
          <w:szCs w:val="18"/>
          <w:color w:val="auto"/>
        </w:rPr>
      </w:pPr>
    </w:p>
    <w:p>
      <w:pPr>
        <w:ind w:left="340" w:right="40" w:hanging="224"/>
        <w:spacing w:after="0" w:line="25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updated and superseded by the description of our capital stock contained in </w:t>
      </w:r>
      <w:hyperlink r:id="rId70">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 including any amendments and reports filed for the purpose of updating such description.</w:t>
      </w:r>
    </w:p>
    <w:p>
      <w:pPr>
        <w:spacing w:after="0" w:line="101"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144"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Fulcrum Therapeutics, Inc.</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26 Landsdowne Street</w:t>
      </w:r>
    </w:p>
    <w:p>
      <w:pPr>
        <w:jc w:val="center"/>
        <w:ind w:right="-179"/>
        <w:spacing w:after="0" w:line="234" w:lineRule="auto"/>
        <w:rPr>
          <w:sz w:val="20"/>
          <w:szCs w:val="20"/>
          <w:color w:val="auto"/>
        </w:rPr>
      </w:pPr>
      <w:r>
        <w:rPr>
          <w:rFonts w:ascii="Arial" w:cs="Arial" w:eastAsia="Arial" w:hAnsi="Arial"/>
          <w:sz w:val="18"/>
          <w:szCs w:val="18"/>
          <w:color w:val="auto"/>
        </w:rPr>
        <w:t>Cambridge, Massachusetts 02139</w:t>
      </w:r>
    </w:p>
    <w:p>
      <w:pPr>
        <w:jc w:val="center"/>
        <w:ind w:right="-179"/>
        <w:spacing w:after="0" w:line="235" w:lineRule="auto"/>
        <w:rPr>
          <w:sz w:val="20"/>
          <w:szCs w:val="20"/>
          <w:color w:val="auto"/>
        </w:rPr>
      </w:pPr>
      <w:r>
        <w:rPr>
          <w:rFonts w:ascii="Arial" w:cs="Arial" w:eastAsia="Arial" w:hAnsi="Arial"/>
          <w:sz w:val="18"/>
          <w:szCs w:val="18"/>
          <w:color w:val="auto"/>
        </w:rPr>
        <w:t>Attn: Investor Relations</w:t>
      </w:r>
    </w:p>
    <w:p>
      <w:pPr>
        <w:spacing w:after="0" w:line="1" w:lineRule="exact"/>
        <w:rPr>
          <w:rFonts w:ascii="Arial" w:cs="Arial" w:eastAsia="Arial" w:hAnsi="Arial"/>
          <w:sz w:val="18"/>
          <w:szCs w:val="18"/>
          <w:color w:val="auto"/>
        </w:rPr>
      </w:pPr>
    </w:p>
    <w:p>
      <w:pPr>
        <w:ind w:left="5440" w:right="4820" w:hanging="431"/>
        <w:spacing w:after="0" w:line="462" w:lineRule="auto"/>
        <w:tabs>
          <w:tab w:leader="none" w:pos="54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651-8851 S-37</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97155</wp:posOffset>
            </wp:positionV>
            <wp:extent cx="2897505" cy="702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28975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up to an aggregate value of $350,000,000.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in amounts, at prices and on terms determined at the time of offering and which will be set forth in a prospectus supplement to this prospectus and any related free writing prospectus. The securities may be sold directly to you, through agents, or through underwriters and dealers. If agents, underwriters or dealers are used to sell the securities, we will name them and describe their compensation in a prospectus supplement.</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 On February 26, 2024, the closing price for our common stock, as reported on The Nasdaq Global Market, was $9.73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40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25, 2024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7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3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40" w:type="dxa"/>
            <w:vAlign w:val="bottom"/>
            <w:gridSpan w:val="8"/>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2600" w:type="dxa"/>
            <w:vAlign w:val="bottom"/>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6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 AND INDUSTRY DATA</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ABOUT FULCRUM THERAPEUTICS, INC.</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760" w:type="dxa"/>
            <w:vAlign w:val="bottom"/>
            <w:tcBorders>
              <w:top w:val="single" w:sz="8" w:color="0000EE"/>
            </w:tcBorders>
            <w:gridSpan w:val="9"/>
          </w:tcPr>
          <w:p>
            <w:pPr>
              <w:spacing w:after="0"/>
              <w:rPr>
                <w:sz w:val="17"/>
                <w:szCs w:val="17"/>
                <w:color w:val="auto"/>
              </w:rPr>
            </w:pPr>
          </w:p>
        </w:tc>
        <w:tc>
          <w:tcPr>
            <w:tcW w:w="4320" w:type="dxa"/>
            <w:vAlign w:val="bottom"/>
            <w:gridSpan w:val="3"/>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640" w:type="dxa"/>
            <w:vAlign w:val="bottom"/>
            <w:gridSpan w:val="5"/>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340" w:type="dxa"/>
            <w:vAlign w:val="bottom"/>
            <w:gridSpan w:val="4"/>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640" w:type="dxa"/>
            <w:vAlign w:val="bottom"/>
            <w:gridSpan w:val="10"/>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180" w:type="dxa"/>
            <w:vAlign w:val="bottom"/>
            <w:gridSpan w:val="7"/>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5620" w:type="dxa"/>
            <w:vAlign w:val="bottom"/>
            <w:gridSpan w:val="9"/>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$350,000,000.</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and in our most recent Quarterly Report on Form 10-Q, as well as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8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February 27, 2024;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July 12, 2019, as the description therein has been updated and superseded by the description of our capital stock contained in </w:t>
      </w:r>
      <w:hyperlink r:id="rId7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2020, and including any 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651-8851</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facioscapulohumeral muscular dystrophy, or FSHD. Our other clinical-stage product candidate is pociredir, formerly known as FTX-6058, which is being developed for the potential treatment of sickle cell disease, or SCD. We initiated REACH, a randomized, double-blind, placebo-controlled, multi-national Phase 3 clinical trial of losmapimod in the second quarter of 2022 and we completed enrollment during September 2023. The trial enrolled 260 patients. We expect to report topline data from REACH in the fourth quarter of 2024.</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we do not plan to enroll additional subjects in these cohorts. Although we commenced enrollment in the 12 mg dose cohort, in February 2023 the U.S. Food and Drug Administration placed a full clinical hold on the Investigational New Drug application for pociredir for SCD, which was lifted in August 2023. The Phase 1b clinical trial is being re-initiated at the 12 mg once daily dose level, with that cohort expected to enroll approximately 10 patients, and will be followed by an additional cohort of approximately 10 patients at the 20 mg once daily dose level. Following the clinical hold, we amended the protocol to revise the inclusion and exclusion criteria for the Phase 1b clinical trial to target patients with higher disease severity.</w:t>
      </w:r>
    </w:p>
    <w:p>
      <w:pPr>
        <w:spacing w:after="0" w:line="18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 addition to product candidate development, we have developed a drug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120" w:right="120"/>
        <w:spacing w:after="0" w:line="278" w:lineRule="auto"/>
        <w:rPr>
          <w:sz w:val="20"/>
          <w:szCs w:val="20"/>
          <w:color w:val="auto"/>
        </w:rPr>
      </w:pPr>
      <w:r>
        <w:rPr>
          <w:rFonts w:ascii="Times New Roman" w:cs="Times New Roman" w:eastAsia="Times New Roman" w:hAnsi="Times New Roman"/>
          <w:sz w:val="17"/>
          <w:szCs w:val="17"/>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we will assert, to the fullest extent under applicable law, our rights to our trademarks, service marks and trade names.</w:t>
      </w: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and potential acquisition of, or investment in, companies, technologies, products or assets that complement our business.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27" w:lineRule="exact"/>
        <w:rPr>
          <w:rFonts w:ascii="Times New Roman" w:cs="Times New Roman" w:eastAsia="Times New Roman" w:hAnsi="Times New Roman"/>
          <w:sz w:val="18"/>
          <w:szCs w:val="18"/>
          <w:color w:val="auto"/>
        </w:rPr>
      </w:pPr>
    </w:p>
    <w:p>
      <w:pPr>
        <w:ind w:left="1080" w:right="260" w:hanging="424"/>
        <w:spacing w:after="0" w:line="253"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the series shall bear interest or the manner of calculation of such rate or rates, if any;</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converted or exchanged, in whole or in part;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debt securities of the series shall be issuable;</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 to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covenants to those set forth in the indenture;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88"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debt securities than those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insofar as it applies to such series).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67" w:lineRule="exact"/>
        <w:rPr>
          <w:sz w:val="20"/>
          <w:szCs w:val="20"/>
          <w:color w:val="auto"/>
        </w:rPr>
      </w:pPr>
    </w:p>
    <w:p>
      <w:pPr>
        <w:ind w:left="1080" w:hanging="424"/>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80"/>
        <w:spacing w:after="0" w:line="312" w:lineRule="auto"/>
        <w:rPr>
          <w:sz w:val="20"/>
          <w:szCs w:val="20"/>
          <w:color w:val="auto"/>
        </w:rPr>
      </w:pPr>
      <w:r>
        <w:rPr>
          <w:rFonts w:ascii="Times New Roman" w:cs="Times New Roman" w:eastAsia="Times New Roman" w:hAnsi="Times New Roman"/>
          <w:sz w:val="17"/>
          <w:szCs w:val="17"/>
          <w:color w:val="auto"/>
        </w:rPr>
        <w:t>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4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such series when due and payable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have been cured or waived.</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event of default under the applicable indenture. If the officer has knowledge of any event of default, the notice must specify the nature and status of the default.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and the applicable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applicable indenture or in the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above under “ —Merger,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88"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applicable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under the applicable indenture in any material respect;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applicable indenture by a successor trustee or to appoint a separate trustee with respect to any series; or</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or any successor in connection with the qualification of the indenture under the Trust Indenture Act of 1939, as amended, or the Trust Indenture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(except for certain specified obligations) to holders of any series of debt securities issued under any indenture when:</w:t>
      </w:r>
    </w:p>
    <w:p>
      <w:pPr>
        <w:spacing w:after="0" w:line="67" w:lineRule="exact"/>
        <w:rPr>
          <w:sz w:val="20"/>
          <w:szCs w:val="20"/>
          <w:color w:val="auto"/>
        </w:rPr>
      </w:pPr>
    </w:p>
    <w:p>
      <w:pPr>
        <w:ind w:left="1080" w:right="8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(except for certain specified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You should also refer to the restated certificate of incorporation, as amended, and the amended and restated bylaws, which are filed as exhibits to the registration statement of which this prospectus is part.</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83"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5540" w:right="2980" w:hanging="4884"/>
        <w:spacing w:after="0" w:line="454" w:lineRule="auto"/>
        <w:tabs>
          <w:tab w:leader="none" w:pos="10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 14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8"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our affairs, rank:</w:t>
      </w:r>
    </w:p>
    <w:p>
      <w:pPr>
        <w:spacing w:after="0" w:line="66" w:lineRule="exact"/>
        <w:rPr>
          <w:sz w:val="20"/>
          <w:szCs w:val="20"/>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3"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 declared by our board of directors, cash dividends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rates and on such dates described in the prospectus supplement.</w:t>
      </w:r>
    </w:p>
    <w:p>
      <w:pPr>
        <w:spacing w:after="0" w:line="16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0"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1"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 to mandatory redemption or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as a whole or in part, in each case upon the terms, at the times and at the redemption prices set forth in such prospectus supplement.</w:t>
      </w:r>
    </w:p>
    <w:p>
      <w:pPr>
        <w:spacing w:after="0" w:line="16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applicable shares of our capital stock pursuant to conversion provisions specified in the applicable prospectus supplement. Notwithstanding the foregoing, we will not redeem any preferred stock of a series unless:</w:t>
      </w:r>
    </w:p>
    <w:p>
      <w:pPr>
        <w:spacing w:after="0" w:line="67" w:lineRule="exact"/>
        <w:rPr>
          <w:sz w:val="20"/>
          <w:szCs w:val="20"/>
          <w:color w:val="auto"/>
        </w:rPr>
      </w:pPr>
    </w:p>
    <w:p>
      <w:pPr>
        <w:ind w:left="1080" w:right="1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31" w:lineRule="exact"/>
        <w:rPr>
          <w:sz w:val="20"/>
          <w:szCs w:val="20"/>
          <w:color w:val="auto"/>
        </w:rPr>
      </w:pPr>
    </w:p>
    <w:p>
      <w:pPr>
        <w:ind w:left="1080" w:right="6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202"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6"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58"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70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6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shares of our common stock will be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 in the applicable prospectus supplement.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the Exchange Act or any other claim for which the federal courts have exclusive jurisdiction.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139"/>
          </w:cols>
          <w:pgMar w:left="320" w:top="455"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55"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dealer may then resell such securities to the public at varying prices to be determined by such dealer at the time of resale.</w:t>
      </w:r>
    </w:p>
    <w:p>
      <w:pPr>
        <w:spacing w:after="0" w:line="20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80" w:right="1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80"/>
          </w:cols>
          <w:pgMar w:left="320" w:top="455" w:right="6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996950</wp:posOffset>
            </wp:positionV>
            <wp:extent cx="1337310" cy="342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13373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i w:val="1"/>
          <w:iCs w:val="1"/>
          <w:color w:val="auto"/>
        </w:rPr>
        <w:t>11,851,853 Shares of Common Stock</w:t>
      </w: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32"/>
          <w:szCs w:val="32"/>
          <w:b w:val="1"/>
          <w:bCs w:val="1"/>
          <w:i w:val="1"/>
          <w:iCs w:val="1"/>
          <w:color w:val="auto"/>
        </w:rPr>
        <w:t>Pre-Funded Warrants to Purchase 1,111,193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Book-Running Managers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380"/>
        <w:spacing w:after="0"/>
        <w:rPr>
          <w:sz w:val="20"/>
          <w:szCs w:val="20"/>
          <w:color w:val="auto"/>
        </w:rPr>
      </w:pPr>
      <w:r>
        <w:rPr>
          <w:rFonts w:ascii="Arial" w:cs="Arial" w:eastAsia="Arial" w:hAnsi="Arial"/>
          <w:sz w:val="29"/>
          <w:szCs w:val="29"/>
          <w:b w:val="1"/>
          <w:bCs w:val="1"/>
          <w:color w:val="auto"/>
        </w:rPr>
        <w:t>Leerink Partners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Oppenheimer &amp; Co.                  Truist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Cantor</w:t>
      </w:r>
    </w:p>
    <w:p>
      <w:pPr>
        <w:spacing w:after="0" w:line="1025" w:lineRule="exact"/>
        <w:rPr>
          <w:sz w:val="20"/>
          <w:szCs w:val="20"/>
          <w:color w:val="auto"/>
        </w:rPr>
      </w:pPr>
    </w:p>
    <w:p>
      <w:pPr>
        <w:sectPr>
          <w:pgSz w:w="11900" w:h="16838" w:orient="portrait"/>
          <w:cols w:equalWidth="0" w:num="3">
            <w:col w:w="1720" w:space="440"/>
            <w:col w:w="7320" w:space="720"/>
            <w:col w:w="94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8"/>
          <w:szCs w:val="28"/>
          <w:b w:val="1"/>
          <w:bCs w:val="1"/>
          <w:color w:val="auto"/>
        </w:rPr>
        <w:t>December 10, 2025</w:t>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
      <w:numFmt w:val="bullet"/>
      <w:start w:val="1"/>
    </w:lvl>
  </w:abstractNum>
  <w:abstractNum w:abstractNumId="5">
    <w:nsid w:val="3A95F874"/>
    <w:multiLevelType w:val="hybridMultilevel"/>
    <w:lvl w:ilvl="0">
      <w:lvlJc w:val="left"/>
      <w:lvlText w:val="•"/>
      <w:numFmt w:val="bullet"/>
      <w:start w:val="1"/>
    </w:lvl>
    <w:lvl w:ilvl="1">
      <w:lvlJc w:val="left"/>
      <w:lvlText w:val="•"/>
      <w:numFmt w:val="bullet"/>
      <w:start w:val="1"/>
    </w:lvl>
  </w:abstractNum>
  <w:abstractNum w:abstractNumId="6">
    <w:nsid w:val="8138641"/>
    <w:multiLevelType w:val="hybridMultilevel"/>
    <w:lvl w:ilvl="0">
      <w:lvlJc w:val="left"/>
      <w:lvlText w:val="(%1)"/>
      <w:numFmt w:val="decimal"/>
      <w:start w:val="617"/>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2"/>
    </w:lvl>
  </w:abstractNum>
  <w:abstractNum w:abstractNumId="15">
    <w:nsid w:val="419AC241"/>
    <w:multiLevelType w:val="hybridMultilevel"/>
    <w:lvl w:ilvl="0">
      <w:lvlJc w:val="left"/>
      <w:lvlText w:val="(%1)"/>
      <w:numFmt w:val="lowerRoman"/>
      <w:start w:val="2"/>
    </w:lvl>
  </w:abstractNum>
  <w:abstractNum w:abstractNumId="16">
    <w:nsid w:val="5577F8E1"/>
    <w:multiLevelType w:val="hybridMultilevel"/>
    <w:lvl w:ilvl="0">
      <w:lvlJc w:val="left"/>
      <w:lvlText w:val="(%1)"/>
      <w:numFmt w:val="lowerLetter"/>
      <w:start w:val="5"/>
    </w:lvl>
  </w:abstractNum>
  <w:abstractNum w:abstractNumId="17">
    <w:nsid w:val="440BADFC"/>
    <w:multiLevelType w:val="hybridMultilevel"/>
    <w:lvl w:ilvl="0">
      <w:lvlJc w:val="left"/>
      <w:lvlText w:val="(%1)"/>
      <w:numFmt w:val="decimal"/>
      <w:start w:val="3"/>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lowerRoman"/>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617"/>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617"/>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jpe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jpeg"/><Relationship Id="rId60" Type="http://schemas.openxmlformats.org/officeDocument/2006/relationships/hyperlink" Target="http://www.sec.gov/ix?doc=/Archives/edgar/data/0001680581/000095017025026068/fulc-20241231.htm" TargetMode="External"/><Relationship Id="rId61" Type="http://schemas.openxmlformats.org/officeDocument/2006/relationships/hyperlink" Target="http://www.sec.gov/ix?doc=/Archives/edgar/data/1680581/000095017025061000/fulc-20250425.htm" TargetMode="External"/><Relationship Id="rId62" Type="http://schemas.openxmlformats.org/officeDocument/2006/relationships/hyperlink" Target="http://www.sec.gov/ix?doc=/Archives/edgar/data/0001680581/000095017025061442/fulc-20250331.htm" TargetMode="External"/><Relationship Id="rId63" Type="http://schemas.openxmlformats.org/officeDocument/2006/relationships/hyperlink" Target="http://www.sec.gov/ix?doc=/Archives/edgar/data/0001680581/000095017025099407/fulc-20250630.htm" TargetMode="External"/><Relationship Id="rId64" Type="http://schemas.openxmlformats.org/officeDocument/2006/relationships/hyperlink" Target="http://www.sec.gov/ix?doc=/Archives/edgar/data/0001680581/000119312525254633/fulc-20250930.htm" TargetMode="External"/><Relationship Id="rId65" Type="http://schemas.openxmlformats.org/officeDocument/2006/relationships/hyperlink" Target="http://www.sec.gov/ix?doc=/Archives/edgar/data/0001680581/000095017025032355/fulc-20250226.htm" TargetMode="External"/><Relationship Id="rId66" Type="http://schemas.openxmlformats.org/officeDocument/2006/relationships/hyperlink" Target="http://www.sec.gov/ix?doc=/Archives/edgar/data/0001680581/000119312525151276/d916678d8k.htm" TargetMode="External"/><Relationship Id="rId67" Type="http://schemas.openxmlformats.org/officeDocument/2006/relationships/hyperlink" Target="http://www.sec.gov/ix?doc=/Archives/edgar/data/0001680581/000095017025099404/fulc-20250729.htm" TargetMode="External"/><Relationship Id="rId68" Type="http://schemas.openxmlformats.org/officeDocument/2006/relationships/hyperlink" Target="http://www.sec.gov/ix?doc=/Archives/edgar/data/0001680581/000119312525310509/fulc-20251208.htm" TargetMode="External"/><Relationship Id="rId69" Type="http://schemas.openxmlformats.org/officeDocument/2006/relationships/hyperlink" Target="http://www.sec.gov/Archives/edgar/data/1680581/000110465919040208/a19-3408_78a12b.htm" TargetMode="External"/><Relationship Id="rId70" Type="http://schemas.openxmlformats.org/officeDocument/2006/relationships/hyperlink" Target="http://www.sec.gov/Archives/edgar/data/1680581/000156459020008951/fulc-ex42_198.htm" TargetMode="External"/><Relationship Id="rId80" Type="http://schemas.openxmlformats.org/officeDocument/2006/relationships/hyperlink" Target="http://www.sec.gov/ix?doc=/Archives/edgar/data/1680581/000095017024021074/fulc-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2025-12-11T05:29:31Z</dcterms:created>
  <dcterms:modified xsi:type="dcterms:W3CDTF">2025-12-11T05:29:31Z</dcterms:modified>
</cp:coreProperties>
</file>