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Fulcrum Therapeutics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359616109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359616109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58,752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3,197,415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77,177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3,274,592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(11)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class represented by amount in Row (9)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5.24%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(12)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</w:t>
            </w:r>
          </w:p>
        </w:tc>
        <w:tc>
          <w:tcPr>
            <w:tcW w:w="4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 (see instructions)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 Name of issuer: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Fulcrum Therapeutics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 Address of issuer's principal executive offices: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 Landsdowne Street Cambridge, MA 02139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359616109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3,274,592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5.24%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3,274,592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5.24%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58,752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3,197,415 (iv) Shared power to dispose or to direct the disposition of: 77,177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2024-11-04T10:51:24Z</dcterms:created>
  <dcterms:modified xsi:type="dcterms:W3CDTF">2024-11-04T10:51:24Z</dcterms:modified>
</cp:coreProperties>
</file>