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160" w:type="dxa"/>
        <w:tblCellMar>
          <w:top w:w="0" w:type="dxa"/>
          <w:left w:w="0" w:type="dxa"/>
          <w:bottom w:w="0" w:type="dxa"/>
          <w:right w:w="0" w:type="dxa"/>
        </w:tblCellMar>
      </w:tblPr>
      <w:tr>
        <w:trPr>
          <w:trHeight w:val="186"/>
        </w:trPr>
        <w:tc>
          <w:tcPr>
            <w:tcW w:w="3340" w:type="dxa"/>
            <w:vAlign w:val="bottom"/>
          </w:tcPr>
          <w:p>
            <w:pPr>
              <w:jc w:val="center"/>
              <w:ind w:right="9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641"/>
              <w:spacing w:after="0" w:line="186" w:lineRule="exact"/>
              <w:rPr>
                <w:sz w:val="20"/>
                <w:szCs w:val="20"/>
                <w:color w:val="auto"/>
              </w:rPr>
            </w:pPr>
            <w:r>
              <w:rPr>
                <w:rFonts w:ascii="Times New Roman" w:cs="Times New Roman" w:eastAsia="Times New Roman" w:hAnsi="Times New Roman"/>
                <w:sz w:val="18"/>
                <w:szCs w:val="18"/>
                <w:b w:val="1"/>
                <w:bCs w:val="1"/>
                <w:color w:val="auto"/>
              </w:rPr>
              <w:t>001-38978</w:t>
            </w:r>
          </w:p>
        </w:tc>
        <w:tc>
          <w:tcPr>
            <w:tcW w:w="2720" w:type="dxa"/>
            <w:vAlign w:val="bottom"/>
          </w:tcPr>
          <w:p>
            <w:pPr>
              <w:jc w:val="right"/>
              <w:ind w:right="4"/>
              <w:spacing w:after="0" w:line="186" w:lineRule="exact"/>
              <w:rPr>
                <w:sz w:val="20"/>
                <w:szCs w:val="20"/>
                <w:color w:val="auto"/>
              </w:rPr>
            </w:pPr>
            <w:r>
              <w:rPr>
                <w:rFonts w:ascii="Times New Roman" w:cs="Times New Roman" w:eastAsia="Times New Roman" w:hAnsi="Times New Roman"/>
                <w:sz w:val="18"/>
                <w:szCs w:val="18"/>
                <w:b w:val="1"/>
                <w:bCs w:val="1"/>
                <w:color w:val="auto"/>
              </w:rPr>
              <w:t>47-4839948</w:t>
            </w:r>
          </w:p>
        </w:tc>
      </w:tr>
      <w:tr>
        <w:trPr>
          <w:trHeight w:val="148"/>
        </w:trPr>
        <w:tc>
          <w:tcPr>
            <w:tcW w:w="3340" w:type="dxa"/>
            <w:vAlign w:val="bottom"/>
          </w:tcPr>
          <w:p>
            <w:pPr>
              <w:jc w:val="center"/>
              <w:ind w:right="9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20" w:type="dxa"/>
            <w:vAlign w:val="bottom"/>
          </w:tcPr>
          <w:p>
            <w:pPr>
              <w:jc w:val="center"/>
              <w:ind w:left="16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40" w:type="dxa"/>
            <w:vAlign w:val="bottom"/>
          </w:tcPr>
          <w:p>
            <w:pPr>
              <w:jc w:val="center"/>
              <w:ind w:right="9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340" w:type="dxa"/>
            <w:vAlign w:val="bottom"/>
          </w:tcPr>
          <w:p>
            <w:pPr>
              <w:jc w:val="center"/>
              <w:ind w:right="961"/>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8"/>
        </w:trPr>
        <w:tc>
          <w:tcPr>
            <w:tcW w:w="3340" w:type="dxa"/>
            <w:vAlign w:val="bottom"/>
          </w:tcPr>
          <w:p>
            <w:pPr>
              <w:jc w:val="center"/>
              <w:ind w:right="94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240" w:type="dxa"/>
            <w:vAlign w:val="bottom"/>
          </w:tcPr>
          <w:p>
            <w:pPr>
              <w:spacing w:after="0"/>
              <w:rPr>
                <w:sz w:val="18"/>
                <w:szCs w:val="18"/>
                <w:color w:val="auto"/>
              </w:rPr>
            </w:pPr>
          </w:p>
        </w:tc>
        <w:tc>
          <w:tcPr>
            <w:tcW w:w="27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3340" w:type="dxa"/>
            <w:vAlign w:val="bottom"/>
          </w:tcPr>
          <w:p>
            <w:pPr>
              <w:jc w:val="center"/>
              <w:ind w:right="9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2"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May 9, 2022, Fulcrum Therapeutics, Inc. (the “Company”) announced its financial results for the quarter ended March 31, 2022. The full text of the press release issued in connection with the announcement is being furnished as Exhibit 99.1 to this Current Report on Form 8-K and is incorporated herein by reference.</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1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the Company on 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2475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Bryan Stuart</w:t>
      </w:r>
    </w:p>
    <w:p>
      <w:pPr>
        <w:ind w:left="6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66306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Fulcrum Therapeutics Reports Recent Business Highlights and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First Quarter 2022 Financial Results</w:t>
      </w: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Initial data from Phase 1b trial of FTX-6058 in sickle cell disease to be presented at the EHA 2022 Congress</w:t>
      </w:r>
      <w:r>
        <w:rPr>
          <w:rFonts w:ascii="Times New Roman" w:cs="Times New Roman" w:eastAsia="Times New Roman" w:hAnsi="Times New Roman"/>
          <w:sz w:val="18"/>
          <w:szCs w:val="18"/>
          <w:b w:val="1"/>
          <w:bCs w:val="1"/>
          <w:i w:val="1"/>
          <w:iCs w:val="1"/>
          <w:color w:val="auto"/>
        </w:rPr>
        <w:t xml:space="preserve"> –</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Phase 3 REACH trial of losmapimod in FSHD expected to begin in 2Q 2022</w:t>
      </w:r>
      <w:r>
        <w:rPr>
          <w:rFonts w:ascii="Times New Roman" w:cs="Times New Roman" w:eastAsia="Times New Roman" w:hAnsi="Times New Roman"/>
          <w:sz w:val="18"/>
          <w:szCs w:val="18"/>
          <w:b w:val="1"/>
          <w:bCs w:val="1"/>
          <w:color w:val="auto"/>
        </w:rPr>
        <w:t xml:space="preserve"> –</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Conference call scheduled for 8:00 a.m. ET today</w:t>
      </w:r>
      <w:r>
        <w:rPr>
          <w:rFonts w:ascii="Times New Roman" w:cs="Times New Roman" w:eastAsia="Times New Roman" w:hAnsi="Times New Roman"/>
          <w:sz w:val="18"/>
          <w:szCs w:val="18"/>
          <w:b w:val="1"/>
          <w:bCs w:val="1"/>
          <w:color w:val="auto"/>
        </w:rPr>
        <w:t xml:space="preserve"> –</w:t>
      </w:r>
    </w:p>
    <w:p>
      <w:pPr>
        <w:spacing w:after="0" w:line="26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CAMBRIDGE, Mass. – May 9, 2022 </w:t>
      </w:r>
      <w:r>
        <w:rPr>
          <w:rFonts w:ascii="Times New Roman" w:cs="Times New Roman" w:eastAsia="Times New Roman" w:hAnsi="Times New Roman"/>
          <w:sz w:val="18"/>
          <w:szCs w:val="18"/>
          <w:color w:val="auto"/>
        </w:rPr>
        <w:t>– Fulcrum Therapeutics, Inc.</w:t>
      </w:r>
      <w:r>
        <w:rPr>
          <w:rFonts w:ascii="Calibri" w:cs="Calibri" w:eastAsia="Calibri" w:hAnsi="Calibri"/>
          <w:sz w:val="19"/>
          <w:szCs w:val="19"/>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FULC), a clinical-stage biopharmaceutical company focused on improving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lives of patients with genetically defined rare diseases, today provided a business update and reported financial results for the first quarter of 2022.</w:t>
      </w:r>
    </w:p>
    <w:p>
      <w:pPr>
        <w:spacing w:after="0" w:line="140"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17"/>
          <w:szCs w:val="17"/>
          <w:color w:val="auto"/>
        </w:rPr>
        <w:t>“Our clinical programs continued to make significant progress in the first quarter,” said Bryan Stuart, president and chief executive officer. “Looking ahead, we are sharing initial data from the ongoing 6 mg dose cohort in the Phase 1b trial of FTX-6058 in people with sickle cell disease at the EHA</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Congress, and we plan to open the next dose cohort in the trial in the second quarter. Additionally, we plan to begin dosing patients in REACH, our Phase 3 trial of losmapimod in FSHD, in the second quarter. We are in a strong financial position to continue to execute on these programs, both of which have the</w:t>
      </w:r>
    </w:p>
    <w:p>
      <w:pPr>
        <w:spacing w:after="0"/>
        <w:rPr>
          <w:sz w:val="20"/>
          <w:szCs w:val="20"/>
          <w:color w:val="auto"/>
        </w:rPr>
      </w:pPr>
      <w:r>
        <w:rPr>
          <w:rFonts w:ascii="Times New Roman" w:cs="Times New Roman" w:eastAsia="Times New Roman" w:hAnsi="Times New Roman"/>
          <w:sz w:val="18"/>
          <w:szCs w:val="18"/>
          <w:color w:val="auto"/>
        </w:rPr>
        <w:t>potential to be life-changing, while continuing to leverage our FulcrumSeek</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product engine to expand our pipeline and fuel our long-term growth.”</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Milestones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FTX-6058</w:t>
      </w:r>
    </w:p>
    <w:p>
      <w:pPr>
        <w:spacing w:after="0" w:line="94" w:lineRule="exact"/>
        <w:rPr>
          <w:sz w:val="20"/>
          <w:szCs w:val="20"/>
          <w:color w:val="auto"/>
        </w:rPr>
      </w:pPr>
    </w:p>
    <w:p>
      <w:pPr>
        <w:ind w:left="1140" w:right="80" w:hanging="383"/>
        <w:spacing w:after="0" w:line="31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initial data, including measures of HbF protein induction and safety, from the ongoing 6 mg dose cohort in the Phase 1b trial in people with sickle cell disease at the European Hematology Association (EHA) 2022 Hybrid Congress, taking place from June 9-12, 2022.</w:t>
      </w:r>
    </w:p>
    <w:p>
      <w:pPr>
        <w:spacing w:after="0" w:line="18"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next dose cohort in Phase 1b trial in people with sickle cell disease in the second quarter of 2022.</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registrational trial in sickle cell disease in early 2023.</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Phase 1b trial in select other hemoglobinopathies, including beta-thalassemia, now expected in the second half of 2022.</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Losmapimod</w:t>
      </w:r>
    </w:p>
    <w:p>
      <w:pPr>
        <w:spacing w:after="0" w:line="94" w:lineRule="exact"/>
        <w:rPr>
          <w:sz w:val="20"/>
          <w:szCs w:val="20"/>
          <w:color w:val="auto"/>
        </w:rPr>
      </w:pPr>
    </w:p>
    <w:p>
      <w:pPr>
        <w:ind w:left="1140" w:right="120" w:hanging="383"/>
        <w:spacing w:after="0" w:line="225"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REACH, a Phase 3 randomized, double-blind, placebo-controlled multi-national trial that will evaluate the efficacy and safety of losmapimod for Facioscapulohumeral Muscular Dystrophy (FSHD), in the second quarter of 2022. The trial is expected to enroll approximately 230 adults with FSHD. Patients will be randomized 1:1 to receive either losmapimod, administered orally as a 15 mg tablet twice a day, or placebo, and evaluated over a 48-week treatment period. The primary endpoint of the trial is the absolute change from baseline in Reachable Workspace (RWS). Secondary endpoints include muscle fat infiltration (MFI) measured by MRI, Patient Global Impression of Change (PGIC), and Quality of Life in Neurological Disorders of the upper extremity (Neuro QoL UE).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Preclinical Pipeline</w:t>
      </w:r>
    </w:p>
    <w:p>
      <w:pPr>
        <w:spacing w:after="0" w:line="108" w:lineRule="exact"/>
        <w:rPr>
          <w:sz w:val="20"/>
          <w:szCs w:val="20"/>
          <w:color w:val="auto"/>
        </w:rPr>
      </w:pPr>
    </w:p>
    <w:p>
      <w:pPr>
        <w:ind w:left="1140" w:right="22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next development candidate by end of 2022 to support submission of Fulcrum's fourth Investigational New Drug (IND) by the end of the first quarter of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design of Phase 3 REACH trial, including alignment with US and EU regulatory agencies on key aspects of the trial design.</w:t>
      </w:r>
    </w:p>
    <w:p>
      <w:pPr>
        <w:spacing w:after="0" w:line="103"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 a key opinion leader (KOL) event to discuss the unmet need in FSHD, key measures of disease progression and design of Phase 3 REACH trial.</w:t>
      </w:r>
    </w:p>
    <w:p>
      <w:pPr>
        <w:spacing w:after="0" w:line="4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FSHD Society, hosted a webinar on REACH for the patient community.</w:t>
      </w:r>
    </w:p>
    <w:p>
      <w:pPr>
        <w:spacing w:after="0" w:line="103"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supportive clinical data from the ReDUX4 Phase 2b trial and an open-label Phase 2 study of losmapimod at the 2022 Muscular Dystrophy Association (MDA) Clinical and Scientific Conference and American Academy of Neurology’s Annual Meeting.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2022 Financial Results</w:t>
      </w:r>
    </w:p>
    <w:p>
      <w:pPr>
        <w:spacing w:after="0" w:line="104" w:lineRule="exact"/>
        <w:rPr>
          <w:sz w:val="20"/>
          <w:szCs w:val="20"/>
          <w:color w:val="auto"/>
        </w:rPr>
      </w:pPr>
    </w:p>
    <w:p>
      <w:pPr>
        <w:jc w:val="both"/>
        <w:ind w:left="102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2022, cash, cash equivalents, and marketable securities were $195.1 million, as compared to $218.2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December 31, 2021. Based on current plans, the company expects that its existing cash, cash equivalents, and marketable securities will be sufficient to enable it to fund its operating expenses and capital expenditure requirements into 2024.</w:t>
      </w:r>
    </w:p>
    <w:p>
      <w:pPr>
        <w:spacing w:after="0" w:line="77" w:lineRule="exact"/>
        <w:rPr>
          <w:rFonts w:ascii="Times New Roman" w:cs="Times New Roman" w:eastAsia="Times New Roman" w:hAnsi="Times New Roman"/>
          <w:sz w:val="18"/>
          <w:szCs w:val="18"/>
          <w:color w:val="auto"/>
        </w:rPr>
      </w:pPr>
    </w:p>
    <w:p>
      <w:pPr>
        <w:ind w:left="1020" w:right="460" w:hanging="503"/>
        <w:spacing w:after="0" w:line="27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$2.6 million for the first quarter of 2022, as compared to $4.8 million for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2021.</w:t>
      </w:r>
    </w:p>
    <w:p>
      <w:pPr>
        <w:spacing w:after="0" w:line="45" w:lineRule="exact"/>
        <w:rPr>
          <w:rFonts w:ascii="Times New Roman" w:cs="Times New Roman" w:eastAsia="Times New Roman" w:hAnsi="Times New Roman"/>
          <w:sz w:val="18"/>
          <w:szCs w:val="18"/>
          <w:color w:val="auto"/>
        </w:rPr>
      </w:pPr>
    </w:p>
    <w:p>
      <w:pPr>
        <w:jc w:val="both"/>
        <w:ind w:left="1020" w:right="120" w:hanging="503"/>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$17.8 million for the first quarter of 2022, as compared to $16.3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2021. The increase of $1.5 million was primarily due to increased employee-related costs to support the growth of our R&amp;D organization.</w:t>
      </w:r>
    </w:p>
    <w:p>
      <w:pPr>
        <w:spacing w:after="0" w:line="56" w:lineRule="exact"/>
        <w:rPr>
          <w:rFonts w:ascii="Times New Roman" w:cs="Times New Roman" w:eastAsia="Times New Roman" w:hAnsi="Times New Roman"/>
          <w:sz w:val="18"/>
          <w:szCs w:val="18"/>
          <w:color w:val="auto"/>
        </w:rPr>
      </w:pPr>
    </w:p>
    <w:p>
      <w:pPr>
        <w:ind w:left="1020" w:right="200" w:hanging="503"/>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were $10.8 million for the first quarter of 2022, as compared to $5.5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2021. The increase of $5.3 million was primarily due to increased employee-related costs to support the growth of the organization and increased professional services due to increased use of consulting services and preparatory commercial activities.</w:t>
      </w:r>
    </w:p>
    <w:p>
      <w:pPr>
        <w:spacing w:after="0" w:line="5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$25.9 million for the first quarter of 2022, as compared to a net loss of $17.0 million for the first quarter of 2021.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94"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Fulcrum Therapeutics, Inc. will host a conference call and webcast today at 8:00 a.m. ET to discuss the Company’s first quarter 2022 recent business highlights and financial results. The webcast will be accessible through the Investor Relations section of Fulcrum’s website at www.fulcrumtx.com. Following the live webcast, an archived replay will also be available for 90 days.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Dial-in Number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U.S./Canada Dial-in Number: 800-527-6973</w:t>
      </w:r>
    </w:p>
    <w:p>
      <w:pPr>
        <w:spacing w:after="0" w:line="234" w:lineRule="auto"/>
        <w:rPr>
          <w:sz w:val="20"/>
          <w:szCs w:val="20"/>
          <w:color w:val="auto"/>
        </w:rPr>
      </w:pPr>
      <w:r>
        <w:rPr>
          <w:rFonts w:ascii="Times New Roman" w:cs="Times New Roman" w:eastAsia="Times New Roman" w:hAnsi="Times New Roman"/>
          <w:sz w:val="18"/>
          <w:szCs w:val="18"/>
          <w:color w:val="auto"/>
        </w:rPr>
        <w:t>International Dial-in Number: 470-495-9162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1129907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Dial-in Number: 855-859-2056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International Dial-in Number: 404-537-3406</w:t>
      </w:r>
    </w:p>
    <w:p>
      <w:pPr>
        <w:spacing w:after="0"/>
        <w:rPr>
          <w:sz w:val="20"/>
          <w:szCs w:val="20"/>
          <w:color w:val="auto"/>
        </w:rPr>
      </w:pPr>
      <w:r>
        <w:rPr>
          <w:rFonts w:ascii="Times New Roman" w:cs="Times New Roman" w:eastAsia="Times New Roman" w:hAnsi="Times New Roman"/>
          <w:sz w:val="18"/>
          <w:szCs w:val="18"/>
          <w:color w:val="auto"/>
        </w:rPr>
        <w:t>Conference ID: 1129907</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2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and other hemoglobinopathies, including beta-thalassemia. Fulcrum's proprietary product engine, FulcrumSeek™, identifies drug targets that can modulate gene expression to treat the known root cause of gene mis-expression. For more information, visit www.fulcrumtx.com and follow us on Twitter @FulcrumTx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statements regarding the planned REACH trial including its expected start date and enrollment target, presentation of data from first dose cohort in Phase 1b trial of FTX-6058 and the second dose cohort, the clinical development plan for FTX-6058 as well as timing for expansion into other hemoglobinopathies and initiation of registrational trial for sickle cell disease, nomination of additional development candidates and timing of fourth IND, the sufficiency of Fulcrum’s cash resources, losmapimod’s potential as a therapy for FSHD and the ability of the selected endpoints of the REACH trial to support regulatory approval.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of losmapimod, FTX-6058 and its other product candidates;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500" w:type="dxa"/>
            <w:vAlign w:val="bottom"/>
            <w:tcBorders>
              <w:top w:val="single" w:sz="8" w:color="auto"/>
            </w:tcBorders>
          </w:tcPr>
          <w:p>
            <w:pPr>
              <w:spacing w:after="0"/>
              <w:rPr>
                <w:sz w:val="13"/>
                <w:szCs w:val="13"/>
                <w:color w:val="auto"/>
              </w:rPr>
            </w:pPr>
          </w:p>
        </w:tc>
        <w:tc>
          <w:tcPr>
            <w:tcW w:w="6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396"/>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16"/>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80" w:type="dxa"/>
            <w:vAlign w:val="bottom"/>
            <w:gridSpan w:val="2"/>
            <w:vMerge w:val="continue"/>
          </w:tcPr>
          <w:p>
            <w:pPr>
              <w:spacing w:after="0"/>
              <w:rPr>
                <w:sz w:val="13"/>
                <w:szCs w:val="13"/>
                <w:color w:val="auto"/>
              </w:rPr>
            </w:pPr>
          </w:p>
        </w:tc>
        <w:tc>
          <w:tcPr>
            <w:tcW w:w="30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195,112</w:t>
            </w:r>
          </w:p>
        </w:tc>
        <w:tc>
          <w:tcPr>
            <w:tcW w:w="260" w:type="dxa"/>
            <w:vAlign w:val="bottom"/>
          </w:tcPr>
          <w:p>
            <w:pPr>
              <w:spacing w:after="0"/>
              <w:rPr>
                <w:sz w:val="13"/>
                <w:szCs w:val="13"/>
                <w:color w:val="auto"/>
              </w:rPr>
            </w:pPr>
          </w:p>
        </w:tc>
        <w:tc>
          <w:tcPr>
            <w:tcW w:w="240" w:type="dxa"/>
            <w:vAlign w:val="bottom"/>
          </w:tcPr>
          <w:p>
            <w:pPr>
              <w:jc w:val="right"/>
              <w:ind w:right="5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218,162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768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181,776</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220,248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We define working capital as current assets minus current liabilities.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150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45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0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02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80" w:type="dxa"/>
            <w:vAlign w:val="bottom"/>
          </w:tcPr>
          <w:p>
            <w:pPr>
              <w:spacing w:after="0"/>
              <w:rPr>
                <w:sz w:val="18"/>
                <w:szCs w:val="18"/>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(25,998 )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(17,043 )</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(25,928 )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(16,999 )</w:t>
            </w: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020" w:type="dxa"/>
            <w:vAlign w:val="bottom"/>
            <w:tcBorders>
              <w:bottom w:val="single" w:sz="8" w:color="auto"/>
            </w:tcBorders>
            <w:shd w:val="clear" w:color="auto" w:fill="CFF0FC"/>
          </w:tcPr>
          <w:p>
            <w:pPr>
              <w:jc w:val="right"/>
              <w:ind w:right="8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40,644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31,510</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-779145</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-779145</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-496570</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-496570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-187960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Ascher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 Inc.</w:t>
      </w:r>
    </w:p>
    <w:p>
      <w:pPr>
        <w:spacing w:after="0" w:line="234" w:lineRule="auto"/>
        <w:rPr>
          <w:sz w:val="20"/>
          <w:szCs w:val="20"/>
          <w:color w:val="auto"/>
        </w:rPr>
      </w:pPr>
      <w:r>
        <w:rPr>
          <w:rFonts w:ascii="Times New Roman" w:cs="Times New Roman" w:eastAsia="Times New Roman" w:hAnsi="Times New Roman"/>
          <w:sz w:val="18"/>
          <w:szCs w:val="18"/>
          <w:color w:val="auto"/>
        </w:rPr>
        <w:t>stephanie.ascher@sternir.com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212-362-1200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 Smith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rPr>
          <w:sz w:val="20"/>
          <w:szCs w:val="20"/>
          <w:color w:val="auto"/>
        </w:rPr>
      </w:pPr>
      <w:r>
        <w:rPr>
          <w:rFonts w:ascii="Times New Roman" w:cs="Times New Roman" w:eastAsia="Times New Roman" w:hAnsi="Times New Roman"/>
          <w:sz w:val="18"/>
          <w:szCs w:val="18"/>
          <w:color w:val="auto"/>
        </w:rPr>
        <w:t>Fulcrum Therapeutics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dsmith@fulcrumtx.com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2022-05-09T06:09:23Z</dcterms:created>
  <dcterms:modified xsi:type="dcterms:W3CDTF">2022-05-09T06:09:23Z</dcterms:modified>
</cp:coreProperties>
</file>