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ulc_defa14a_2026.htm"/>
      <w:bookmarkStart w:id="1" w:name="ksfulc_defa14a_2026"/>
      <w:bookmarkEnd w:id="0"/>
      <w:bookmarkEnd w:id="1"/>
      <w:r>
        <w:rPr/>
        <w:t> </w:t>
      </w:r>
    </w:p>
    <w:p>
      <w:pPr>
        <w:pStyle w:val="TextBody"/>
        <w:pBdr>
          <w:top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5" w:after="283"/>
        <w:jc w:val="center"/>
        <w:rPr>
          <w:rFonts w:ascii="Times New Roman" w:hAnsi="Times New Roman"/>
          <w:b/>
          <w:color w:val="000000"/>
          <w:sz w:val="21"/>
        </w:rPr>
      </w:pPr>
      <w:r>
        <w:rPr>
          <w:rFonts w:ascii="Times New Roman" w:hAnsi="Times New Roman"/>
          <w:b/>
          <w:color w:val="000000"/>
          <w:sz w:val="21"/>
        </w:rPr>
        <w:t>Washington, D.C. 20549</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SCHEDULE 14A INFORMATION</w:t>
      </w:r>
    </w:p>
    <w:p>
      <w:pPr>
        <w:pStyle w:val="TextBody"/>
        <w:bidi w:val="0"/>
        <w:spacing w:before="221" w:after="283"/>
        <w:jc w:val="center"/>
        <w:rPr>
          <w:rFonts w:ascii="Times New Roman" w:hAnsi="Times New Roman"/>
          <w:b/>
          <w:color w:val="000000"/>
          <w:sz w:val="21"/>
        </w:rPr>
      </w:pPr>
      <w:r>
        <w:rPr>
          <w:rFonts w:ascii="Times New Roman" w:hAnsi="Times New Roman"/>
          <w:b/>
          <w:color w:val="000000"/>
          <w:sz w:val="21"/>
        </w:rPr>
        <w:t>Proxy Statement Pursuant to Section 14(a) of the Securities Exchange Act of 1934</w:t>
      </w:r>
    </w:p>
    <w:p>
      <w:pPr>
        <w:pStyle w:val="TextBody"/>
        <w:bidi w:val="0"/>
        <w:spacing w:before="3" w:after="283"/>
        <w:jc w:val="center"/>
        <w:rPr>
          <w:rFonts w:ascii="Times New Roman" w:hAnsi="Times New Roman"/>
          <w:b/>
          <w:color w:val="000000"/>
          <w:sz w:val="21"/>
        </w:rPr>
      </w:pPr>
      <w:r>
        <w:rPr>
          <w:rFonts w:ascii="Times New Roman" w:hAnsi="Times New Roman"/>
          <w:b/>
          <w:color w:val="000000"/>
          <w:sz w:val="21"/>
        </w:rPr>
        <w:t>(Amendment No. )</w:t>
      </w:r>
    </w:p>
    <w:p>
      <w:pPr>
        <w:pStyle w:val="TextBody"/>
        <w:pBdr>
          <w:bottom w:val="single" w:sz="6" w:space="1" w:color="000000"/>
        </w:pBdr>
        <w:bidi w:val="0"/>
        <w:jc w:val="center"/>
        <w:rPr/>
      </w:pPr>
      <w:r>
        <w:rPr/>
        <w:t> </w:t>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1454"/>
        <w:gridCol w:w="811"/>
        <w:gridCol w:w="5489"/>
      </w:tblGrid>
      <w:tr>
        <w:trPr/>
        <w:tc>
          <w:tcPr>
            <w:tcW w:w="14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489" w:type="dxa"/>
            <w:tcBorders/>
            <w:vAlign w:val="center"/>
          </w:tcPr>
          <w:p>
            <w:pPr>
              <w:pStyle w:val="TableContents"/>
              <w:bidi w:val="0"/>
              <w:spacing w:before="0" w:after="283"/>
              <w:jc w:val="left"/>
              <w:rPr>
                <w:sz w:val="4"/>
                <w:szCs w:val="4"/>
              </w:rPr>
            </w:pPr>
            <w:r>
              <w:rPr>
                <w:sz w:val="4"/>
                <w:szCs w:val="4"/>
              </w:rPr>
            </w:r>
          </w:p>
        </w:tc>
      </w:tr>
      <w:tr>
        <w:trPr/>
        <w:tc>
          <w:tcPr>
            <w:tcW w:w="22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by the Registrant ☒</w:t>
            </w:r>
          </w:p>
        </w:tc>
        <w:tc>
          <w:tcPr>
            <w:tcW w:w="5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by a Party other than the Registrant ☐</w:t>
            </w:r>
          </w:p>
        </w:tc>
      </w:tr>
      <w:tr>
        <w:trPr/>
        <w:tc>
          <w:tcPr>
            <w:tcW w:w="22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Check the appropriate box:</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Preliminary Proxy Statement</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Confidential, for Use of the Commission Only (as permitted by Rule 14a-6(e)(2))</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Proxy Statement</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Additional Materials</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§240. 14a-12</w:t>
            </w:r>
          </w:p>
        </w:tc>
      </w:tr>
    </w:tbl>
    <w:p>
      <w:pPr>
        <w:pStyle w:val="TextBody"/>
        <w:bidi w:val="0"/>
        <w:jc w:val="left"/>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FULCRUM THERAPEUTICS, INC.</w:t>
      </w:r>
    </w:p>
    <w:p>
      <w:pPr>
        <w:pStyle w:val="Heading2"/>
        <w:bidi w:val="0"/>
        <w:spacing w:before="4" w:after="283"/>
        <w:jc w:val="center"/>
        <w:rPr>
          <w:rFonts w:ascii="Times New Roman" w:hAnsi="Times New Roman"/>
          <w:color w:val="000000"/>
          <w:sz w:val="18"/>
        </w:rPr>
      </w:pPr>
      <w:r>
        <w:rPr>
          <w:rFonts w:ascii="Times New Roman" w:hAnsi="Times New Roman"/>
          <w:color w:val="000000"/>
          <w:sz w:val="18"/>
        </w:rPr>
        <w:t>(Name of Registrant as Specified in Its Charter)</w:t>
      </w:r>
    </w:p>
    <w:p>
      <w:pPr>
        <w:pStyle w:val="TextBody"/>
        <w:bidi w:val="0"/>
        <w:spacing w:before="360" w:after="283"/>
        <w:jc w:val="center"/>
        <w:rPr>
          <w:rFonts w:ascii="Times New Roman" w:hAnsi="Times New Roman"/>
          <w:b/>
          <w:color w:val="000000"/>
          <w:sz w:val="14"/>
        </w:rPr>
      </w:pPr>
      <w:r>
        <w:rPr>
          <w:rFonts w:ascii="Times New Roman" w:hAnsi="Times New Roman"/>
          <w:b/>
          <w:color w:val="000000"/>
          <w:sz w:val="14"/>
        </w:rPr>
        <w:t>(Name of Person(s) Filing Proxy Statement, if other than the Registrant)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Payment of Filing Fee (Check all boxes that apply):</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2" w:space="1" w:color="000000"/>
        </w:pBdr>
        <w:bidi w:val="0"/>
        <w:spacing w:before="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181725" cy="799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81725" cy="79914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 xml:space="preserve">P.O. BOX 8016, CARY, NC 27512-9903 Your vote matters! Fulcrum Therapeutics, Inc. Annual Meeting of Stockholders Wednesday, June 24, 2026 9:00 AM, Eastern Time Annual meeting will be held via the internet - please visit www.proxydocs.com/FULC for more details. You must register to attend the meeting online and/or participate at </w:t>
      </w:r>
      <w:r>
        <w:rPr>
          <w:rFonts w:ascii="Times New Roman" w:hAnsi="Times New Roman"/>
          <w:color w:val="FFFFFF"/>
          <w:sz w:val="2"/>
          <w:u w:val="single"/>
        </w:rPr>
        <w:t>www.proxydocs.com/FULC</w:t>
      </w:r>
      <w:r>
        <w:rPr>
          <w:rFonts w:ascii="Times New Roman" w:hAnsi="Times New Roman"/>
          <w:color w:val="FFFFFF"/>
          <w:sz w:val="20"/>
        </w:rPr>
        <w:t xml:space="preserve"> </w:t>
      </w:r>
      <w:r>
        <w:rPr>
          <w:rFonts w:ascii="Times New Roman" w:hAnsi="Times New Roman"/>
          <w:color w:val="FFFFFF"/>
          <w:sz w:val="2"/>
        </w:rPr>
        <w:t xml:space="preserve">For a convenient way to view proxy materials, VOTE, and obtain directions to attend the meeting go to www.proxydocs.com/FULC.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materials, you must request one. There is no charge to you for requesting a copy. In order to receive a paper package in time for this year's meeting, you must make this request on or before June 12, 2026. Meeting Materials: Notice of Meeting and Proxy Statement &amp; Annual Report on Form 10-K Important Notice Regarding the Availability of Proxy Materials for the Stockholders Meeting To Be Held On June 24, 2026 For Stockholders of record as of April 27, 2026 To order paper materials, use one of the following methods. Internet: </w:t>
      </w:r>
      <w:r>
        <w:rPr>
          <w:rFonts w:ascii="Times New Roman" w:hAnsi="Times New Roman"/>
          <w:color w:val="FFFFFF"/>
          <w:sz w:val="2"/>
          <w:u w:val="single"/>
        </w:rPr>
        <w:t>www.investorelections.com/FULC</w:t>
      </w:r>
      <w:r>
        <w:rPr>
          <w:rFonts w:ascii="Times New Roman" w:hAnsi="Times New Roman"/>
          <w:color w:val="FFFFFF"/>
          <w:sz w:val="2"/>
        </w:rPr>
        <w:t xml:space="preserve">Call: 1-866-648-8133 Email: </w:t>
      </w:r>
      <w:r>
        <w:rPr>
          <w:rFonts w:ascii="Times New Roman" w:hAnsi="Times New Roman"/>
          <w:color w:val="FFFFFF"/>
          <w:sz w:val="2"/>
          <w:u w:val="single"/>
        </w:rPr>
        <w:t>paper@investorelections.com</w:t>
      </w:r>
      <w:r>
        <w:rPr>
          <w:rFonts w:ascii="Times New Roman" w:hAnsi="Times New Roman"/>
          <w:color w:val="FFFFFF"/>
          <w:sz w:val="2"/>
        </w:rPr>
        <w:t>*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SEE REVERSE FOR FULL AGENDA Copyright © 2026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181725" cy="799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81725" cy="7991475"/>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Fulcrum Therapeutics, Inc. Annual Meeting of Stockholders THE BOARD OF DIRECTORS RECOMMENDS A VOTE: FOR EACH OF THE NOMINEES LISTED IN PROPOSAL 1, FOR PROPOSAL 2, AND FOR PROPOSAL 3. PROPOSAL 1. Election of three Class I directors, nominated by our board of directors, each to serve for a three-year term expiring at the 2029 annual meeting of stockholders; 1.01 Sonja Banks 1.02 Alan Ezekowitz 1.03 Colin Hill 2. A non-binding advisory vote to approve the compensation of our named executive officers; 3. Ratification of the appointment of Ernst &amp; Young LLP as our independent registered public accounting firm for the fiscal year ending December 31, 2026; and 4. Transaction of any other business that may properly come before the Annual Meeting or any adjournment or postponement thereof.</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3302</Characters>
  <CharactersWithSpaces>3926</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