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27, 2024, Fulcrum Therapeutics, Inc., or Fulcrum, announced its financial results for the quarter and year ended December 31, 2023. The full text of the press release issued in connection with the announcement is being furnished as Exhibit 99.1 to this Current Report on Form 8-K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3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February 27, 2024, announcing financial results for the quarter and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5482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259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6306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1100"/>
        <w:spacing w:after="0" w:line="441"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Fourth Quarter and Full Year 2023</w:t>
      </w:r>
    </w:p>
    <w:p>
      <w:pPr>
        <w:spacing w:after="0" w:line="1" w:lineRule="exact"/>
        <w:rPr>
          <w:sz w:val="20"/>
          <w:szCs w:val="20"/>
          <w:color w:val="auto"/>
        </w:rPr>
      </w:pPr>
    </w:p>
    <w:p>
      <w:pPr>
        <w:ind w:left="340" w:hanging="227"/>
        <w:spacing w:after="0"/>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On track to report topline data for Phase 3 REACH trial of losmapimod in facioscapulohumeral </w:t>
      </w:r>
      <w:r>
        <w:rPr>
          <w:rFonts w:ascii="Calibri" w:cs="Calibri" w:eastAsia="Calibri" w:hAnsi="Calibri"/>
          <w:sz w:val="19"/>
          <w:szCs w:val="19"/>
          <w:i w:val="1"/>
          <w:iCs w:val="1"/>
          <w:color w:val="auto"/>
        </w:rPr>
        <w:t>m</w:t>
      </w:r>
      <w:r>
        <w:rPr>
          <w:rFonts w:ascii="Times New Roman" w:cs="Times New Roman" w:eastAsia="Times New Roman" w:hAnsi="Times New Roman"/>
          <w:sz w:val="18"/>
          <w:szCs w:val="18"/>
          <w:i w:val="1"/>
          <w:iCs w:val="1"/>
          <w:color w:val="auto"/>
        </w:rPr>
        <w:t>uscular dystrophy (FSHD) in the fourth quarter of</w:t>
      </w:r>
    </w:p>
    <w:p>
      <w:pPr>
        <w:spacing w:after="0" w:line="15" w:lineRule="exact"/>
        <w:rPr>
          <w:rFonts w:ascii="Times New Roman" w:cs="Times New Roman" w:eastAsia="Times New Roman" w:hAnsi="Times New Roman"/>
          <w:sz w:val="18"/>
          <w:szCs w:val="18"/>
          <w:i w:val="1"/>
          <w:iCs w:val="1"/>
          <w:color w:val="auto"/>
        </w:rPr>
      </w:pPr>
    </w:p>
    <w:p>
      <w:pPr>
        <w:ind w:left="5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2024 ―</w:t>
      </w:r>
    </w:p>
    <w:p>
      <w:pPr>
        <w:spacing w:after="0" w:line="225" w:lineRule="exact"/>
        <w:rPr>
          <w:rFonts w:ascii="Times New Roman" w:cs="Times New Roman" w:eastAsia="Times New Roman" w:hAnsi="Times New Roman"/>
          <w:sz w:val="18"/>
          <w:szCs w:val="18"/>
          <w:i w:val="1"/>
          <w:iCs w:val="1"/>
          <w:color w:val="auto"/>
        </w:rPr>
      </w:pPr>
    </w:p>
    <w:p>
      <w:pPr>
        <w:ind w:left="2380" w:hanging="231"/>
        <w:spacing w:after="0"/>
        <w:tabs>
          <w:tab w:leader="none" w:pos="238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Restart of the Phase 1b PIONEER trial of pociredir in sickle cell disease (SCD) underway ―</w:t>
      </w:r>
    </w:p>
    <w:p>
      <w:pPr>
        <w:spacing w:after="0" w:line="225" w:lineRule="exact"/>
        <w:rPr>
          <w:rFonts w:ascii="Times New Roman" w:cs="Times New Roman" w:eastAsia="Times New Roman" w:hAnsi="Times New Roman"/>
          <w:sz w:val="18"/>
          <w:szCs w:val="18"/>
          <w:i w:val="1"/>
          <w:iCs w:val="1"/>
          <w:color w:val="auto"/>
        </w:rPr>
      </w:pPr>
    </w:p>
    <w:p>
      <w:pPr>
        <w:ind w:left="3360" w:hanging="224"/>
        <w:spacing w:after="0"/>
        <w:tabs>
          <w:tab w:leader="none" w:pos="336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scheduled for 8:00 a.m. ET today ―</w:t>
      </w:r>
    </w:p>
    <w:p>
      <w:pPr>
        <w:spacing w:after="0" w:line="34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February 27, 2024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developing small molecules to improve the lives of patients with genetically defined rare diseases, today reported financial results for the fourth quarter and full year of 2023 as well as an update to the business.</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2023, we took important steps to advance our two key clinical programs which included completing enrollment for the Phase 3 REACH trial of losmapimod in FSHD and resolving the clinical hold for our Phase 1b PIONEER trial of pociredir in SCD,” said Alex C. Sapir, Fulcrum’s president and chief executive officer. “We are on track to report topline data for REACH in the fourth quarter of 2024, which could position losmapimod as the first approved treatment for patients with FSHD. The clinical data generated to date demonstrates losmapimod has the potential to slow progression and address the debilitating effects of this disease. Additionally, for PIONEER, we are encouraged by the level of physician engagement, and we are working diligently to activate additional trial sites and resume enrollment. We believe pociredir has the potential to shift the current standard of care and offer a differentiated, oral treatment option for patients with SCD.”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33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Phase 3 clinical trial evaluating losmapimod in patients with FSHD continues to progress, and Fulcrum expects to report topline data in the fourth quarter of 2024. The trial enrolled 260 patients across sites in the United States, Canada, and Europe. There are currently no approved treatments for FSHD.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have been activated for the Phase 1b trial evaluating pociredir in patients with SCD. Cohort 3 of the Phase 1b trial will evaluate pociredir at the 12 mg once daily dose, followed by Cohort 4 at the 20 mg once daily dose. Each cohort is expected to enroll approximately 10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 Year 2023 Financial Results</w:t>
      </w:r>
    </w:p>
    <w:p>
      <w:pPr>
        <w:spacing w:after="0" w:line="117" w:lineRule="exact"/>
        <w:rPr>
          <w:sz w:val="20"/>
          <w:szCs w:val="20"/>
          <w:color w:val="auto"/>
        </w:rPr>
      </w:pPr>
    </w:p>
    <w:p>
      <w:pPr>
        <w:ind w:left="1020" w:right="2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2023, cash, cash equivalents, and marketable securities were $236.2 million, as compared to $202.9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of December 31, 2022. The increase in our cash position is primarily due to net proceeds from our equity offering completed in January 2023 of $117.3 million, partially offset by our net cash used in operating activities in 2023.</w:t>
      </w:r>
    </w:p>
    <w:p>
      <w:pPr>
        <w:spacing w:after="0" w:line="62"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$0.9 million for the fourth quarter of 2023 as compared to $0.7 million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2022. The increase of $0.2 million was attributable to an increase in revenues under our collaboration agreement with MyoKardia as we completed our research services during the fourth quarter of 2023.</w:t>
      </w:r>
    </w:p>
    <w:p>
      <w:pPr>
        <w:spacing w:after="0" w:line="66" w:lineRule="exact"/>
        <w:rPr>
          <w:rFonts w:ascii="Times New Roman" w:cs="Times New Roman" w:eastAsia="Times New Roman" w:hAnsi="Times New Roman"/>
          <w:sz w:val="18"/>
          <w:szCs w:val="18"/>
          <w:color w:val="auto"/>
        </w:rPr>
      </w:pPr>
    </w:p>
    <w:p>
      <w:pPr>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revenue was $2.8 million for the year ended December 31, 2023, as compared to $6.3 million for the year ended December 31, 2022. The decrease of $3.5 million was attributable to the completion of activities under our collaboration agreement with Acceleron, which terminated in October 2022, and due to a decrease in revenues under our collaboration agreement with MyoKardia as we completed our research services during the fourth quarter of 2023.</w:t>
      </w:r>
    </w:p>
    <w:p>
      <w:pPr>
        <w:spacing w:after="0" w:line="67" w:lineRule="exact"/>
        <w:rPr>
          <w:rFonts w:ascii="Times New Roman" w:cs="Times New Roman" w:eastAsia="Times New Roman" w:hAnsi="Times New Roman"/>
          <w:sz w:val="18"/>
          <w:szCs w:val="18"/>
          <w:color w:val="auto"/>
        </w:rPr>
      </w:pPr>
    </w:p>
    <w:p>
      <w:pPr>
        <w:ind w:left="1020" w:right="4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$19.0 million for the fourth quarter of 2023 as compared to $18.6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2022. The increase of $0.4 million was primarily due to increased personnel costs.</w:t>
      </w:r>
    </w:p>
    <w:p>
      <w:pPr>
        <w:spacing w:after="0" w:line="50" w:lineRule="exact"/>
        <w:rPr>
          <w:rFonts w:ascii="Times New Roman" w:cs="Times New Roman" w:eastAsia="Times New Roman" w:hAnsi="Times New Roman"/>
          <w:sz w:val="18"/>
          <w:szCs w:val="18"/>
          <w:color w:val="auto"/>
        </w:rPr>
      </w:pPr>
    </w:p>
    <w:p>
      <w:pPr>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$71.8 million for the year ended December 31, 2023 as compared to $76.8 million for the year ended December 31, 2022. The decrease of $5.0 million was primarily due to a $5.0 million obligation to GSK incurred in the second quarter of 2022 upon initiation of the REACH clinical trial.</w:t>
      </w:r>
    </w:p>
    <w:p>
      <w:pPr>
        <w:spacing w:after="0" w:line="63"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$9.9 million for the fourth quarter of 2023 as compared to $10.1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2022. The decrease of $0.2 million was primarily due to decreased professional services costs.</w:t>
      </w:r>
    </w:p>
    <w:p>
      <w:pPr>
        <w:spacing w:after="0" w:line="5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$41.7 million for each of the years ended December 31, 2023 and 2022.</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$24.8 million for the fourth quarter of 2023 as compared to $26.1 million for the fourth quarter of 2022.</w:t>
      </w:r>
    </w:p>
    <w:p>
      <w:pPr>
        <w:spacing w:after="0" w:line="148"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$97.3 million for the year ended December 31, 2023 as compared to $109.9 million for the year ended December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Runway Guidance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Fulcrum continues to expect that its existing cash, cash equivalents, and marketable securities will be sufficient to fund its operating requirements into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review the fourth quarter and full year 2023 recent business highlights and financial results. Individuals may register for the conference call by clicking the link here . Once registered participants will receive dial-in details and a unique pin which will allow them to access the call. The webcast will be accessible through the Investor Relations section of Fulcrum’s website at www.fulcrumtx.com or by clicking here. Following the live webcast, an archived replay will also be available for 90 days.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two lead programs in clinical development are losmapimod, a small molecule in development for the treatment of facioscapulohumeral muscular dystrophy (FSHD), and pociredir (formerly known as FTX-6058), a small molecule designed to increase expression of fetal hemoglobin and in development for the treatment of sickle cell disease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Losmapimod</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slower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U.S. Food and Drug Administration (FDA) Fast Track designation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 w:name="page6"/>
    <w:bookmarkEnd w:id="5"/>
    <w:p>
      <w:pPr>
        <w:ind w:right="560"/>
        <w:spacing w:after="0" w:line="282" w:lineRule="auto"/>
        <w:rPr>
          <w:sz w:val="20"/>
          <w:szCs w:val="20"/>
          <w:color w:val="auto"/>
        </w:rPr>
      </w:pPr>
      <w:r>
        <w:rPr>
          <w:rFonts w:ascii="Times New Roman" w:cs="Times New Roman" w:eastAsia="Times New Roman" w:hAnsi="Times New Roman"/>
          <w:sz w:val="18"/>
          <w:szCs w:val="18"/>
          <w:color w:val="auto"/>
        </w:rPr>
        <w:t>Orphan Drug Designation for the treatment of FSHD. Losmapimod is currently being evaluated in a Phase 3 multi-center randomized, double-blind, placebo-controlled, 48-week parallel-group study in people with FSHD (NCT05397470).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FSHD</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relentless and accumulating muscle and functional loss impacting their ability to perform activities of daily living, loss of upper limb function, loss of mobility and independence, and chronic pain. FSHD is one of the most common forms of muscular dystrophy and has an estimated patient population of 16,000 to 38,000 in the United States alone.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Initial data in SCD demonstrated proof-of-concept and achieved absolute levels of HbF increases associated with potential overall patient benefit. In clinical trials conducted prior to the clinical hold, which was lifted by the FDA in August 2023, pociredir was generally well-tolerated in people with SCD with up to three months of exposure, with no serious treatment-related adverse events reported. Pociredir has been granted U.S. FDA Fast Track designation and Orphan Drug Designation for the treatment of SCD. To learn more about these trials please visit ClinicalTrials.gov.</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trials, including timing of topline data for the Phase 3 REACH trial of losmapimod; reinitiation of the Phase 1b trial of pociredir and enrollees in each cohort; Fulcrum’s ability to deliver an FDA-approved therapy for FSHD patients; the potential for pociredir to shift the standard of care;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pociredir and any other product candidates; obtaining, maintaining or protecting intellectual property rights related to its product candidates; managing expenses; managing executive and employee turnover, including integrating a new CEO and CFO;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190,794</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226,685</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198,942</w:t>
            </w:r>
          </w:p>
        </w:tc>
        <w:tc>
          <w:tcPr>
            <w:tcW w:w="100" w:type="dxa"/>
            <w:vAlign w:val="bottom"/>
          </w:tcPr>
          <w:p>
            <w:pPr>
              <w:spacing w:after="0"/>
              <w:rPr>
                <w:sz w:val="20"/>
                <w:szCs w:val="20"/>
                <w:color w:val="auto"/>
              </w:rPr>
            </w:pP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00"/>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118,903</w:t>
            </w:r>
          </w:p>
        </w:tc>
        <w:tc>
          <w:tcPr>
            <w:tcW w:w="100" w:type="dxa"/>
            <w:vAlign w:val="bottom"/>
            <w:tcBorders>
              <w:top w:val="single" w:sz="8" w:color="CFF0FC"/>
            </w:tcBorders>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(27,992 )</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(27,973 )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(110,664 )</w:t>
            </w: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(112,561 )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0"/>
                <w:szCs w:val="20"/>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(24,756 )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(26,135 )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(97,335 )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(109,871 )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61,871</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-1028065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-1028065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-384810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-384810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-384810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2024-02-27T06:08:45Z</dcterms:created>
  <dcterms:modified xsi:type="dcterms:W3CDTF">2024-02-27T06:08:45Z</dcterms:modified>
</cp:coreProperties>
</file>