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Washington, D.C. 20549</w:t>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36195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August 11,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71120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Fulcrum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158" w:lineRule="exact"/>
        <w:rPr>
          <w:sz w:val="24"/>
          <w:szCs w:val="24"/>
          <w:color w:val="auto"/>
        </w:rPr>
      </w:pPr>
    </w:p>
    <w:tbl>
      <w:tblPr>
        <w:tblLayout w:type="fixed"/>
        <w:tblInd w:w="1300" w:type="dxa"/>
        <w:tblCellMar>
          <w:top w:w="0" w:type="dxa"/>
          <w:left w:w="0" w:type="dxa"/>
          <w:bottom w:w="0" w:type="dxa"/>
          <w:right w:w="0" w:type="dxa"/>
        </w:tblCellMar>
      </w:tblPr>
      <w:tr>
        <w:trPr>
          <w:trHeight w:val="186"/>
        </w:trPr>
        <w:tc>
          <w:tcPr>
            <w:tcW w:w="3200" w:type="dxa"/>
            <w:vAlign w:val="bottom"/>
          </w:tcPr>
          <w:p>
            <w:pPr>
              <w:jc w:val="center"/>
              <w:ind w:right="901"/>
              <w:spacing w:after="0" w:line="186" w:lineRule="exact"/>
              <w:rPr>
                <w:sz w:val="20"/>
                <w:szCs w:val="20"/>
                <w:color w:val="auto"/>
              </w:rPr>
            </w:pPr>
            <w:r>
              <w:rPr>
                <w:rFonts w:ascii="Times New Roman" w:cs="Times New Roman" w:eastAsia="Times New Roman" w:hAnsi="Times New Roman"/>
                <w:sz w:val="18"/>
                <w:szCs w:val="18"/>
                <w:b w:val="1"/>
                <w:bCs w:val="1"/>
                <w:color w:val="auto"/>
              </w:rPr>
              <w:t>Delaware</w:t>
            </w:r>
          </w:p>
        </w:tc>
        <w:tc>
          <w:tcPr>
            <w:tcW w:w="2240" w:type="dxa"/>
            <w:vAlign w:val="bottom"/>
            <w:tcBorders>
              <w:top w:val="single" w:sz="8" w:color="auto"/>
            </w:tcBorders>
          </w:tcPr>
          <w:p>
            <w:pPr>
              <w:jc w:val="right"/>
              <w:ind w:right="481"/>
              <w:spacing w:after="0" w:line="186" w:lineRule="exact"/>
              <w:rPr>
                <w:sz w:val="20"/>
                <w:szCs w:val="20"/>
                <w:color w:val="auto"/>
              </w:rPr>
            </w:pPr>
            <w:r>
              <w:rPr>
                <w:rFonts w:ascii="Times New Roman" w:cs="Times New Roman" w:eastAsia="Times New Roman" w:hAnsi="Times New Roman"/>
                <w:sz w:val="18"/>
                <w:szCs w:val="18"/>
                <w:b w:val="1"/>
                <w:bCs w:val="1"/>
                <w:color w:val="auto"/>
              </w:rPr>
              <w:t>001-38978</w:t>
            </w:r>
          </w:p>
        </w:tc>
        <w:tc>
          <w:tcPr>
            <w:tcW w:w="2800" w:type="dxa"/>
            <w:vAlign w:val="bottom"/>
          </w:tcPr>
          <w:p>
            <w:pPr>
              <w:jc w:val="right"/>
              <w:ind w:right="24"/>
              <w:spacing w:after="0" w:line="186" w:lineRule="exact"/>
              <w:rPr>
                <w:sz w:val="20"/>
                <w:szCs w:val="20"/>
                <w:color w:val="auto"/>
              </w:rPr>
            </w:pPr>
            <w:r>
              <w:rPr>
                <w:rFonts w:ascii="Times New Roman" w:cs="Times New Roman" w:eastAsia="Times New Roman" w:hAnsi="Times New Roman"/>
                <w:sz w:val="18"/>
                <w:szCs w:val="18"/>
                <w:b w:val="1"/>
                <w:bCs w:val="1"/>
                <w:color w:val="auto"/>
              </w:rPr>
              <w:t>47-4839948</w:t>
            </w:r>
          </w:p>
        </w:tc>
      </w:tr>
      <w:tr>
        <w:trPr>
          <w:trHeight w:val="148"/>
        </w:trPr>
        <w:tc>
          <w:tcPr>
            <w:tcW w:w="3200" w:type="dxa"/>
            <w:vAlign w:val="bottom"/>
          </w:tcPr>
          <w:p>
            <w:pPr>
              <w:jc w:val="center"/>
              <w:ind w:right="9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2240" w:type="dxa"/>
            <w:vAlign w:val="bottom"/>
          </w:tcPr>
          <w:p>
            <w:pPr>
              <w:jc w:val="center"/>
              <w:ind w:left="28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800" w:type="dxa"/>
            <w:vAlign w:val="bottom"/>
          </w:tcPr>
          <w:p>
            <w:pPr>
              <w:jc w:val="center"/>
              <w:ind w:left="166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200" w:type="dxa"/>
            <w:vAlign w:val="bottom"/>
          </w:tcPr>
          <w:p>
            <w:pPr>
              <w:jc w:val="center"/>
              <w:ind w:right="9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2240" w:type="dxa"/>
            <w:vAlign w:val="bottom"/>
          </w:tcPr>
          <w:p>
            <w:pPr>
              <w:spacing w:after="0"/>
              <w:rPr>
                <w:sz w:val="15"/>
                <w:szCs w:val="15"/>
                <w:color w:val="auto"/>
              </w:rPr>
            </w:pPr>
          </w:p>
        </w:tc>
        <w:tc>
          <w:tcPr>
            <w:tcW w:w="2800" w:type="dxa"/>
            <w:vAlign w:val="bottom"/>
          </w:tcPr>
          <w:p>
            <w:pPr>
              <w:jc w:val="center"/>
              <w:ind w:left="166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70"/>
        </w:trPr>
        <w:tc>
          <w:tcPr>
            <w:tcW w:w="3200" w:type="dxa"/>
            <w:vAlign w:val="bottom"/>
          </w:tcPr>
          <w:p>
            <w:pPr>
              <w:jc w:val="center"/>
              <w:ind w:right="901"/>
              <w:spacing w:after="0"/>
              <w:rPr>
                <w:sz w:val="20"/>
                <w:szCs w:val="20"/>
                <w:color w:val="auto"/>
              </w:rPr>
            </w:pPr>
            <w:r>
              <w:rPr>
                <w:rFonts w:ascii="Times New Roman" w:cs="Times New Roman" w:eastAsia="Times New Roman" w:hAnsi="Times New Roman"/>
                <w:sz w:val="18"/>
                <w:szCs w:val="18"/>
                <w:b w:val="1"/>
                <w:bCs w:val="1"/>
                <w:color w:val="auto"/>
                <w:w w:val="99"/>
              </w:rPr>
              <w:t>26 Landsdowne Street</w:t>
            </w:r>
          </w:p>
        </w:tc>
        <w:tc>
          <w:tcPr>
            <w:tcW w:w="22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08"/>
        </w:trPr>
        <w:tc>
          <w:tcPr>
            <w:tcW w:w="3200" w:type="dxa"/>
            <w:vAlign w:val="bottom"/>
          </w:tcPr>
          <w:p>
            <w:pPr>
              <w:jc w:val="center"/>
              <w:ind w:right="901"/>
              <w:spacing w:after="0"/>
              <w:rPr>
                <w:sz w:val="20"/>
                <w:szCs w:val="20"/>
                <w:color w:val="auto"/>
              </w:rPr>
            </w:pPr>
            <w:r>
              <w:rPr>
                <w:rFonts w:ascii="Times New Roman" w:cs="Times New Roman" w:eastAsia="Times New Roman" w:hAnsi="Times New Roman"/>
                <w:sz w:val="18"/>
                <w:szCs w:val="18"/>
                <w:b w:val="1"/>
                <w:bCs w:val="1"/>
                <w:color w:val="auto"/>
                <w:w w:val="99"/>
              </w:rPr>
              <w:t>Cambridge, Massachusetts</w:t>
            </w:r>
          </w:p>
        </w:tc>
        <w:tc>
          <w:tcPr>
            <w:tcW w:w="2240" w:type="dxa"/>
            <w:vAlign w:val="bottom"/>
          </w:tcPr>
          <w:p>
            <w:pPr>
              <w:spacing w:after="0"/>
              <w:rPr>
                <w:sz w:val="18"/>
                <w:szCs w:val="18"/>
                <w:color w:val="auto"/>
              </w:rPr>
            </w:pPr>
          </w:p>
        </w:tc>
        <w:tc>
          <w:tcPr>
            <w:tcW w:w="280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02139</w:t>
            </w:r>
          </w:p>
        </w:tc>
      </w:tr>
      <w:tr>
        <w:trPr>
          <w:trHeight w:val="178"/>
        </w:trPr>
        <w:tc>
          <w:tcPr>
            <w:tcW w:w="3200" w:type="dxa"/>
            <w:vAlign w:val="bottom"/>
          </w:tcPr>
          <w:p>
            <w:pPr>
              <w:jc w:val="center"/>
              <w:ind w:right="9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2240" w:type="dxa"/>
            <w:vAlign w:val="bottom"/>
          </w:tcPr>
          <w:p>
            <w:pPr>
              <w:spacing w:after="0"/>
              <w:rPr>
                <w:sz w:val="15"/>
                <w:szCs w:val="15"/>
                <w:color w:val="auto"/>
              </w:rPr>
            </w:pPr>
          </w:p>
        </w:tc>
        <w:tc>
          <w:tcPr>
            <w:tcW w:w="2800" w:type="dxa"/>
            <w:vAlign w:val="bottom"/>
          </w:tcPr>
          <w:p>
            <w:pPr>
              <w:jc w:val="center"/>
              <w:ind w:left="166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19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651-8851</w:t>
      </w:r>
    </w:p>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111125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12" w:lineRule="exact"/>
        <w:rPr>
          <w:sz w:val="24"/>
          <w:szCs w:val="24"/>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22"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53" w:lineRule="exact"/>
        <w:rPr>
          <w:rFonts w:ascii="MS PGothic" w:cs="MS PGothic" w:eastAsia="MS PGothic" w:hAnsi="MS PGothic"/>
          <w:sz w:val="18"/>
          <w:szCs w:val="18"/>
          <w:color w:val="auto"/>
        </w:rPr>
      </w:pPr>
    </w:p>
    <w:p>
      <w:pPr>
        <w:ind w:left="34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38"/>
        </w:trPr>
        <w:tc>
          <w:tcPr>
            <w:tcW w:w="42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par value $0.001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FULC</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c>
          <w:tcPr>
            <w:tcW w:w="0" w:type="dxa"/>
            <w:vAlign w:val="bottom"/>
          </w:tcPr>
          <w:p>
            <w:pPr>
              <w:spacing w:after="0"/>
              <w:rPr>
                <w:sz w:val="1"/>
                <w:szCs w:val="1"/>
                <w:color w:val="auto"/>
              </w:rPr>
            </w:pPr>
          </w:p>
        </w:tc>
      </w:tr>
    </w:tbl>
    <w:p>
      <w:pPr>
        <w:spacing w:after="0" w:line="166"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6" w:lineRule="exact"/>
        <w:rPr>
          <w:sz w:val="24"/>
          <w:szCs w:val="24"/>
          <w:color w:val="auto"/>
        </w:rPr>
      </w:pPr>
    </w:p>
    <w:p>
      <w:pPr>
        <w:ind w:right="160"/>
        <w:spacing w:after="0" w:line="22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198120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0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On August 11, 2022, Fulcrum Therapeutics, Inc., or Fulcrum, announced its financial results for the quarter ended June 30, 2022. The full text of the press release issued in connection with the announcement is being furnished as Exhibit 99.1 to this Current Report on Form 8-K and is incorporated herein by reference.</w:t>
      </w:r>
    </w:p>
    <w:p>
      <w:pPr>
        <w:spacing w:after="0" w:line="16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information in this Item 2.02, including Exhibit 99.1 attached hereto, shall not be deemed “filed” for purposes of Section 18 of the Securities Exchange Act of 1934, or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2.05 Costs Associated with Exit or Disposal Activities</w:t>
      </w:r>
    </w:p>
    <w:p>
      <w:pPr>
        <w:spacing w:after="0" w:line="216" w:lineRule="exact"/>
        <w:rPr>
          <w:sz w:val="20"/>
          <w:szCs w:val="20"/>
          <w:color w:val="auto"/>
        </w:rPr>
      </w:pPr>
    </w:p>
    <w:p>
      <w:pPr>
        <w:ind w:right="300"/>
        <w:spacing w:after="0" w:line="270" w:lineRule="auto"/>
        <w:rPr>
          <w:sz w:val="20"/>
          <w:szCs w:val="20"/>
          <w:color w:val="auto"/>
        </w:rPr>
      </w:pPr>
      <w:r>
        <w:rPr>
          <w:rFonts w:ascii="Times New Roman" w:cs="Times New Roman" w:eastAsia="Times New Roman" w:hAnsi="Times New Roman"/>
          <w:sz w:val="17"/>
          <w:szCs w:val="17"/>
          <w:color w:val="auto"/>
        </w:rPr>
        <w:t>On August 11, 2022, Fulcrum also announced the approval by its board of directors of a plan to strategically realign its operations and implement cost reduction measures to prioritize its two clinical programs. Fulcrum plans to streamline its research and development activities and redeploy resources to focus on its two development-stage programs that are expected to drive near-term value. The realignment plan will result in a reduction of 18 positions primarily in the areas of discovery, research and general and administrative. Fulcrum expects to complete the workforce reduction in August 2022.</w:t>
      </w:r>
    </w:p>
    <w:p>
      <w:pPr>
        <w:spacing w:after="0" w:line="160"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The realignment plan is expected to result in savings in operating expenses of approximately $40-$50 million, which is expected to be fully realized by mid-2024. Fulcrum currently estimates that it will incur cash charges of approximately $0.4-$0.5 million related to the realignment plan consisting of one-time termination benefits. The charges Fulcrum expects to incur in connection with this reduction in force are subject to a number of assumptions, risks and uncertainties, and actual results may materially differ. Fulcrum may also incur other material charges not currently contemplated due to events that may occur as a result of, or associated with, these actions.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16"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Private Securities Litigation Reform Act of 1995 that involve substantial risks and uncertainties. All statements, other than statements of historical facts, contained in this report are forward-looking statements, including statements regarding the strategic operational realignment, estimated cost savings, estimated charges and Fulcrum’s cash runway, among others. The words “anticipate,” “believe,” “continue,” “could,” “estimate,” “expect,” “intend,” “may,” “plan,” “potential,” “predict,” “project,” “should,” “target,” “will,” “would” and similar expressions are intended to identify forward-looking statements, although not all forward-looking statements contain these identifying words. Any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These risks and uncertainties include, but are not limited to, risks associated with Fulcrum’s ability to realize the cost savings from the realignment; continue to advance its product candidates in clinical trials; initiate and enroll clinical trials on the timeline expected or at all; obtain and maintain necessary approvals from the FDA and other regulatory authorities; replicate in clinical trials positive results found in preclinical studies and/or earlier-stage clinical trials of losmapimod, FTX-6058 and its other product candidates; obtain, maintain or protect intellectual property rights related to its product candidates; manage expenses; and raise the substantial additional capital needed to achieve its business objectives. For a discussion of other risks and uncertainties, and other important factors, any of which could cause Fulcrum’s actual results to differ from those contained in the forward-looking statements, see the “Risk Factors” section, as well as discussions of potential risks, uncertainties, and other important factors, in Fulcrum’s most recent filings with the Securities and Exchange Commission. In addition, the forward-looking statements included in this press release represent Fulcrum’s views as of the date hereof and should not be relied upon as representing Fulcrum’s views as of any date subsequent to the date hereof. Fulcrum anticipates that subsequent events and developments will cause Fulcrum’s views to change. However, while Fulcrum may elect to update these forward-looking statements at some point in the future, Fulcrum specifically disclaims any obligation to do so.</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0" w:lineRule="exact"/>
        <w:rPr>
          <w:sz w:val="20"/>
          <w:szCs w:val="20"/>
          <w:color w:val="auto"/>
        </w:rPr>
      </w:pPr>
    </w:p>
    <w:p>
      <w:pPr>
        <w:ind w:left="480" w:hanging="472"/>
        <w:spacing w:after="0"/>
        <w:tabs>
          <w:tab w:leader="none" w:pos="4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is furnished herewith:</w:t>
      </w:r>
    </w:p>
    <w:p>
      <w:pPr>
        <w:spacing w:after="0" w:line="207" w:lineRule="exact"/>
        <w:rPr>
          <w:sz w:val="20"/>
          <w:szCs w:val="20"/>
          <w:color w:val="auto"/>
        </w:rPr>
      </w:pPr>
    </w:p>
    <w:p>
      <w:pPr>
        <w:ind w:left="20"/>
        <w:spacing w:after="0"/>
        <w:tabs>
          <w:tab w:leader="none" w:pos="6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Press Release issued August 11,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-7620</wp:posOffset>
            </wp:positionV>
            <wp:extent cx="17221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22120" cy="8255"/>
                    </a:xfrm>
                    <a:prstGeom prst="rect">
                      <a:avLst/>
                    </a:prstGeom>
                    <a:noFill/>
                  </pic:spPr>
                </pic:pic>
              </a:graphicData>
            </a:graphic>
          </wp:anchor>
        </w:drawing>
      </w:r>
    </w:p>
    <w:p>
      <w:pPr>
        <w:ind w:left="20"/>
        <w:spacing w:after="0"/>
        <w:tabs>
          <w:tab w:leader="none" w:pos="6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326390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FULCRUM THERAPEUTICS, INC.</w:t>
      </w:r>
    </w:p>
    <w:p>
      <w:pPr>
        <w:spacing w:after="0" w:line="347"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w:t>
        <w:tab/>
        <w:t>August 11,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Bryan Stuart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5"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Bryan Stuart</w:t>
      </w:r>
    </w:p>
    <w:p>
      <w:pPr>
        <w:ind w:left="610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1663065" cy="4972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6306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Fulcrum Therapeutics Announces Second Quarter 2022 Financial Results</w:t>
      </w:r>
    </w:p>
    <w:p>
      <w:pPr>
        <w:spacing w:after="0" w:line="1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and Business Update</w:t>
      </w:r>
    </w:p>
    <w:p>
      <w:pPr>
        <w:spacing w:after="0" w:line="200" w:lineRule="exact"/>
        <w:rPr>
          <w:sz w:val="20"/>
          <w:szCs w:val="20"/>
          <w:color w:val="auto"/>
        </w:rPr>
      </w:pPr>
    </w:p>
    <w:p>
      <w:pPr>
        <w:spacing w:after="0" w:line="26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Presented initial data from Phase 1b trial in sickle cell disease (SCD), which demonstrate rapid and robust increases in hemoglobin F (HbF); supports</w:t>
      </w:r>
    </w:p>
    <w:p>
      <w:pPr>
        <w:spacing w:after="0" w:line="1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i w:val="1"/>
          <w:iCs w:val="1"/>
          <w:color w:val="auto"/>
        </w:rPr>
        <w:t xml:space="preserve">proof-of-concept that FTX-6058 is a novel oral HbF inducer </w:t>
      </w:r>
      <w:r>
        <w:rPr>
          <w:rFonts w:ascii="Times New Roman" w:cs="Times New Roman" w:eastAsia="Times New Roman" w:hAnsi="Times New Roman"/>
          <w:sz w:val="18"/>
          <w:szCs w:val="18"/>
          <w:b w:val="1"/>
          <w:bCs w:val="1"/>
          <w:i w:val="1"/>
          <w:iCs w:val="1"/>
          <w:color w:val="auto"/>
        </w:rPr>
        <w:t>–</w:t>
      </w:r>
    </w:p>
    <w:p>
      <w:pPr>
        <w:spacing w:after="0" w:line="18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Announced enrollment of first patient in Phase 3 REACH trial of losmapimod in facioscapulohumeral muscular dystrophy (FSHD); first ever Phase 3</w:t>
      </w:r>
    </w:p>
    <w:p>
      <w:pPr>
        <w:spacing w:after="0" w:line="3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i w:val="1"/>
          <w:iCs w:val="1"/>
          <w:color w:val="auto"/>
        </w:rPr>
        <w:t xml:space="preserve">trial in this disease </w:t>
      </w:r>
      <w:r>
        <w:rPr>
          <w:rFonts w:ascii="Times New Roman" w:cs="Times New Roman" w:eastAsia="Times New Roman" w:hAnsi="Times New Roman"/>
          <w:sz w:val="18"/>
          <w:szCs w:val="18"/>
          <w:b w:val="1"/>
          <w:bCs w:val="1"/>
          <w:i w:val="1"/>
          <w:iCs w:val="1"/>
          <w:color w:val="auto"/>
        </w:rPr>
        <w:t>–</w:t>
      </w:r>
    </w:p>
    <w:p>
      <w:pPr>
        <w:spacing w:after="0" w:line="18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Announced strategic realignment to reduce operating expenses by $40-50M, prioritize clinical execution, and extend cash runway into mid-2024 –</w:t>
      </w:r>
    </w:p>
    <w:p>
      <w:pPr>
        <w:spacing w:after="0" w:line="198"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Conference call scheduled for 8:00 a.m. ET today</w:t>
      </w:r>
      <w:r>
        <w:rPr>
          <w:rFonts w:ascii="Times New Roman" w:cs="Times New Roman" w:eastAsia="Times New Roman" w:hAnsi="Times New Roman"/>
          <w:sz w:val="18"/>
          <w:szCs w:val="18"/>
          <w:b w:val="1"/>
          <w:bCs w:val="1"/>
          <w:color w:val="auto"/>
        </w:rPr>
        <w:t xml:space="preserve"> –</w:t>
      </w:r>
    </w:p>
    <w:p>
      <w:pPr>
        <w:spacing w:after="0" w:line="279" w:lineRule="exact"/>
        <w:rPr>
          <w:sz w:val="20"/>
          <w:szCs w:val="20"/>
          <w:color w:val="auto"/>
        </w:rPr>
      </w:pPr>
    </w:p>
    <w:p>
      <w:pPr>
        <w:ind w:right="460"/>
        <w:spacing w:after="0" w:line="238" w:lineRule="auto"/>
        <w:rPr>
          <w:sz w:val="20"/>
          <w:szCs w:val="20"/>
          <w:color w:val="auto"/>
        </w:rPr>
      </w:pPr>
      <w:r>
        <w:rPr>
          <w:rFonts w:ascii="Times New Roman" w:cs="Times New Roman" w:eastAsia="Times New Roman" w:hAnsi="Times New Roman"/>
          <w:sz w:val="17"/>
          <w:szCs w:val="17"/>
          <w:b w:val="1"/>
          <w:bCs w:val="1"/>
          <w:color w:val="auto"/>
        </w:rPr>
        <w:t xml:space="preserve">CAMBRIDGE, Mass. – August 11, 2022 </w:t>
      </w:r>
      <w:r>
        <w:rPr>
          <w:rFonts w:ascii="Times New Roman" w:cs="Times New Roman" w:eastAsia="Times New Roman" w:hAnsi="Times New Roman"/>
          <w:sz w:val="17"/>
          <w:szCs w:val="17"/>
          <w:color w:val="auto"/>
        </w:rPr>
        <w:t>– Fulcrum Therapeutics, Inc.</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(Nasdaq: FULC), a clinical-stage biopharmaceutical company focused 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improving the lives of patients with genetically defined rare diseases, today reported financial results for the second quarter of 2022 and announced a</w:t>
      </w:r>
    </w:p>
    <w:p>
      <w:pPr>
        <w:spacing w:after="0" w:line="1" w:lineRule="exact"/>
        <w:rPr>
          <w:sz w:val="20"/>
          <w:szCs w:val="20"/>
          <w:color w:val="auto"/>
        </w:rPr>
      </w:pPr>
    </w:p>
    <w:p>
      <w:pPr>
        <w:ind w:right="180"/>
        <w:spacing w:after="0" w:line="233" w:lineRule="auto"/>
        <w:rPr>
          <w:sz w:val="20"/>
          <w:szCs w:val="20"/>
          <w:color w:val="auto"/>
        </w:rPr>
      </w:pPr>
      <w:r>
        <w:rPr>
          <w:rFonts w:ascii="Times New Roman" w:cs="Times New Roman" w:eastAsia="Times New Roman" w:hAnsi="Times New Roman"/>
          <w:sz w:val="18"/>
          <w:szCs w:val="18"/>
          <w:color w:val="auto"/>
        </w:rPr>
        <w:t>strategic plan to realign internal resources to support the two clinical programs that are expected to be the key drivers of near-term value and extend cash runway.</w:t>
      </w:r>
    </w:p>
    <w:p>
      <w:pPr>
        <w:spacing w:after="0" w:line="145" w:lineRule="exact"/>
        <w:rPr>
          <w:sz w:val="20"/>
          <w:szCs w:val="20"/>
          <w:color w:val="auto"/>
        </w:rPr>
      </w:pPr>
    </w:p>
    <w:p>
      <w:pPr>
        <w:ind w:right="200"/>
        <w:spacing w:after="0" w:line="236" w:lineRule="auto"/>
        <w:rPr>
          <w:sz w:val="20"/>
          <w:szCs w:val="20"/>
          <w:color w:val="auto"/>
        </w:rPr>
      </w:pPr>
      <w:r>
        <w:rPr>
          <w:rFonts w:ascii="Times New Roman" w:cs="Times New Roman" w:eastAsia="Times New Roman" w:hAnsi="Times New Roman"/>
          <w:sz w:val="17"/>
          <w:szCs w:val="17"/>
          <w:color w:val="auto"/>
        </w:rPr>
        <w:t>“In the second quarter, we achieved major milestones in both of our clinical programs,” said Bryan Stuart, Chief Executive Officer of Fulcrum Therapeutics. “We demonstrated compelling proof of concept data for 6058 and initiated the first registrational trial for FSHD. Our strategic refocus will</w:t>
      </w:r>
    </w:p>
    <w:p>
      <w:pPr>
        <w:ind w:right="640"/>
        <w:spacing w:after="0" w:line="233" w:lineRule="auto"/>
        <w:rPr>
          <w:sz w:val="20"/>
          <w:szCs w:val="20"/>
          <w:color w:val="auto"/>
        </w:rPr>
      </w:pPr>
      <w:r>
        <w:rPr>
          <w:rFonts w:ascii="Times New Roman" w:cs="Times New Roman" w:eastAsia="Times New Roman" w:hAnsi="Times New Roman"/>
          <w:sz w:val="18"/>
          <w:szCs w:val="18"/>
          <w:color w:val="auto"/>
        </w:rPr>
        <w:t>better position us to continue to advance our exciting pipeline and deliver on our unwavering commitment to patients with genetically defined rare diseases.”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Key Business Updates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FTX-6058</w:t>
      </w:r>
    </w:p>
    <w:p>
      <w:pPr>
        <w:spacing w:after="0" w:line="108" w:lineRule="exact"/>
        <w:rPr>
          <w:sz w:val="20"/>
          <w:szCs w:val="20"/>
          <w:color w:val="auto"/>
        </w:rPr>
      </w:pPr>
    </w:p>
    <w:p>
      <w:pPr>
        <w:ind w:left="1020" w:right="52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data from initial patients in first cohort of Phase 1b trial of FTX-6058 in SCD; achieved HbF increases of up to 6.3% over baseline, showing proof-of-concept for FTX-6058 as an oral HbF inducer.</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Enrolling new patients in 6mg and 2mg dose cohorts of Phase 1b SCD trial, including patients both on and off hydroxyurea.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Planning to initiate additional cohort at higher dose; expect to complete enrollment in three dose cohorts by end of 2022.</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Planning to initiate registrational trial in 2023.</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Delaying initiation of Phase 1b trial in non-SCD hemoglobinopathies, including beta-thalassemia.</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Losmapimod</w:t>
      </w:r>
    </w:p>
    <w:p>
      <w:pPr>
        <w:spacing w:after="0" w:line="108" w:lineRule="exact"/>
        <w:rPr>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Enrolled first patient in REACH pivotal Phase 3 trial in FSHD.</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Registrational trial will include over 30 sites in the U.S., EU, U.K., and Canada.</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Preclinical Pipeline</w:t>
      </w:r>
    </w:p>
    <w:p>
      <w:pPr>
        <w:spacing w:after="0" w:line="108" w:lineRule="exact"/>
        <w:rPr>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Planning to submit next Investigational New Drug application (IND) in 2023.</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Organizational Changes</w:t>
      </w:r>
    </w:p>
    <w:p>
      <w:pPr>
        <w:spacing w:after="0" w:line="94" w:lineRule="exact"/>
        <w:rPr>
          <w:sz w:val="20"/>
          <w:szCs w:val="20"/>
          <w:color w:val="auto"/>
        </w:rPr>
      </w:pPr>
    </w:p>
    <w:p>
      <w:pPr>
        <w:ind w:left="102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strategic plan to realign internal investments and operations to prioritize the two clinical programs that are expected to be the key drivers of near-term value and extend cash runway into mid-2024.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4" w:name="page5"/>
    <w:bookmarkEnd w:id="4"/>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realignment will streamline research and discovery efforts, expected to result in savings of $40-50M into mid-2024.</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workforce reduction of 25% of planned headcount, primarily in discovery, research, and general &amp; administrative (G&amp;A).</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6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the promotion of Mel Hayes to the role of Chief Operating Officer. Mel will assume responsibility for corporate operations, in addition to his current commercial responsibilities. Mel joined Fulcrum in September 2021 as Chief Commercial Officer.</w:t>
      </w:r>
    </w:p>
    <w:p>
      <w:pPr>
        <w:spacing w:after="0" w:line="54"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the promotion of Curt Oltmans to the role of Chief Legal Officer. Curt previously served as Fulcrum's Senior Vice President and General Counsel. Curt joined Fulcrum in November 2020.</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Second Quarter 2022 Financial Results</w:t>
      </w:r>
    </w:p>
    <w:p>
      <w:pPr>
        <w:spacing w:after="0" w:line="104" w:lineRule="exact"/>
        <w:rPr>
          <w:sz w:val="20"/>
          <w:szCs w:val="20"/>
          <w:color w:val="auto"/>
        </w:rPr>
      </w:pPr>
    </w:p>
    <w:p>
      <w:pPr>
        <w:ind w:left="1020" w:hanging="503"/>
        <w:spacing w:after="0" w:line="25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Position: </w:t>
      </w:r>
      <w:r>
        <w:rPr>
          <w:rFonts w:ascii="Times New Roman" w:cs="Times New Roman" w:eastAsia="Times New Roman" w:hAnsi="Times New Roman"/>
          <w:sz w:val="18"/>
          <w:szCs w:val="18"/>
          <w:color w:val="auto"/>
        </w:rPr>
        <w:t>As of June 30, 2022, cash, cash equivalents, and marketable securities were $169.0 million, as compared to $218.2 million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December 31, 2021. Based on current operating plans, including successful implementation of the operational realignment, Fulcrum expects that its existing cash, cash equivalents, and marketable securities will be sufficient to enable it to fund its operating expenses and capital expenditure requirements into mid-2024.</w:t>
      </w:r>
    </w:p>
    <w:p>
      <w:pPr>
        <w:spacing w:after="0" w:line="62" w:lineRule="exact"/>
        <w:rPr>
          <w:rFonts w:ascii="Times New Roman" w:cs="Times New Roman" w:eastAsia="Times New Roman" w:hAnsi="Times New Roman"/>
          <w:sz w:val="18"/>
          <w:szCs w:val="18"/>
          <w:color w:val="auto"/>
        </w:rPr>
      </w:pPr>
    </w:p>
    <w:p>
      <w:pPr>
        <w:ind w:left="1020" w:right="60" w:hanging="503"/>
        <w:spacing w:after="0" w:line="260"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Collaboration Revenue: </w:t>
      </w:r>
      <w:r>
        <w:rPr>
          <w:rFonts w:ascii="Times New Roman" w:cs="Times New Roman" w:eastAsia="Times New Roman" w:hAnsi="Times New Roman"/>
          <w:sz w:val="18"/>
          <w:szCs w:val="18"/>
          <w:color w:val="auto"/>
        </w:rPr>
        <w:t>Collaboration revenue was $1.9 million for the second quarter of 2022, as compared to $4.4 million for the second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of 2021. The decrease of $2.5 million was primarily due to the winding down of Fulcrum's collaboration agreement with Acceleron Pharma Inc., a wholly owned subsidiary of Merck &amp; Co., Inc.</w:t>
      </w:r>
    </w:p>
    <w:p>
      <w:pPr>
        <w:spacing w:after="0" w:line="56" w:lineRule="exact"/>
        <w:rPr>
          <w:rFonts w:ascii="Times New Roman" w:cs="Times New Roman" w:eastAsia="Times New Roman" w:hAnsi="Times New Roman"/>
          <w:sz w:val="18"/>
          <w:szCs w:val="18"/>
          <w:color w:val="auto"/>
        </w:rPr>
      </w:pPr>
    </w:p>
    <w:p>
      <w:pPr>
        <w:jc w:val="both"/>
        <w:ind w:left="1020" w:right="120" w:hanging="503"/>
        <w:spacing w:after="0" w:line="25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R&amp;D Expenses: </w:t>
      </w:r>
      <w:r>
        <w:rPr>
          <w:rFonts w:ascii="Times New Roman" w:cs="Times New Roman" w:eastAsia="Times New Roman" w:hAnsi="Times New Roman"/>
          <w:sz w:val="18"/>
          <w:szCs w:val="18"/>
          <w:color w:val="auto"/>
        </w:rPr>
        <w:t>R&amp;D expenses were $25.0 million for the second quarter of 2022, as compared to $17.4 million for the second quarter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2021. The increase of $7.6 million was primarily due to a $5.0 million milestone payable to GlaxoSmithKline plc, upon the initiation of the Phase 3 REACH trial under the pre-existing right of reference and license agreement.</w:t>
      </w:r>
    </w:p>
    <w:p>
      <w:pPr>
        <w:spacing w:after="0" w:line="76" w:lineRule="exact"/>
        <w:rPr>
          <w:rFonts w:ascii="Times New Roman" w:cs="Times New Roman" w:eastAsia="Times New Roman" w:hAnsi="Times New Roman"/>
          <w:sz w:val="18"/>
          <w:szCs w:val="18"/>
          <w:color w:val="auto"/>
        </w:rPr>
      </w:pPr>
    </w:p>
    <w:p>
      <w:pPr>
        <w:ind w:left="1020" w:right="260" w:hanging="503"/>
        <w:spacing w:after="0" w:line="25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G&amp;A Expenses: </w:t>
      </w:r>
      <w:r>
        <w:rPr>
          <w:rFonts w:ascii="Times New Roman" w:cs="Times New Roman" w:eastAsia="Times New Roman" w:hAnsi="Times New Roman"/>
          <w:sz w:val="18"/>
          <w:szCs w:val="18"/>
          <w:color w:val="auto"/>
        </w:rPr>
        <w:t>G&amp;A expenses were $11.1 million for the second quarter of 2022, as compared to $6.7 million for the second quarter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2021. The increase of $4.4 million was primarily due to increased employee-related costs to support the growth of the organization and increased professional services due to increased use of consulting services and preparatory commercial activities.</w:t>
      </w:r>
    </w:p>
    <w:p>
      <w:pPr>
        <w:spacing w:after="0" w:line="77" w:lineRule="exact"/>
        <w:rPr>
          <w:rFonts w:ascii="Times New Roman" w:cs="Times New Roman" w:eastAsia="Times New Roman" w:hAnsi="Times New Roman"/>
          <w:sz w:val="18"/>
          <w:szCs w:val="18"/>
          <w:color w:val="auto"/>
        </w:rPr>
      </w:pPr>
    </w:p>
    <w:p>
      <w:pPr>
        <w:ind w:left="1020" w:right="340" w:hanging="503"/>
        <w:spacing w:after="0" w:line="271"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Net loss was $34.1 million for the second quarter of 2022, as compared to a net loss of $19.6 million for the second quarter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2021.</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Conference Call and Webcast</w:t>
      </w:r>
    </w:p>
    <w:p>
      <w:pPr>
        <w:spacing w:after="0" w:line="108"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Fulcrum Therapeutics, Inc. will host a conference call and webcast today at 8:00 a.m. ET to discuss its second quarter 2022 recent business highlights and financial results. The webcast will be accessible through the Investor Relations section of Fulcrum’s website at www.fulcrumtx.com. Following the live webcast, an archived replay will also be available for 90 days.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Dial-in Number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U.S./Canada Dial-in Number: 1-833-634-2546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International Dial-in Number: 1-412-902-4190</w:t>
      </w:r>
    </w:p>
    <w:p>
      <w:pPr>
        <w:spacing w:after="0"/>
        <w:rPr>
          <w:sz w:val="20"/>
          <w:szCs w:val="20"/>
          <w:color w:val="auto"/>
        </w:rPr>
      </w:pPr>
      <w:r>
        <w:rPr>
          <w:rFonts w:ascii="Times New Roman" w:cs="Times New Roman" w:eastAsia="Times New Roman" w:hAnsi="Times New Roman"/>
          <w:sz w:val="18"/>
          <w:szCs w:val="18"/>
          <w:color w:val="auto"/>
        </w:rPr>
        <w:t>Conference ID: 7096297</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Replay Dial-in Number: 1-877-344-7529</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Replay International Dial-in Number: 1-412-317-0088</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Conference ID: 7096297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About Fulcrum Therapeutics</w:t>
      </w:r>
    </w:p>
    <w:p>
      <w:pPr>
        <w:spacing w:after="0" w:line="3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Fulcrum Therapeutics is a clinical-stage biopharmaceutical company focused on improving the lives of patients with genetically defined rare diseases in areas of high unmet medical need. Fulcrum’s two lead programs in clinical development are losmapimod, a small molecule for the treatment of facioscapulohumeral muscular dystrophy (FSHD), and FTX-6058, a small molecule designed to increase expression of fetal hemoglobin for the treatment of sickle cell disease and other hemoglobinopathies, including beta-thalassemia. Fulcrum’s proprietary product engine, FulcrumSeek™, identifies drug targets that can modulate gene expression to treat the known root cause of gene mis-expression. For more information, visit </w:t>
      </w:r>
      <w:r>
        <w:rPr>
          <w:rFonts w:ascii="Times New Roman" w:cs="Times New Roman" w:eastAsia="Times New Roman" w:hAnsi="Times New Roman"/>
          <w:sz w:val="18"/>
          <w:szCs w:val="18"/>
          <w:u w:val="single" w:color="auto"/>
          <w:color w:val="auto"/>
        </w:rPr>
        <w:t>www.fulcrumtx.com</w:t>
      </w:r>
      <w:r>
        <w:rPr>
          <w:rFonts w:ascii="Times New Roman" w:cs="Times New Roman" w:eastAsia="Times New Roman" w:hAnsi="Times New Roman"/>
          <w:sz w:val="18"/>
          <w:szCs w:val="18"/>
          <w:color w:val="auto"/>
        </w:rPr>
        <w:t xml:space="preserve"> and follow us on Twitter @FulcrumTx and </w:t>
      </w:r>
      <w:r>
        <w:rPr>
          <w:rFonts w:ascii="Times New Roman" w:cs="Times New Roman" w:eastAsia="Times New Roman" w:hAnsi="Times New Roman"/>
          <w:sz w:val="18"/>
          <w:szCs w:val="18"/>
          <w:u w:val="single" w:color="auto"/>
          <w:color w:val="auto"/>
        </w:rPr>
        <w:t>LinkedIn.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184150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62" w:right="4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that involve substantial risks and uncertainties. All statements, other than statements of historical facts, contained in this press release are forward-looking statements, including statements regarding the strategic operational realignment and impact on operating expenses, research and discovery efforts, cost savings, Fulcrum’s cash runway, and ability to achieve near term objectives and deliver on its long-term vision; completion of enrollment in the Phase 1b SCD trial of FTX-6058, as well as enrollment in three dose cohorts; timing of registration trial of FTX-6058 in SCD as well as timing for Phase 1b trial in other hemoglobinopathies; the REACH trial; timing of submission of next IND; among others. The words “anticipate,” “believe,” “continue,” “could,” “estimate,” “expect,” “intend,” “may,” “plan,” “potential,” “predict,” “project,” “should,” “target,” “will,” “would” and similar expressions are intended to identify forward-looking statements, although not all forward-looking statements contain these identifying words. Any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These risks and uncertainties include, but are not limited to, risks associated with Fulcrum’s ability to continue to advance its product candidates in clinical trials; initiate and enroll clinical trials on the timeline expected or at all; obtain and maintain necessary approvals from the FDA and other regulatory authorities; replicate in clinical trials positive results found in preclinical studies and/or earlier-stage clinical trials of losmapimod, FTX-6058 and its other product candidates; obtain, maintain or protect intellectual property rights related to its product candidates; manage expenses; realize the anticipated benefits of the strategic realignment; and raise the substantial additional capital needed to achieve its business objectives. For a discussion of other risks and uncertainties, and other important factors, any of which could cause Fulcrum’s actual results to differ from those contained in the forward-looking statements, see the “Risk Factors” section, as well as discussions of potential risks, uncertainties, and other important factors, in Fulcrum’s most recent filings with the Securities and Exchange Commission. In addition, the forward-looking statements included in this press release represent Fulcrum’s views as of the date hereof and should not be relied upon as representing Fulcrum’s views as of any date subsequent to the date hereof. Fulcrum anticipates that subsequent events and developments will cause Fulcrum’s views to change. However, while Fulcrum may elect to update these forward-looking statements at some point in the future, Fulcrum specifically disclaims any obligation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186690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1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Selected Consolidated Balance Sheet Data</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1500" w:type="dxa"/>
            <w:vAlign w:val="bottom"/>
            <w:tcBorders>
              <w:top w:val="single" w:sz="8" w:color="auto"/>
            </w:tcBorders>
          </w:tcPr>
          <w:p>
            <w:pPr>
              <w:spacing w:after="0"/>
              <w:rPr>
                <w:sz w:val="13"/>
                <w:szCs w:val="13"/>
                <w:color w:val="auto"/>
              </w:rPr>
            </w:pPr>
          </w:p>
        </w:tc>
        <w:tc>
          <w:tcPr>
            <w:tcW w:w="6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80" w:type="dxa"/>
            <w:vAlign w:val="bottom"/>
          </w:tcPr>
          <w:p>
            <w:pPr>
              <w:jc w:val="right"/>
              <w:ind w:right="456"/>
              <w:spacing w:after="0" w:line="151"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jc w:val="right"/>
              <w:ind w:right="296"/>
              <w:spacing w:after="0" w:line="15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7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Cash, cash equivalents, and marketable securities</w:t>
            </w: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7660" w:type="dxa"/>
            <w:vAlign w:val="bottom"/>
            <w:gridSpan w:val="2"/>
            <w:vMerge w:val="continue"/>
          </w:tcPr>
          <w:p>
            <w:pPr>
              <w:spacing w:after="0"/>
              <w:rPr>
                <w:sz w:val="13"/>
                <w:szCs w:val="13"/>
                <w:color w:val="auto"/>
              </w:rPr>
            </w:pPr>
          </w:p>
        </w:tc>
        <w:tc>
          <w:tcPr>
            <w:tcW w:w="320" w:type="dxa"/>
            <w:vAlign w:val="bottom"/>
          </w:tcPr>
          <w:p>
            <w:pPr>
              <w:jc w:val="right"/>
              <w:ind w:right="130"/>
              <w:spacing w:after="0" w:line="157"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168,973</w:t>
            </w:r>
          </w:p>
        </w:tc>
        <w:tc>
          <w:tcPr>
            <w:tcW w:w="280" w:type="dxa"/>
            <w:vAlign w:val="bottom"/>
          </w:tcPr>
          <w:p>
            <w:pPr>
              <w:spacing w:after="0"/>
              <w:rPr>
                <w:sz w:val="13"/>
                <w:szCs w:val="13"/>
                <w:color w:val="auto"/>
              </w:rPr>
            </w:pPr>
          </w:p>
        </w:tc>
        <w:tc>
          <w:tcPr>
            <w:tcW w:w="240" w:type="dxa"/>
            <w:vAlign w:val="bottom"/>
          </w:tcPr>
          <w:p>
            <w:pPr>
              <w:jc w:val="right"/>
              <w:ind w:right="50"/>
              <w:spacing w:after="0" w:line="157"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218,162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8"/>
        </w:trPr>
        <w:tc>
          <w:tcPr>
            <w:tcW w:w="7660" w:type="dxa"/>
            <w:vAlign w:val="bottom"/>
            <w:gridSpan w:val="2"/>
          </w:tcPr>
          <w:p>
            <w:pPr>
              <w:ind w:left="20"/>
              <w:spacing w:after="0" w:line="267" w:lineRule="exact"/>
              <w:rPr>
                <w:sz w:val="20"/>
                <w:szCs w:val="20"/>
                <w:color w:val="auto"/>
              </w:rPr>
            </w:pPr>
            <w:r>
              <w:rPr>
                <w:rFonts w:ascii="Times New Roman" w:cs="Times New Roman" w:eastAsia="Times New Roman" w:hAnsi="Times New Roman"/>
                <w:sz w:val="18"/>
                <w:szCs w:val="18"/>
                <w:color w:val="auto"/>
              </w:rPr>
              <w:t>Working capital</w:t>
            </w:r>
            <w:r>
              <w:rPr>
                <w:rFonts w:ascii="Times New Roman" w:cs="Times New Roman" w:eastAsia="Times New Roman" w:hAnsi="Times New Roman"/>
                <w:sz w:val="24"/>
                <w:szCs w:val="24"/>
                <w:color w:val="auto"/>
                <w:vertAlign w:val="superscript"/>
              </w:rPr>
              <w:t>(1)</w:t>
            </w:r>
          </w:p>
        </w:tc>
        <w:tc>
          <w:tcPr>
            <w:tcW w:w="3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152,126</w:t>
            </w: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206,799</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195,233</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160,755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  Fulcrum defines working capital as current assets minus current liabilities.</w:t>
            </w: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2"/>
        </w:trPr>
        <w:tc>
          <w:tcPr>
            <w:tcW w:w="1500" w:type="dxa"/>
            <w:vAlign w:val="bottom"/>
            <w:tcBorders>
              <w:bottom w:val="single" w:sz="8" w:color="9A9A9A"/>
            </w:tcBorders>
          </w:tcPr>
          <w:p>
            <w:pPr>
              <w:spacing w:after="0"/>
              <w:rPr>
                <w:sz w:val="24"/>
                <w:szCs w:val="24"/>
                <w:color w:val="auto"/>
              </w:rPr>
            </w:pPr>
          </w:p>
        </w:tc>
        <w:tc>
          <w:tcPr>
            <w:tcW w:w="61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-1122045</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ind w:left="4540"/>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10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11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0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(Unaudited)</w:t>
      </w:r>
    </w:p>
    <w:tbl>
      <w:tblPr>
        <w:tblLayout w:type="fixed"/>
        <w:tblInd w:w="0" w:type="dxa"/>
        <w:tblCellMar>
          <w:top w:w="0" w:type="dxa"/>
          <w:left w:w="0" w:type="dxa"/>
          <w:bottom w:w="0" w:type="dxa"/>
          <w:right w:w="0" w:type="dxa"/>
        </w:tblCellMar>
      </w:tblPr>
      <w:tr>
        <w:trPr>
          <w:trHeight w:val="155"/>
        </w:trPr>
        <w:tc>
          <w:tcPr>
            <w:tcW w:w="5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560" w:type="dxa"/>
            <w:vAlign w:val="bottom"/>
            <w:gridSpan w:val="5"/>
          </w:tcPr>
          <w:p>
            <w:pPr>
              <w:jc w:val="right"/>
              <w:ind w:right="790"/>
              <w:spacing w:after="0" w:line="155"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2360" w:type="dxa"/>
            <w:vAlign w:val="bottom"/>
            <w:gridSpan w:val="5"/>
          </w:tcPr>
          <w:p>
            <w:pPr>
              <w:jc w:val="right"/>
              <w:ind w:right="721"/>
              <w:spacing w:after="0" w:line="155" w:lineRule="exact"/>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7"/>
        </w:trPr>
        <w:tc>
          <w:tcPr>
            <w:tcW w:w="5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7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1,882</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4,381</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4,474</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9,170</w:t>
            </w: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25,019</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17,378</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42,850</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33,712</w:t>
            </w: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11,098</w:t>
            </w: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6,685</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21,857</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12,183</w:t>
            </w:r>
          </w:p>
        </w:tc>
        <w:tc>
          <w:tcPr>
            <w:tcW w:w="100" w:type="dxa"/>
            <w:vAlign w:val="bottom"/>
          </w:tcPr>
          <w:p>
            <w:pPr>
              <w:spacing w:after="0"/>
              <w:rPr>
                <w:sz w:val="18"/>
                <w:szCs w:val="18"/>
                <w:color w:val="auto"/>
              </w:rPr>
            </w:pPr>
          </w:p>
        </w:tc>
      </w:tr>
      <w:tr>
        <w:trPr>
          <w:trHeight w:val="209"/>
        </w:trPr>
        <w:tc>
          <w:tcPr>
            <w:tcW w:w="5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36,117</w:t>
            </w:r>
          </w:p>
        </w:tc>
        <w:tc>
          <w:tcPr>
            <w:tcW w:w="2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24,063</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64,707</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45,895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tcPr>
          <w:p>
            <w:pPr>
              <w:spacing w:after="0"/>
              <w:rPr>
                <w:sz w:val="18"/>
                <w:szCs w:val="18"/>
                <w:color w:val="auto"/>
              </w:rPr>
            </w:pPr>
          </w:p>
        </w:tc>
        <w:tc>
          <w:tcPr>
            <w:tcW w:w="11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(34,235 )</w:t>
            </w:r>
          </w:p>
        </w:tc>
        <w:tc>
          <w:tcPr>
            <w:tcW w:w="260" w:type="dxa"/>
            <w:vAlign w:val="bottom"/>
          </w:tcPr>
          <w:p>
            <w:pPr>
              <w:spacing w:after="0"/>
              <w:rPr>
                <w:sz w:val="18"/>
                <w:szCs w:val="18"/>
                <w:color w:val="auto"/>
              </w:rPr>
            </w:pPr>
          </w:p>
        </w:tc>
        <w:tc>
          <w:tcPr>
            <w:tcW w:w="11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(19,682 )</w:t>
            </w:r>
          </w:p>
        </w:tc>
        <w:tc>
          <w:tcPr>
            <w:tcW w:w="280" w:type="dxa"/>
            <w:vAlign w:val="bottom"/>
          </w:tcPr>
          <w:p>
            <w:pPr>
              <w:spacing w:after="0"/>
              <w:rPr>
                <w:sz w:val="18"/>
                <w:szCs w:val="18"/>
                <w:color w:val="auto"/>
              </w:rPr>
            </w:pPr>
          </w:p>
        </w:tc>
        <w:tc>
          <w:tcPr>
            <w:tcW w:w="11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(60,233 )</w:t>
            </w:r>
          </w:p>
        </w:tc>
        <w:tc>
          <w:tcPr>
            <w:tcW w:w="2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(36,725 )</w:t>
            </w:r>
          </w:p>
        </w:tc>
      </w:tr>
      <w:tr>
        <w:trPr>
          <w:trHeight w:val="216"/>
        </w:trPr>
        <w:tc>
          <w:tcPr>
            <w:tcW w:w="5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(34,070 )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(19,648 )</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(59,998 )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(36,647 )</w:t>
            </w:r>
          </w:p>
        </w:tc>
      </w:tr>
      <w:tr>
        <w:trPr>
          <w:trHeight w:val="20"/>
        </w:trPr>
        <w:tc>
          <w:tcPr>
            <w:tcW w:w="57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78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26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(0.83</w:t>
            </w:r>
          </w:p>
        </w:tc>
        <w:tc>
          <w:tcPr>
            <w:tcW w:w="280" w:type="dxa"/>
            <w:vAlign w:val="bottom"/>
            <w:tcBorders>
              <w:bottom w:val="single" w:sz="8" w:color="CFF0FC"/>
            </w:tcBorders>
            <w:shd w:val="clear" w:color="auto" w:fill="CFF0FC"/>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(0.60</w:t>
            </w:r>
          </w:p>
        </w:tc>
        <w:tc>
          <w:tcPr>
            <w:tcW w:w="240" w:type="dxa"/>
            <w:vAlign w:val="bottom"/>
            <w:tcBorders>
              <w:bottom w:val="single" w:sz="8" w:color="CFF0FC"/>
            </w:tcBorders>
            <w:shd w:val="clear" w:color="auto" w:fill="CFF0FC"/>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(1.47</w:t>
            </w:r>
          </w:p>
        </w:tc>
        <w:tc>
          <w:tcPr>
            <w:tcW w:w="240" w:type="dxa"/>
            <w:vAlign w:val="bottom"/>
            <w:tcBorders>
              <w:bottom w:val="single" w:sz="8" w:color="CFF0FC"/>
            </w:tcBorders>
            <w:shd w:val="clear" w:color="auto" w:fill="CFF0FC"/>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(1.14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7"/>
        </w:trPr>
        <w:tc>
          <w:tcPr>
            <w:tcW w:w="57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40,890</w:t>
            </w:r>
          </w:p>
        </w:tc>
        <w:tc>
          <w:tcPr>
            <w:tcW w:w="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32,636</w:t>
            </w: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40,768</w:t>
            </w: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32,076</w:t>
            </w:r>
          </w:p>
        </w:tc>
        <w:tc>
          <w:tcPr>
            <w:tcW w:w="100" w:type="dxa"/>
            <w:vAlign w:val="bottom"/>
          </w:tcPr>
          <w:p>
            <w:pPr>
              <w:spacing w:after="0"/>
              <w:rPr>
                <w:sz w:val="17"/>
                <w:szCs w:val="17"/>
                <w:color w:val="auto"/>
              </w:rPr>
            </w:pPr>
          </w:p>
        </w:tc>
      </w:tr>
      <w:tr>
        <w:trPr>
          <w:trHeight w:val="20"/>
        </w:trPr>
        <w:tc>
          <w:tcPr>
            <w:tcW w:w="5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-779145</wp:posOffset>
            </wp:positionV>
            <wp:extent cx="774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-779145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-779145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-779145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-496570</wp:posOffset>
            </wp:positionV>
            <wp:extent cx="774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-496570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-496570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-187960</wp:posOffset>
            </wp:positionV>
            <wp:extent cx="774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-170815</wp:posOffset>
            </wp:positionV>
            <wp:extent cx="774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-187960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-170815</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-187960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-170815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Stephanie Ascher</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Stern Investor Relations, Inc.</w:t>
      </w:r>
    </w:p>
    <w:p>
      <w:pPr>
        <w:spacing w:after="0" w:line="234" w:lineRule="auto"/>
        <w:rPr>
          <w:sz w:val="20"/>
          <w:szCs w:val="20"/>
          <w:color w:val="auto"/>
        </w:rPr>
      </w:pPr>
      <w:r>
        <w:rPr>
          <w:rFonts w:ascii="Times New Roman" w:cs="Times New Roman" w:eastAsia="Times New Roman" w:hAnsi="Times New Roman"/>
          <w:sz w:val="18"/>
          <w:szCs w:val="18"/>
          <w:color w:val="auto"/>
        </w:rPr>
        <w:t>stephanie.ascher@sternir.com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212-362-1200</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 Smith</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Director, Corporate Communications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Fulcrum Therapeutics, Inc.</w:t>
      </w:r>
    </w:p>
    <w:p>
      <w:pPr>
        <w:spacing w:after="0" w:line="234" w:lineRule="auto"/>
        <w:rPr>
          <w:sz w:val="20"/>
          <w:szCs w:val="20"/>
          <w:color w:val="auto"/>
        </w:rPr>
      </w:pPr>
      <w:r>
        <w:rPr>
          <w:rFonts w:ascii="Times New Roman" w:cs="Times New Roman" w:eastAsia="Times New Roman" w:hAnsi="Times New Roman"/>
          <w:sz w:val="18"/>
          <w:szCs w:val="18"/>
          <w:color w:val="auto"/>
        </w:rPr>
        <w:t>dsmith@fulcrumtx.com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202-746-1324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Letter"/>
      <w:start w:val="4"/>
    </w:lvl>
  </w:abstractNum>
  <w:abstractNum w:abstractNumId="2">
    <w:nsid w:val="507ED7AB"/>
    <w:multiLevelType w:val="hybridMultilevel"/>
    <w:lvl w:ilvl="0">
      <w:lvlJc w:val="left"/>
      <w:lvlText w:val="\endash "/>
      <w:numFmt w:val="bullet"/>
      <w:start w:val="1"/>
    </w:lvl>
    <w:lvl w:ilvl="1">
      <w:lvlJc w:val="left"/>
      <w:lvlText w:val="\endash "/>
      <w:numFmt w:val="bullet"/>
      <w:start w:val="1"/>
    </w:lvl>
    <w:lvl w:ilvl="2">
      <w:lvlJc w:val="left"/>
      <w:lvlText w:val="\endash "/>
      <w:numFmt w:val="bullet"/>
      <w:start w:val="1"/>
    </w:lvl>
    <w:lvl w:ilvl="3">
      <w:lvlJc w:val="left"/>
      <w:lvlText w:val="\endash "/>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2022-08-11T06:10:55Z</dcterms:created>
  <dcterms:modified xsi:type="dcterms:W3CDTF">2022-08-11T06:10:55Z</dcterms:modified>
</cp:coreProperties>
</file>