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60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02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Cadavid Diego</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115"/>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06/02/2020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tbl>
      <w:tblPr>
        <w:tblLayout w:type="fixed"/>
        <w:tblInd w:w="185"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SVP Clinical Development</w:t>
      </w:r>
    </w:p>
    <w:p>
      <w:pPr>
        <w:spacing w:after="0" w:line="391"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2"/>
          </w:tcPr>
          <w:p>
            <w:pPr>
              <w:ind w:left="4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160" w:type="dxa"/>
            <w:vAlign w:val="bottom"/>
            <w:gridSpan w:val="11"/>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1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180" w:type="dxa"/>
            <w:vAlign w:val="bottom"/>
            <w:tcBorders>
              <w:bottom w:val="single" w:sz="8" w:color="2C2C2C"/>
            </w:tcBorders>
            <w:gridSpan w:val="8"/>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37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70"/>
              <w:spacing w:after="0"/>
              <w:rPr>
                <w:sz w:val="20"/>
                <w:szCs w:val="20"/>
                <w:color w:val="auto"/>
              </w:rPr>
            </w:pPr>
            <w:r>
              <w:rPr>
                <w:rFonts w:ascii="Arial" w:cs="Arial" w:eastAsia="Arial" w:hAnsi="Arial"/>
                <w:sz w:val="17"/>
                <w:szCs w:val="17"/>
                <w:color w:val="0000FF"/>
                <w:w w:val="89"/>
              </w:rPr>
              <w:t>06/02/2020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45</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4.83</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66,830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70"/>
              <w:spacing w:after="0"/>
              <w:rPr>
                <w:sz w:val="20"/>
                <w:szCs w:val="20"/>
                <w:color w:val="auto"/>
              </w:rPr>
            </w:pPr>
            <w:r>
              <w:rPr>
                <w:rFonts w:ascii="Arial" w:cs="Arial" w:eastAsia="Arial" w:hAnsi="Arial"/>
                <w:sz w:val="17"/>
                <w:szCs w:val="17"/>
                <w:color w:val="0000FF"/>
                <w:w w:val="89"/>
              </w:rPr>
              <w:t>06/02/2020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45</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20</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66,785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70"/>
              <w:spacing w:after="0"/>
              <w:rPr>
                <w:sz w:val="20"/>
                <w:szCs w:val="20"/>
                <w:color w:val="auto"/>
              </w:rPr>
            </w:pPr>
            <w:r>
              <w:rPr>
                <w:rFonts w:ascii="Arial" w:cs="Arial" w:eastAsia="Arial" w:hAnsi="Arial"/>
                <w:sz w:val="17"/>
                <w:szCs w:val="17"/>
                <w:color w:val="0000FF"/>
                <w:w w:val="89"/>
              </w:rPr>
              <w:t>06/03/2020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338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4.83</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67,123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70"/>
              <w:spacing w:after="0"/>
              <w:rPr>
                <w:sz w:val="20"/>
                <w:szCs w:val="20"/>
                <w:color w:val="auto"/>
              </w:rPr>
            </w:pPr>
            <w:r>
              <w:rPr>
                <w:rFonts w:ascii="Arial" w:cs="Arial" w:eastAsia="Arial" w:hAnsi="Arial"/>
                <w:sz w:val="17"/>
                <w:szCs w:val="17"/>
                <w:color w:val="0000FF"/>
                <w:w w:val="89"/>
              </w:rPr>
              <w:t>06/03/2020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338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20.1763</w:t>
            </w:r>
            <w:r>
              <w:rPr>
                <w:rFonts w:ascii="Arial" w:cs="Arial" w:eastAsia="Arial" w:hAnsi="Arial"/>
                <w:sz w:val="21"/>
                <w:szCs w:val="21"/>
                <w:color w:val="008000"/>
                <w:w w:val="86"/>
                <w:vertAlign w:val="superscript"/>
              </w:rPr>
              <w:t>(2)</w:t>
            </w:r>
          </w:p>
        </w:tc>
        <w:tc>
          <w:tcPr>
            <w:tcW w:w="12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66,785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80" w:type="dxa"/>
            <w:vAlign w:val="bottom"/>
            <w:gridSpan w:val="9"/>
          </w:tcPr>
          <w:p>
            <w:pPr>
              <w:jc w:val="center"/>
              <w:ind w:left="5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4.83</w:t>
            </w:r>
          </w:p>
        </w:tc>
        <w:tc>
          <w:tcPr>
            <w:tcW w:w="1040" w:type="dxa"/>
            <w:vAlign w:val="bottom"/>
            <w:vMerge w:val="restart"/>
          </w:tcPr>
          <w:p>
            <w:pPr>
              <w:jc w:val="right"/>
              <w:ind w:right="132"/>
              <w:spacing w:after="0"/>
              <w:rPr>
                <w:sz w:val="20"/>
                <w:szCs w:val="20"/>
                <w:color w:val="auto"/>
              </w:rPr>
            </w:pPr>
            <w:r>
              <w:rPr>
                <w:rFonts w:ascii="Arial" w:cs="Arial" w:eastAsia="Arial" w:hAnsi="Arial"/>
                <w:sz w:val="13"/>
                <w:szCs w:val="13"/>
                <w:color w:val="0000FF"/>
              </w:rPr>
              <w:t>06/02/2020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ind w:left="20"/>
              <w:spacing w:after="0" w:line="270"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660" w:type="dxa"/>
            <w:vAlign w:val="bottom"/>
            <w:vMerge w:val="restart"/>
          </w:tcPr>
          <w:p>
            <w:pPr>
              <w:jc w:val="right"/>
              <w:ind w:right="20"/>
              <w:spacing w:after="0"/>
              <w:rPr>
                <w:sz w:val="20"/>
                <w:szCs w:val="20"/>
                <w:color w:val="auto"/>
              </w:rPr>
            </w:pPr>
            <w:r>
              <w:rPr>
                <w:rFonts w:ascii="Arial" w:cs="Arial" w:eastAsia="Arial" w:hAnsi="Arial"/>
                <w:sz w:val="13"/>
                <w:szCs w:val="13"/>
                <w:color w:val="0000FF"/>
              </w:rPr>
              <w:t>45</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89"/>
              </w:rPr>
              <w:t>07/10/2028</w:t>
            </w:r>
          </w:p>
        </w:tc>
        <w:tc>
          <w:tcPr>
            <w:tcW w:w="560" w:type="dxa"/>
            <w:vAlign w:val="bottom"/>
          </w:tcPr>
          <w:p>
            <w:pPr>
              <w:ind w:left="60"/>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restart"/>
          </w:tcPr>
          <w:p>
            <w:pPr>
              <w:jc w:val="right"/>
              <w:ind w:right="109"/>
              <w:spacing w:after="0"/>
              <w:rPr>
                <w:sz w:val="20"/>
                <w:szCs w:val="20"/>
                <w:color w:val="auto"/>
              </w:rPr>
            </w:pPr>
            <w:r>
              <w:rPr>
                <w:rFonts w:ascii="Arial" w:cs="Arial" w:eastAsia="Arial" w:hAnsi="Arial"/>
                <w:sz w:val="17"/>
                <w:szCs w:val="17"/>
                <w:color w:val="0000FF"/>
              </w:rPr>
              <w:t>45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15,152</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4.83</w:t>
            </w:r>
          </w:p>
        </w:tc>
        <w:tc>
          <w:tcPr>
            <w:tcW w:w="1040" w:type="dxa"/>
            <w:vAlign w:val="bottom"/>
            <w:vMerge w:val="restart"/>
          </w:tcPr>
          <w:p>
            <w:pPr>
              <w:jc w:val="right"/>
              <w:ind w:right="132"/>
              <w:spacing w:after="0"/>
              <w:rPr>
                <w:sz w:val="20"/>
                <w:szCs w:val="20"/>
                <w:color w:val="auto"/>
              </w:rPr>
            </w:pPr>
            <w:r>
              <w:rPr>
                <w:rFonts w:ascii="Arial" w:cs="Arial" w:eastAsia="Arial" w:hAnsi="Arial"/>
                <w:sz w:val="13"/>
                <w:szCs w:val="13"/>
                <w:color w:val="0000FF"/>
              </w:rPr>
              <w:t>06/03/2020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ind w:left="20"/>
              <w:spacing w:after="0" w:line="270"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0000FF"/>
              </w:rPr>
              <w:t>338</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89"/>
              </w:rPr>
              <w:t>07/10/2028</w:t>
            </w:r>
          </w:p>
        </w:tc>
        <w:tc>
          <w:tcPr>
            <w:tcW w:w="560" w:type="dxa"/>
            <w:vAlign w:val="bottom"/>
          </w:tcPr>
          <w:p>
            <w:pPr>
              <w:ind w:left="60"/>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restart"/>
          </w:tcPr>
          <w:p>
            <w:pPr>
              <w:jc w:val="right"/>
              <w:ind w:right="69"/>
              <w:spacing w:after="0"/>
              <w:rPr>
                <w:sz w:val="20"/>
                <w:szCs w:val="20"/>
                <w:color w:val="auto"/>
              </w:rPr>
            </w:pPr>
            <w:r>
              <w:rPr>
                <w:rFonts w:ascii="Arial" w:cs="Arial" w:eastAsia="Arial" w:hAnsi="Arial"/>
                <w:sz w:val="17"/>
                <w:szCs w:val="17"/>
                <w:color w:val="0000FF"/>
              </w:rPr>
              <w:t>338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14,814</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-4248150</wp:posOffset>
            </wp:positionV>
            <wp:extent cx="7033260" cy="4388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43884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 adopted by the reporting person on December 19, 2019.</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$20.01 to $20.41,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the option are scheduled to vest in equal quarterly installments from July 16, 2018 through July 15, 2022.</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8"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3"/>
          <w:szCs w:val="33"/>
          <w:color w:val="0000FF"/>
          <w:vertAlign w:val="subscript"/>
        </w:rPr>
        <w:t>06/04/2020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39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Diego Cadavid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106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0680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39"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8713"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2020-06-04T15:17:36Z</dcterms:created>
  <dcterms:modified xsi:type="dcterms:W3CDTF">2020-06-04T15:17:36Z</dcterms:modified>
</cp:coreProperties>
</file>