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spacing w:after="0" w:line="26"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8890</wp:posOffset>
            </wp:positionV>
            <wp:extent cx="288861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5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b w:val="1"/>
          <w:bCs w:val="1"/>
          <w:color w:val="auto"/>
        </w:rPr>
        <w:t>SCHEDULE 13G/A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2113915</wp:posOffset>
            </wp:positionH>
            <wp:positionV relativeFrom="paragraph">
              <wp:posOffset>25400</wp:posOffset>
            </wp:positionV>
            <wp:extent cx="2888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88615" cy="8255"/>
                    </a:xfrm>
                    <a:prstGeom prst="rect">
                      <a:avLst/>
                    </a:prstGeom>
                    <a:noFill/>
                  </pic:spPr>
                </pic:pic>
              </a:graphicData>
            </a:graphic>
          </wp:anchor>
        </w:drawing>
      </w:r>
    </w:p>
    <w:p>
      <w:pPr>
        <w:spacing w:after="0" w:line="281"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Under the Securities Exchange Act of 1934</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(Amendment No. 3)*</w:t>
      </w:r>
    </w:p>
    <w:p>
      <w:pPr>
        <w:spacing w:after="0" w:line="229"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Fulcrum Therapeutics,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(Name of Issuer)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Common Stock, par value $0.001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(Title of Class of Securities)</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359616109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(CUSIP Number)</w:t>
      </w:r>
    </w:p>
    <w:p>
      <w:pPr>
        <w:spacing w:after="0" w:line="214"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December 31,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13970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8"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(Date of event which requires filing of this statement)</w:t>
      </w:r>
    </w:p>
    <w:p>
      <w:pPr>
        <w:spacing w:after="0" w:line="200" w:lineRule="exact"/>
        <w:rPr>
          <w:sz w:val="24"/>
          <w:szCs w:val="24"/>
          <w:color w:val="auto"/>
        </w:rPr>
      </w:pPr>
    </w:p>
    <w:p>
      <w:pPr>
        <w:spacing w:after="0" w:line="24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20"/>
          <w:szCs w:val="20"/>
          <w:color w:val="auto"/>
        </w:rPr>
        <w:t>Check the appropriate box to designate the rule pursuant to which this Schedule 13G is filed:</w:t>
      </w:r>
    </w:p>
    <w:p>
      <w:pPr>
        <w:spacing w:after="0" w:line="229" w:lineRule="exact"/>
        <w:rPr>
          <w:sz w:val="24"/>
          <w:szCs w:val="24"/>
          <w:color w:val="auto"/>
        </w:rPr>
      </w:pPr>
    </w:p>
    <w:p>
      <w:pPr>
        <w:jc w:val="both"/>
        <w:ind w:left="640" w:right="8820" w:hanging="6"/>
        <w:spacing w:after="0" w:line="254" w:lineRule="exact"/>
        <w:tabs>
          <w:tab w:leader="none" w:pos="1022" w:val="left"/>
        </w:tabs>
        <w:numPr>
          <w:ilvl w:val="0"/>
          <w:numId w:val="1"/>
        </w:numPr>
        <w:rPr>
          <w:rFonts w:ascii="MS PGothic" w:cs="MS PGothic" w:eastAsia="MS PGothic" w:hAnsi="MS PGothic"/>
          <w:sz w:val="19"/>
          <w:szCs w:val="19"/>
          <w:color w:val="auto"/>
        </w:rPr>
      </w:pPr>
      <w:r>
        <w:rPr>
          <w:rFonts w:ascii="Times New Roman" w:cs="Times New Roman" w:eastAsia="Times New Roman" w:hAnsi="Times New Roman"/>
          <w:sz w:val="19"/>
          <w:szCs w:val="19"/>
          <w:color w:val="auto"/>
        </w:rPr>
        <w:t xml:space="preserve">Rule 13d-1(b)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13d-1(c) </w:t>
      </w:r>
      <w:r>
        <w:rPr>
          <w:rFonts w:ascii="MS PGothic" w:cs="MS PGothic" w:eastAsia="MS PGothic" w:hAnsi="MS PGothic"/>
          <w:sz w:val="19"/>
          <w:szCs w:val="19"/>
          <w:color w:val="auto"/>
        </w:rPr>
        <w:t>☐</w:t>
      </w:r>
      <w:r>
        <w:rPr>
          <w:rFonts w:ascii="Times New Roman" w:cs="Times New Roman" w:eastAsia="Times New Roman" w:hAnsi="Times New Roman"/>
          <w:sz w:val="19"/>
          <w:szCs w:val="19"/>
          <w:color w:val="auto"/>
        </w:rPr>
        <w:t xml:space="preserve"> Rule 13d-1(d)</w:t>
      </w:r>
    </w:p>
    <w:p>
      <w:pPr>
        <w:spacing w:after="0" w:line="170" w:lineRule="exact"/>
        <w:rPr>
          <w:sz w:val="24"/>
          <w:szCs w:val="24"/>
          <w:color w:val="auto"/>
        </w:rPr>
      </w:pPr>
    </w:p>
    <w:p>
      <w:pPr>
        <w:jc w:val="center"/>
        <w:ind w:right="-279"/>
        <w:spacing w:after="0"/>
        <w:rPr>
          <w:sz w:val="20"/>
          <w:szCs w:val="20"/>
          <w:color w:val="auto"/>
        </w:rPr>
      </w:pPr>
      <w:r>
        <w:rPr>
          <w:rFonts w:ascii="Times New Roman" w:cs="Times New Roman" w:eastAsia="Times New Roman" w:hAnsi="Times New Roman"/>
          <w:sz w:val="20"/>
          <w:szCs w:val="20"/>
          <w:color w:val="auto"/>
        </w:rPr>
        <w:t>(Page 1 of 7 Pages)</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______________________________</w:t>
      </w:r>
    </w:p>
    <w:p>
      <w:pPr>
        <w:spacing w:after="0" w:line="22" w:lineRule="exact"/>
        <w:rPr>
          <w:sz w:val="24"/>
          <w:szCs w:val="24"/>
          <w:color w:val="auto"/>
        </w:rPr>
      </w:pPr>
    </w:p>
    <w:p>
      <w:pPr>
        <w:jc w:val="both"/>
        <w:ind w:right="80" w:firstLine="661"/>
        <w:spacing w:after="0" w:line="242" w:lineRule="auto"/>
        <w:tabs>
          <w:tab w:leader="none" w:pos="802" w:val="left"/>
        </w:tabs>
        <w:numPr>
          <w:ilvl w:val="0"/>
          <w:numId w:val="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79" w:lineRule="exact"/>
        <w:rPr>
          <w:sz w:val="24"/>
          <w:szCs w:val="24"/>
          <w:color w:val="auto"/>
        </w:rPr>
      </w:pPr>
    </w:p>
    <w:p>
      <w:pPr>
        <w:jc w:val="both"/>
        <w:ind w:firstLine="653"/>
        <w:spacing w:after="0" w:line="254" w:lineRule="auto"/>
        <w:rPr>
          <w:sz w:val="20"/>
          <w:szCs w:val="20"/>
          <w:color w:val="auto"/>
        </w:rPr>
      </w:pPr>
      <w:r>
        <w:rPr>
          <w:rFonts w:ascii="Times New Roman" w:cs="Times New Roman" w:eastAsia="Times New Roman" w:hAnsi="Times New Roman"/>
          <w:sz w:val="20"/>
          <w:szCs w:val="20"/>
          <w:color w:val="auto"/>
        </w:rPr>
        <w:t>The information required in the remainder of this cover page shall not be deemed to be "filed" for the purpose of Section 18 of the Securities Exchange Act of 1934 (the "Act") or otherwise subject to the liabilities of that section of the Act but shall be subject to all other provisions of the Act (however, see the Notes).</w:t>
      </w:r>
    </w:p>
    <w:p>
      <w:pPr>
        <w:sectPr>
          <w:pgSz w:w="11900" w:h="16838" w:orient="portrait"/>
          <w:cols w:equalWidth="0" w:num="1">
            <w:col w:w="10960"/>
          </w:cols>
          <w:pgMar w:left="320" w:top="302" w:right="619" w:bottom="1440" w:gutter="0" w:footer="0" w:header="0"/>
        </w:sectPr>
      </w:pPr>
    </w:p>
    <w:bookmarkStart w:id="1" w:name="page2"/>
    <w:bookmarkEnd w:id="1"/>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2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RTW Investments, LP</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3"/>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4"/>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w w:val="99"/>
              </w:rPr>
              <w:t>Delaware</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PN, IA</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5"/>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2" w:name="page3"/>
    <w:bookmarkEnd w:id="2"/>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3 of 7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234315</wp:posOffset>
            </wp:positionV>
            <wp:extent cx="7132320" cy="46202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620260"/>
                    </a:xfrm>
                    <a:prstGeom prst="rect">
                      <a:avLst/>
                    </a:prstGeom>
                    <a:noFill/>
                  </pic:spPr>
                </pic:pic>
              </a:graphicData>
            </a:graphic>
          </wp:anchor>
        </w:drawing>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12" w:lineRule="exact"/>
        <w:rPr>
          <w:sz w:val="20"/>
          <w:szCs w:val="20"/>
          <w:color w:val="auto"/>
        </w:rPr>
      </w:pPr>
    </w:p>
    <w:tbl>
      <w:tblPr>
        <w:tblLayout w:type="fixed"/>
        <w:tblInd w:w="740" w:type="dxa"/>
        <w:tblCellMar>
          <w:top w:w="0" w:type="dxa"/>
          <w:left w:w="0" w:type="dxa"/>
          <w:bottom w:w="0" w:type="dxa"/>
          <w:right w:w="0" w:type="dxa"/>
        </w:tblCellMar>
      </w:tblPr>
      <w:tr>
        <w:trPr>
          <w:trHeight w:val="204"/>
        </w:trPr>
        <w:tc>
          <w:tcPr>
            <w:tcW w:w="560" w:type="dxa"/>
            <w:vAlign w:val="bottom"/>
            <w:vMerge w:val="restart"/>
          </w:tcPr>
          <w:p>
            <w:pPr>
              <w:jc w:val="right"/>
              <w:ind w:right="276"/>
              <w:spacing w:after="0"/>
              <w:rPr>
                <w:sz w:val="20"/>
                <w:szCs w:val="20"/>
                <w:color w:val="auto"/>
              </w:rPr>
            </w:pPr>
            <w:r>
              <w:rPr>
                <w:rFonts w:ascii="Times New Roman" w:cs="Times New Roman" w:eastAsia="Times New Roman" w:hAnsi="Times New Roman"/>
                <w:sz w:val="29"/>
                <w:szCs w:val="29"/>
                <w:b w:val="1"/>
                <w:bCs w:val="1"/>
                <w:color w:val="auto"/>
                <w:w w:val="82"/>
              </w:rPr>
              <w:t>1</w:t>
            </w:r>
          </w:p>
        </w:tc>
        <w:tc>
          <w:tcPr>
            <w:tcW w:w="2920" w:type="dxa"/>
            <w:vAlign w:val="bottom"/>
          </w:tcPr>
          <w:p>
            <w:pPr>
              <w:ind w:left="400"/>
              <w:spacing w:after="0"/>
              <w:rPr>
                <w:sz w:val="20"/>
                <w:szCs w:val="20"/>
                <w:color w:val="auto"/>
              </w:rPr>
            </w:pPr>
            <w:r>
              <w:rPr>
                <w:rFonts w:ascii="Times New Roman" w:cs="Times New Roman" w:eastAsia="Times New Roman" w:hAnsi="Times New Roman"/>
                <w:sz w:val="16"/>
                <w:szCs w:val="16"/>
                <w:color w:val="auto"/>
              </w:rPr>
              <w:t>NAMES OF REPORTING PERSONS</w:t>
            </w:r>
          </w:p>
        </w:tc>
        <w:tc>
          <w:tcPr>
            <w:tcW w:w="0" w:type="dxa"/>
            <w:vAlign w:val="bottom"/>
          </w:tcPr>
          <w:p>
            <w:pPr>
              <w:spacing w:after="0"/>
              <w:rPr>
                <w:sz w:val="1"/>
                <w:szCs w:val="1"/>
                <w:color w:val="auto"/>
              </w:rPr>
            </w:pPr>
          </w:p>
        </w:tc>
      </w:tr>
      <w:tr>
        <w:trPr>
          <w:trHeight w:val="178"/>
        </w:trPr>
        <w:tc>
          <w:tcPr>
            <w:tcW w:w="560" w:type="dxa"/>
            <w:vAlign w:val="bottom"/>
            <w:vMerge w:val="continue"/>
          </w:tcPr>
          <w:p>
            <w:pPr>
              <w:spacing w:after="0"/>
              <w:rPr>
                <w:sz w:val="15"/>
                <w:szCs w:val="15"/>
                <w:color w:val="auto"/>
              </w:rPr>
            </w:pPr>
          </w:p>
        </w:tc>
        <w:tc>
          <w:tcPr>
            <w:tcW w:w="2920" w:type="dxa"/>
            <w:vAlign w:val="bottom"/>
            <w:vMerge w:val="restart"/>
          </w:tcPr>
          <w:p>
            <w:pPr>
              <w:ind w:left="740"/>
              <w:spacing w:after="0"/>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80"/>
        </w:trPr>
        <w:tc>
          <w:tcPr>
            <w:tcW w:w="56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ind w:left="1700" w:hanging="967"/>
        <w:spacing w:after="0" w:line="181" w:lineRule="auto"/>
        <w:tabs>
          <w:tab w:leader="none" w:pos="1700" w:val="left"/>
        </w:tabs>
        <w:numPr>
          <w:ilvl w:val="0"/>
          <w:numId w:val="6"/>
        </w:numPr>
        <w:rPr>
          <w:rFonts w:ascii="Times New Roman" w:cs="Times New Roman" w:eastAsia="Times New Roman" w:hAnsi="Times New Roman"/>
          <w:sz w:val="42"/>
          <w:szCs w:val="42"/>
          <w:b w:val="1"/>
          <w:bCs w:val="1"/>
          <w:color w:val="auto"/>
          <w:vertAlign w:val="subscript"/>
        </w:rPr>
      </w:pPr>
      <w:r>
        <w:rPr>
          <w:rFonts w:ascii="Times New Roman" w:cs="Times New Roman" w:eastAsia="Times New Roman" w:hAnsi="Times New Roman"/>
          <w:sz w:val="14"/>
          <w:szCs w:val="14"/>
          <w:color w:val="auto"/>
        </w:rPr>
        <w:t>CHECK THE APPROPRIATE BOX IF A MEMBER OF A GROUP</w:t>
      </w:r>
    </w:p>
    <w:p>
      <w:pPr>
        <w:spacing w:after="0" w:line="77" w:lineRule="exact"/>
        <w:rPr>
          <w:sz w:val="20"/>
          <w:szCs w:val="20"/>
          <w:color w:val="auto"/>
        </w:rPr>
      </w:pPr>
    </w:p>
    <w:p>
      <w:pPr>
        <w:ind w:left="1700" w:hanging="967"/>
        <w:spacing w:after="0"/>
        <w:tabs>
          <w:tab w:leader="none" w:pos="1700" w:val="left"/>
        </w:tabs>
        <w:numPr>
          <w:ilvl w:val="0"/>
          <w:numId w:val="7"/>
        </w:numPr>
        <w:rPr>
          <w:rFonts w:ascii="Times New Roman" w:cs="Times New Roman" w:eastAsia="Times New Roman" w:hAnsi="Times New Roman"/>
          <w:sz w:val="58"/>
          <w:szCs w:val="58"/>
          <w:b w:val="1"/>
          <w:bCs w:val="1"/>
          <w:color w:val="auto"/>
          <w:vertAlign w:val="subscript"/>
        </w:rPr>
      </w:pPr>
      <w:r>
        <w:rPr>
          <w:rFonts w:ascii="Times New Roman" w:cs="Times New Roman" w:eastAsia="Times New Roman" w:hAnsi="Times New Roman"/>
          <w:sz w:val="16"/>
          <w:szCs w:val="16"/>
          <w:color w:val="auto"/>
        </w:rPr>
        <w:t>SEC USE ONLY</w:t>
      </w:r>
    </w:p>
    <w:p>
      <w:pPr>
        <w:spacing w:after="0" w:line="305" w:lineRule="exact"/>
        <w:rPr>
          <w:sz w:val="20"/>
          <w:szCs w:val="20"/>
          <w:color w:val="auto"/>
        </w:rPr>
      </w:pPr>
    </w:p>
    <w:tbl>
      <w:tblPr>
        <w:tblLayout w:type="fixed"/>
        <w:tblInd w:w="240" w:type="dxa"/>
        <w:tblCellMar>
          <w:top w:w="0" w:type="dxa"/>
          <w:left w:w="0" w:type="dxa"/>
          <w:bottom w:w="0" w:type="dxa"/>
          <w:right w:w="0" w:type="dxa"/>
        </w:tblCellMar>
      </w:tblPr>
      <w:tr>
        <w:trPr>
          <w:trHeight w:val="204"/>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4</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CITIZENSHIP OR PLACE OF ORGANIZATION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United States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2"/>
        </w:trPr>
        <w:tc>
          <w:tcPr>
            <w:tcW w:w="1300" w:type="dxa"/>
            <w:vAlign w:val="bottom"/>
          </w:tcPr>
          <w:p>
            <w:pPr>
              <w:spacing w:after="0"/>
              <w:rPr>
                <w:sz w:val="8"/>
                <w:szCs w:val="8"/>
                <w:color w:val="auto"/>
              </w:rPr>
            </w:pP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5</w:t>
            </w:r>
          </w:p>
        </w:tc>
        <w:tc>
          <w:tcPr>
            <w:tcW w:w="20" w:type="dxa"/>
            <w:vAlign w:val="bottom"/>
          </w:tcPr>
          <w:p>
            <w:pPr>
              <w:spacing w:after="0"/>
              <w:rPr>
                <w:sz w:val="8"/>
                <w:szCs w:val="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VOTING POWER</w:t>
            </w:r>
          </w:p>
        </w:tc>
        <w:tc>
          <w:tcPr>
            <w:tcW w:w="0" w:type="dxa"/>
            <w:vAlign w:val="bottom"/>
          </w:tcPr>
          <w:p>
            <w:pPr>
              <w:spacing w:after="0"/>
              <w:rPr>
                <w:sz w:val="1"/>
                <w:szCs w:val="1"/>
                <w:color w:val="auto"/>
              </w:rPr>
            </w:pPr>
          </w:p>
        </w:tc>
      </w:tr>
      <w:tr>
        <w:trPr>
          <w:trHeight w:val="247"/>
        </w:trPr>
        <w:tc>
          <w:tcPr>
            <w:tcW w:w="1300" w:type="dxa"/>
            <w:vAlign w:val="bottom"/>
          </w:tcPr>
          <w:p>
            <w:pPr>
              <w:spacing w:after="0"/>
              <w:rPr>
                <w:sz w:val="21"/>
                <w:szCs w:val="21"/>
                <w:color w:val="auto"/>
              </w:rPr>
            </w:pPr>
          </w:p>
        </w:tc>
        <w:tc>
          <w:tcPr>
            <w:tcW w:w="1280" w:type="dxa"/>
            <w:vAlign w:val="bottom"/>
            <w:vMerge w:val="continue"/>
          </w:tcPr>
          <w:p>
            <w:pPr>
              <w:spacing w:after="0"/>
              <w:rPr>
                <w:sz w:val="21"/>
                <w:szCs w:val="21"/>
                <w:color w:val="auto"/>
              </w:rPr>
            </w:pPr>
          </w:p>
        </w:tc>
        <w:tc>
          <w:tcPr>
            <w:tcW w:w="20" w:type="dxa"/>
            <w:vAlign w:val="bottom"/>
            <w:shd w:val="clear" w:color="auto" w:fill="000000"/>
          </w:tcPr>
          <w:p>
            <w:pPr>
              <w:spacing w:after="0"/>
              <w:rPr>
                <w:sz w:val="21"/>
                <w:szCs w:val="21"/>
                <w:color w:val="auto"/>
              </w:rPr>
            </w:pPr>
          </w:p>
        </w:tc>
        <w:tc>
          <w:tcPr>
            <w:tcW w:w="52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NUMBER OF</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6</w:t>
            </w:r>
          </w:p>
        </w:tc>
        <w:tc>
          <w:tcPr>
            <w:tcW w:w="20" w:type="dxa"/>
            <w:vAlign w:val="bottom"/>
            <w:shd w:val="clear" w:color="auto" w:fill="000000"/>
          </w:tcPr>
          <w:p>
            <w:pPr>
              <w:spacing w:after="0"/>
              <w:rPr>
                <w:sz w:val="19"/>
                <w:szCs w:val="19"/>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VOTING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16"/>
                <w:szCs w:val="16"/>
                <w:color w:val="auto"/>
              </w:rPr>
              <w:t>SHARES</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w w:val="99"/>
              </w:rPr>
              <w:t>BENEFICIALLY</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OWNED BY</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7</w:t>
            </w:r>
          </w:p>
        </w:tc>
        <w:tc>
          <w:tcPr>
            <w:tcW w:w="20" w:type="dxa"/>
            <w:vAlign w:val="bottom"/>
            <w:shd w:val="clear" w:color="auto" w:fill="000000"/>
          </w:tcPr>
          <w:p>
            <w:pPr>
              <w:spacing w:after="0"/>
              <w:rPr>
                <w:sz w:val="17"/>
                <w:szCs w:val="17"/>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SOLE DISPOSITIVE POWER</w:t>
            </w:r>
          </w:p>
        </w:tc>
        <w:tc>
          <w:tcPr>
            <w:tcW w:w="0" w:type="dxa"/>
            <w:vAlign w:val="bottom"/>
          </w:tcPr>
          <w:p>
            <w:pPr>
              <w:spacing w:after="0"/>
              <w:rPr>
                <w:sz w:val="1"/>
                <w:szCs w:val="1"/>
                <w:color w:val="auto"/>
              </w:rPr>
            </w:pPr>
          </w:p>
        </w:tc>
      </w:tr>
      <w:tr>
        <w:trPr>
          <w:trHeight w:val="12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16"/>
                <w:szCs w:val="16"/>
                <w:color w:val="auto"/>
              </w:rPr>
              <w:t>EACH</w:t>
            </w: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1300" w:type="dxa"/>
            <w:vAlign w:val="bottom"/>
            <w:vMerge w:val="continue"/>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- 0 -</w:t>
            </w:r>
          </w:p>
        </w:tc>
        <w:tc>
          <w:tcPr>
            <w:tcW w:w="0" w:type="dxa"/>
            <w:vAlign w:val="bottom"/>
          </w:tcPr>
          <w:p>
            <w:pPr>
              <w:spacing w:after="0"/>
              <w:rPr>
                <w:sz w:val="1"/>
                <w:szCs w:val="1"/>
                <w:color w:val="auto"/>
              </w:rPr>
            </w:pPr>
          </w:p>
        </w:tc>
      </w:tr>
      <w:tr>
        <w:trPr>
          <w:trHeight w:val="203"/>
        </w:trPr>
        <w:tc>
          <w:tcPr>
            <w:tcW w:w="1300" w:type="dxa"/>
            <w:vAlign w:val="bottom"/>
          </w:tcPr>
          <w:p>
            <w:pPr>
              <w:jc w:val="center"/>
              <w:ind w:right="53"/>
              <w:spacing w:after="0"/>
              <w:rPr>
                <w:sz w:val="20"/>
                <w:szCs w:val="20"/>
                <w:color w:val="auto"/>
              </w:rPr>
            </w:pPr>
            <w:r>
              <w:rPr>
                <w:rFonts w:ascii="Times New Roman" w:cs="Times New Roman" w:eastAsia="Times New Roman" w:hAnsi="Times New Roman"/>
                <w:sz w:val="16"/>
                <w:szCs w:val="16"/>
                <w:color w:val="auto"/>
              </w:rPr>
              <w:t>REPORTING</w:t>
            </w:r>
          </w:p>
        </w:tc>
        <w:tc>
          <w:tcPr>
            <w:tcW w:w="1280" w:type="dxa"/>
            <w:vAlign w:val="bottom"/>
          </w:tcPr>
          <w:p>
            <w:pPr>
              <w:spacing w:after="0"/>
              <w:rPr>
                <w:sz w:val="17"/>
                <w:szCs w:val="17"/>
                <w:color w:val="auto"/>
              </w:rPr>
            </w:pPr>
          </w:p>
        </w:tc>
        <w:tc>
          <w:tcPr>
            <w:tcW w:w="20" w:type="dxa"/>
            <w:vAlign w:val="bottom"/>
            <w:shd w:val="clear" w:color="auto" w:fill="000000"/>
          </w:tcPr>
          <w:p>
            <w:pPr>
              <w:spacing w:after="0"/>
              <w:rPr>
                <w:sz w:val="17"/>
                <w:szCs w:val="17"/>
                <w:color w:val="auto"/>
              </w:rPr>
            </w:pPr>
          </w:p>
        </w:tc>
        <w:tc>
          <w:tcPr>
            <w:tcW w:w="52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1300" w:type="dxa"/>
            <w:vAlign w:val="bottom"/>
          </w:tcPr>
          <w:p>
            <w:pPr>
              <w:jc w:val="center"/>
              <w:ind w:right="73"/>
              <w:spacing w:after="0"/>
              <w:rPr>
                <w:sz w:val="20"/>
                <w:szCs w:val="20"/>
                <w:color w:val="auto"/>
              </w:rPr>
            </w:pPr>
            <w:r>
              <w:rPr>
                <w:rFonts w:ascii="Times New Roman" w:cs="Times New Roman" w:eastAsia="Times New Roman" w:hAnsi="Times New Roman"/>
                <w:sz w:val="16"/>
                <w:szCs w:val="16"/>
                <w:color w:val="auto"/>
              </w:rPr>
              <w:t>PERSON WITH</w:t>
            </w:r>
          </w:p>
        </w:tc>
        <w:tc>
          <w:tcPr>
            <w:tcW w:w="1280" w:type="dxa"/>
            <w:vAlign w:val="bottom"/>
            <w:vMerge w:val="restart"/>
          </w:tcPr>
          <w:p>
            <w:pPr>
              <w:jc w:val="right"/>
              <w:ind w:right="434"/>
              <w:spacing w:after="0"/>
              <w:rPr>
                <w:sz w:val="20"/>
                <w:szCs w:val="20"/>
                <w:color w:val="auto"/>
              </w:rPr>
            </w:pPr>
            <w:r>
              <w:rPr>
                <w:rFonts w:ascii="Times New Roman" w:cs="Times New Roman" w:eastAsia="Times New Roman" w:hAnsi="Times New Roman"/>
                <w:sz w:val="29"/>
                <w:szCs w:val="29"/>
                <w:b w:val="1"/>
                <w:bCs w:val="1"/>
                <w:color w:val="auto"/>
              </w:rPr>
              <w:t>8</w:t>
            </w:r>
          </w:p>
        </w:tc>
        <w:tc>
          <w:tcPr>
            <w:tcW w:w="20" w:type="dxa"/>
            <w:vAlign w:val="bottom"/>
            <w:shd w:val="clear" w:color="auto" w:fill="000000"/>
          </w:tcPr>
          <w:p>
            <w:pPr>
              <w:spacing w:after="0"/>
              <w:rPr>
                <w:sz w:val="18"/>
                <w:szCs w:val="18"/>
                <w:color w:val="auto"/>
              </w:rPr>
            </w:pPr>
          </w:p>
        </w:tc>
        <w:tc>
          <w:tcPr>
            <w:tcW w:w="5240" w:type="dxa"/>
            <w:vAlign w:val="bottom"/>
            <w:vMerge w:val="restart"/>
          </w:tcPr>
          <w:p>
            <w:pPr>
              <w:ind w:left="120"/>
              <w:spacing w:after="0"/>
              <w:rPr>
                <w:sz w:val="20"/>
                <w:szCs w:val="20"/>
                <w:color w:val="auto"/>
              </w:rPr>
            </w:pPr>
            <w:r>
              <w:rPr>
                <w:rFonts w:ascii="Times New Roman" w:cs="Times New Roman" w:eastAsia="Times New Roman" w:hAnsi="Times New Roman"/>
                <w:sz w:val="16"/>
                <w:szCs w:val="16"/>
                <w:color w:val="auto"/>
              </w:rPr>
              <w:t>SHARED DISPOSITIVE POWER</w:t>
            </w:r>
          </w:p>
        </w:tc>
        <w:tc>
          <w:tcPr>
            <w:tcW w:w="0" w:type="dxa"/>
            <w:vAlign w:val="bottom"/>
          </w:tcPr>
          <w:p>
            <w:pPr>
              <w:spacing w:after="0"/>
              <w:rPr>
                <w:sz w:val="1"/>
                <w:szCs w:val="1"/>
                <w:color w:val="auto"/>
              </w:rPr>
            </w:pPr>
          </w:p>
        </w:tc>
      </w:tr>
      <w:tr>
        <w:trPr>
          <w:trHeight w:val="118"/>
        </w:trPr>
        <w:tc>
          <w:tcPr>
            <w:tcW w:w="13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8"/>
        </w:trPr>
        <w:tc>
          <w:tcPr>
            <w:tcW w:w="1300" w:type="dxa"/>
            <w:vAlign w:val="bottom"/>
          </w:tcPr>
          <w:p>
            <w:pPr>
              <w:spacing w:after="0"/>
              <w:rPr>
                <w:sz w:val="15"/>
                <w:szCs w:val="15"/>
                <w:color w:val="auto"/>
              </w:rPr>
            </w:pPr>
          </w:p>
        </w:tc>
        <w:tc>
          <w:tcPr>
            <w:tcW w:w="1280" w:type="dxa"/>
            <w:vAlign w:val="bottom"/>
            <w:vMerge w:val="continue"/>
          </w:tcPr>
          <w:p>
            <w:pPr>
              <w:spacing w:after="0"/>
              <w:rPr>
                <w:sz w:val="15"/>
                <w:szCs w:val="15"/>
                <w:color w:val="auto"/>
              </w:rPr>
            </w:pPr>
          </w:p>
        </w:tc>
        <w:tc>
          <w:tcPr>
            <w:tcW w:w="20" w:type="dxa"/>
            <w:vAlign w:val="bottom"/>
            <w:shd w:val="clear" w:color="auto" w:fill="000000"/>
          </w:tcPr>
          <w:p>
            <w:pPr>
              <w:spacing w:after="0"/>
              <w:rPr>
                <w:sz w:val="15"/>
                <w:szCs w:val="15"/>
                <w:color w:val="auto"/>
              </w:rPr>
            </w:pPr>
          </w:p>
        </w:tc>
        <w:tc>
          <w:tcPr>
            <w:tcW w:w="5240" w:type="dxa"/>
            <w:vAlign w:val="bottom"/>
            <w:vMerge w:val="restart"/>
          </w:tcPr>
          <w:p>
            <w:pPr>
              <w:ind w:left="44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tcPr>
          <w:p>
            <w:pPr>
              <w:spacing w:after="0"/>
              <w:rPr>
                <w:sz w:val="6"/>
                <w:szCs w:val="6"/>
                <w:color w:val="auto"/>
              </w:rPr>
            </w:pPr>
          </w:p>
        </w:tc>
        <w:tc>
          <w:tcPr>
            <w:tcW w:w="20" w:type="dxa"/>
            <w:vAlign w:val="bottom"/>
            <w:shd w:val="clear" w:color="auto" w:fill="000000"/>
          </w:tcPr>
          <w:p>
            <w:pPr>
              <w:spacing w:after="0"/>
              <w:rPr>
                <w:sz w:val="6"/>
                <w:szCs w:val="6"/>
                <w:color w:val="auto"/>
              </w:rPr>
            </w:pPr>
          </w:p>
        </w:tc>
        <w:tc>
          <w:tcPr>
            <w:tcW w:w="52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15"/>
        </w:trPr>
        <w:tc>
          <w:tcPr>
            <w:tcW w:w="1300" w:type="dxa"/>
            <w:vAlign w:val="bottom"/>
            <w:vMerge w:val="restart"/>
          </w:tcPr>
          <w:p>
            <w:pPr>
              <w:jc w:val="center"/>
              <w:ind w:right="53"/>
              <w:spacing w:after="0"/>
              <w:rPr>
                <w:sz w:val="20"/>
                <w:szCs w:val="20"/>
                <w:color w:val="auto"/>
              </w:rPr>
            </w:pPr>
            <w:r>
              <w:rPr>
                <w:rFonts w:ascii="Times New Roman" w:cs="Times New Roman" w:eastAsia="Times New Roman" w:hAnsi="Times New Roman"/>
                <w:sz w:val="29"/>
                <w:szCs w:val="29"/>
                <w:b w:val="1"/>
                <w:bCs w:val="1"/>
                <w:color w:val="auto"/>
                <w:w w:val="96"/>
              </w:rPr>
              <w:t>9</w:t>
            </w:r>
          </w:p>
        </w:tc>
        <w:tc>
          <w:tcPr>
            <w:tcW w:w="1280" w:type="dxa"/>
            <w:vAlign w:val="bottom"/>
          </w:tcPr>
          <w:p>
            <w:pPr>
              <w:spacing w:after="0"/>
              <w:rPr>
                <w:sz w:val="10"/>
                <w:szCs w:val="10"/>
                <w:color w:val="auto"/>
              </w:rPr>
            </w:pPr>
          </w:p>
        </w:tc>
        <w:tc>
          <w:tcPr>
            <w:tcW w:w="20" w:type="dxa"/>
            <w:vAlign w:val="bottom"/>
            <w:shd w:val="clear" w:color="auto" w:fill="000000"/>
          </w:tcPr>
          <w:p>
            <w:pPr>
              <w:spacing w:after="0"/>
              <w:rPr>
                <w:sz w:val="10"/>
                <w:szCs w:val="10"/>
                <w:color w:val="auto"/>
              </w:rPr>
            </w:pPr>
          </w:p>
        </w:tc>
        <w:tc>
          <w:tcPr>
            <w:tcW w:w="5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4"/>
        </w:trPr>
        <w:tc>
          <w:tcPr>
            <w:tcW w:w="1300" w:type="dxa"/>
            <w:vAlign w:val="bottom"/>
            <w:vMerge w:val="continue"/>
          </w:tcPr>
          <w:p>
            <w:pPr>
              <w:spacing w:after="0"/>
              <w:rPr>
                <w:sz w:val="20"/>
                <w:szCs w:val="20"/>
                <w:color w:val="auto"/>
              </w:rPr>
            </w:pP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AGGREGATE AMOUNT BENEFICIALLY OWNED BY EACH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6540" w:type="dxa"/>
            <w:vAlign w:val="bottom"/>
            <w:gridSpan w:val="3"/>
            <w:vMerge w:val="restart"/>
          </w:tcPr>
          <w:p>
            <w:pPr>
              <w:ind w:left="500"/>
              <w:spacing w:after="0"/>
              <w:rPr>
                <w:sz w:val="20"/>
                <w:szCs w:val="20"/>
                <w:color w:val="auto"/>
              </w:rPr>
            </w:pPr>
            <w:r>
              <w:rPr>
                <w:rFonts w:ascii="Times New Roman" w:cs="Times New Roman" w:eastAsia="Times New Roman" w:hAnsi="Times New Roman"/>
                <w:sz w:val="20"/>
                <w:szCs w:val="20"/>
                <w:color w:val="auto"/>
              </w:rPr>
              <w:t>4,993,279 Shares</w:t>
            </w: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65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66"/>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10</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CHECK BOX IF THE AGGREGATE AMOUNT IN ROW (9) EXCLUDES CERTAIN SHARES</w:t>
            </w:r>
          </w:p>
        </w:tc>
        <w:tc>
          <w:tcPr>
            <w:tcW w:w="0" w:type="dxa"/>
            <w:vAlign w:val="bottom"/>
          </w:tcPr>
          <w:p>
            <w:pPr>
              <w:spacing w:after="0"/>
              <w:rPr>
                <w:sz w:val="1"/>
                <w:szCs w:val="1"/>
                <w:color w:val="auto"/>
              </w:rPr>
            </w:pPr>
          </w:p>
        </w:tc>
      </w:tr>
      <w:tr>
        <w:trPr>
          <w:trHeight w:val="162"/>
        </w:trPr>
        <w:tc>
          <w:tcPr>
            <w:tcW w:w="1300" w:type="dxa"/>
            <w:vAlign w:val="bottom"/>
            <w:vMerge w:val="continue"/>
          </w:tcPr>
          <w:p>
            <w:pPr>
              <w:spacing w:after="0"/>
              <w:rPr>
                <w:sz w:val="14"/>
                <w:szCs w:val="14"/>
                <w:color w:val="auto"/>
              </w:rPr>
            </w:pPr>
          </w:p>
        </w:tc>
        <w:tc>
          <w:tcPr>
            <w:tcW w:w="1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48"/>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11</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PERCENT OF CLASS REPRESENTED BY AMOUNT IN ROW (9)</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jc w:val="right"/>
              <w:ind w:right="274"/>
              <w:spacing w:after="0"/>
              <w:rPr>
                <w:sz w:val="20"/>
                <w:szCs w:val="20"/>
                <w:color w:val="auto"/>
              </w:rPr>
            </w:pPr>
            <w:r>
              <w:rPr>
                <w:rFonts w:ascii="Times New Roman" w:cs="Times New Roman" w:eastAsia="Times New Roman" w:hAnsi="Times New Roman"/>
                <w:sz w:val="20"/>
                <w:szCs w:val="20"/>
                <w:color w:val="auto"/>
              </w:rPr>
              <w:t>9.6%</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49"/>
        </w:trPr>
        <w:tc>
          <w:tcPr>
            <w:tcW w:w="1300" w:type="dxa"/>
            <w:vAlign w:val="bottom"/>
            <w:vMerge w:val="restart"/>
          </w:tcPr>
          <w:p>
            <w:pPr>
              <w:jc w:val="center"/>
              <w:ind w:right="73"/>
              <w:spacing w:after="0"/>
              <w:rPr>
                <w:sz w:val="20"/>
                <w:szCs w:val="20"/>
                <w:color w:val="auto"/>
              </w:rPr>
            </w:pPr>
            <w:r>
              <w:rPr>
                <w:rFonts w:ascii="Times New Roman" w:cs="Times New Roman" w:eastAsia="Times New Roman" w:hAnsi="Times New Roman"/>
                <w:sz w:val="29"/>
                <w:szCs w:val="29"/>
                <w:b w:val="1"/>
                <w:bCs w:val="1"/>
                <w:color w:val="auto"/>
                <w:w w:val="96"/>
              </w:rPr>
              <w:t>12</w:t>
            </w:r>
          </w:p>
        </w:tc>
        <w:tc>
          <w:tcPr>
            <w:tcW w:w="6540" w:type="dxa"/>
            <w:vAlign w:val="bottom"/>
            <w:gridSpan w:val="3"/>
          </w:tcPr>
          <w:p>
            <w:pPr>
              <w:ind w:left="160"/>
              <w:spacing w:after="0"/>
              <w:rPr>
                <w:sz w:val="20"/>
                <w:szCs w:val="20"/>
                <w:color w:val="auto"/>
              </w:rPr>
            </w:pPr>
            <w:r>
              <w:rPr>
                <w:rFonts w:ascii="Times New Roman" w:cs="Times New Roman" w:eastAsia="Times New Roman" w:hAnsi="Times New Roman"/>
                <w:sz w:val="16"/>
                <w:szCs w:val="16"/>
                <w:color w:val="auto"/>
              </w:rPr>
              <w:t>TYPE OF REPORTING PERSON</w:t>
            </w:r>
          </w:p>
        </w:tc>
        <w:tc>
          <w:tcPr>
            <w:tcW w:w="0" w:type="dxa"/>
            <w:vAlign w:val="bottom"/>
          </w:tcPr>
          <w:p>
            <w:pPr>
              <w:spacing w:after="0"/>
              <w:rPr>
                <w:sz w:val="1"/>
                <w:szCs w:val="1"/>
                <w:color w:val="auto"/>
              </w:rPr>
            </w:pPr>
          </w:p>
        </w:tc>
      </w:tr>
      <w:tr>
        <w:trPr>
          <w:trHeight w:val="178"/>
        </w:trPr>
        <w:tc>
          <w:tcPr>
            <w:tcW w:w="1300" w:type="dxa"/>
            <w:vAlign w:val="bottom"/>
            <w:vMerge w:val="continue"/>
          </w:tcPr>
          <w:p>
            <w:pPr>
              <w:spacing w:after="0"/>
              <w:rPr>
                <w:sz w:val="15"/>
                <w:szCs w:val="15"/>
                <w:color w:val="auto"/>
              </w:rPr>
            </w:pPr>
          </w:p>
        </w:tc>
        <w:tc>
          <w:tcPr>
            <w:tcW w:w="1280" w:type="dxa"/>
            <w:vAlign w:val="bottom"/>
            <w:vMerge w:val="restart"/>
          </w:tcPr>
          <w:p>
            <w:pPr>
              <w:ind w:left="500"/>
              <w:spacing w:after="0"/>
              <w:rPr>
                <w:sz w:val="20"/>
                <w:szCs w:val="20"/>
                <w:color w:val="auto"/>
              </w:rPr>
            </w:pPr>
            <w:r>
              <w:rPr>
                <w:rFonts w:ascii="Times New Roman" w:cs="Times New Roman" w:eastAsia="Times New Roman" w:hAnsi="Times New Roman"/>
                <w:sz w:val="20"/>
                <w:szCs w:val="20"/>
                <w:color w:val="auto"/>
              </w:rPr>
              <w:t>IN, HC</w:t>
            </w:r>
          </w:p>
        </w:tc>
        <w:tc>
          <w:tcPr>
            <w:tcW w:w="20" w:type="dxa"/>
            <w:vAlign w:val="bottom"/>
          </w:tcPr>
          <w:p>
            <w:pPr>
              <w:spacing w:after="0"/>
              <w:rPr>
                <w:sz w:val="15"/>
                <w:szCs w:val="15"/>
                <w:color w:val="auto"/>
              </w:rPr>
            </w:pPr>
          </w:p>
        </w:tc>
        <w:tc>
          <w:tcPr>
            <w:tcW w:w="5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80"/>
        </w:trPr>
        <w:tc>
          <w:tcPr>
            <w:tcW w:w="1300" w:type="dxa"/>
            <w:vAlign w:val="bottom"/>
          </w:tcPr>
          <w:p>
            <w:pPr>
              <w:spacing w:after="0"/>
              <w:rPr>
                <w:sz w:val="6"/>
                <w:szCs w:val="6"/>
                <w:color w:val="auto"/>
              </w:rPr>
            </w:pPr>
          </w:p>
        </w:tc>
        <w:tc>
          <w:tcPr>
            <w:tcW w:w="1280" w:type="dxa"/>
            <w:vAlign w:val="bottom"/>
            <w:vMerge w:val="continue"/>
          </w:tcPr>
          <w:p>
            <w:pPr>
              <w:spacing w:after="0"/>
              <w:rPr>
                <w:sz w:val="6"/>
                <w:szCs w:val="6"/>
                <w:color w:val="auto"/>
              </w:rPr>
            </w:pPr>
          </w:p>
        </w:tc>
        <w:tc>
          <w:tcPr>
            <w:tcW w:w="20" w:type="dxa"/>
            <w:vAlign w:val="bottom"/>
          </w:tcPr>
          <w:p>
            <w:pPr>
              <w:spacing w:after="0"/>
              <w:rPr>
                <w:sz w:val="6"/>
                <w:szCs w:val="6"/>
                <w:color w:val="auto"/>
              </w:rPr>
            </w:pPr>
          </w:p>
        </w:tc>
        <w:tc>
          <w:tcPr>
            <w:tcW w:w="524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190" w:lineRule="exact"/>
        <w:rPr>
          <w:rFonts w:ascii="Times New Roman" w:cs="Times New Roman" w:eastAsia="Times New Roman" w:hAnsi="Times New Roman"/>
          <w:sz w:val="18"/>
          <w:szCs w:val="18"/>
          <w:color w:val="auto"/>
        </w:rPr>
      </w:pPr>
    </w:p>
    <w:p>
      <w:pPr>
        <w:ind w:left="273" w:hanging="273"/>
        <w:spacing w:after="0" w:line="263" w:lineRule="exact"/>
        <w:tabs>
          <w:tab w:leader="none" w:pos="273" w:val="left"/>
        </w:tabs>
        <w:numPr>
          <w:ilvl w:val="0"/>
          <w:numId w:val="8"/>
        </w:numPr>
        <w:rPr>
          <w:rFonts w:ascii="Times New Roman" w:cs="Times New Roman" w:eastAsia="Times New Roman" w:hAnsi="Times New Roman"/>
          <w:sz w:val="18"/>
          <w:szCs w:val="18"/>
          <w:color w:val="auto"/>
        </w:rPr>
      </w:pPr>
      <w:r>
        <w:rPr>
          <w:rFonts w:ascii="MS PGothic" w:cs="MS PGothic" w:eastAsia="MS PGothic" w:hAnsi="MS PGothic"/>
          <w:sz w:val="26"/>
          <w:szCs w:val="2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113"/>
        <w:spacing w:after="0" w:line="291" w:lineRule="exact"/>
        <w:rPr>
          <w:sz w:val="20"/>
          <w:szCs w:val="20"/>
          <w:color w:val="auto"/>
        </w:rPr>
      </w:pPr>
      <w:r>
        <w:rPr>
          <w:rFonts w:ascii="MS PGothic" w:cs="MS PGothic" w:eastAsia="MS PGothic" w:hAnsi="MS PGothic"/>
          <w:sz w:val="29"/>
          <w:szCs w:val="29"/>
          <w:color w:val="auto"/>
        </w:rPr>
        <w:t>☐</w:t>
      </w:r>
    </w:p>
    <w:p>
      <w:pPr>
        <w:sectPr>
          <w:pgSz w:w="11900" w:h="16838" w:orient="portrait"/>
          <w:cols w:equalWidth="0" w:num="2">
            <w:col w:w="9507" w:space="720"/>
            <w:col w:w="1013"/>
          </w:cols>
          <w:pgMar w:left="320" w:top="468" w:right="339" w:bottom="1440" w:gutter="0" w:footer="0" w:header="0"/>
          <w:type w:val="continuous"/>
        </w:sectPr>
      </w:pPr>
    </w:p>
    <w:bookmarkStart w:id="3" w:name="page4"/>
    <w:bookmarkEnd w:id="3"/>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4 of 7 Pages</w:t>
      </w:r>
    </w:p>
    <w:p>
      <w:pPr>
        <w:sectPr>
          <w:pgSz w:w="11900" w:h="16838" w:orient="portrait"/>
          <w:cols w:equalWidth="0" w:num="1">
            <w:col w:w="11240"/>
          </w:cols>
          <w:pgMar w:left="320" w:top="468" w:right="339" w:bottom="1440" w:gutter="0" w:footer="0" w:header="0"/>
        </w:sectPr>
      </w:pPr>
    </w:p>
    <w:p>
      <w:pPr>
        <w:spacing w:after="0" w:line="200" w:lineRule="exact"/>
        <w:rPr>
          <w:sz w:val="20"/>
          <w:szCs w:val="20"/>
          <w:color w:val="auto"/>
        </w:rPr>
      </w:pPr>
    </w:p>
    <w:p>
      <w:pPr>
        <w:spacing w:after="0" w:line="264" w:lineRule="exact"/>
        <w:rPr>
          <w:sz w:val="20"/>
          <w:szCs w:val="20"/>
          <w:color w:val="auto"/>
        </w:rPr>
      </w:pPr>
    </w:p>
    <w:tbl>
      <w:tblPr>
        <w:tblLayout w:type="fixed"/>
        <w:tblInd w:w="120" w:type="dxa"/>
        <w:tblCellMar>
          <w:top w:w="0" w:type="dxa"/>
          <w:left w:w="0" w:type="dxa"/>
          <w:bottom w:w="0" w:type="dxa"/>
          <w:right w:w="0" w:type="dxa"/>
        </w:tblCellMar>
      </w:tblPr>
      <w:tr>
        <w:trPr>
          <w:trHeight w:val="26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1(a).</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ISSUER:</w:t>
            </w:r>
          </w:p>
        </w:tc>
      </w:tr>
      <w:tr>
        <w:trPr>
          <w:trHeight w:val="413"/>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The name of the issuer is Fulcrum Therapeutics, Inc. (the "Company").</w:t>
            </w:r>
          </w:p>
        </w:tc>
      </w:tr>
      <w:tr>
        <w:trPr>
          <w:trHeight w:val="20"/>
        </w:trPr>
        <w:tc>
          <w:tcPr>
            <w:tcW w:w="1260" w:type="dxa"/>
            <w:vAlign w:val="bottom"/>
          </w:tcPr>
          <w:p>
            <w:pPr>
              <w:spacing w:after="0" w:line="20" w:lineRule="exact"/>
              <w:rPr>
                <w:sz w:val="1"/>
                <w:szCs w:val="1"/>
                <w:color w:val="auto"/>
              </w:rPr>
            </w:pPr>
          </w:p>
        </w:tc>
        <w:tc>
          <w:tcPr>
            <w:tcW w:w="27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72"/>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1(b).</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ISSUER'S PRINCIPAL EXECUTIVE OFFICES:</w:t>
            </w:r>
          </w:p>
        </w:tc>
      </w:tr>
      <w:tr>
        <w:trPr>
          <w:trHeight w:val="459"/>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The Company's principal executive offices are located at 26 Landsdowne Street, Cambridge, Massachusetts 02139.</w:t>
            </w:r>
          </w:p>
        </w:tc>
      </w:tr>
      <w:tr>
        <w:trPr>
          <w:trHeight w:val="446"/>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2(a).</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NAME OF PERSON FILING:</w:t>
            </w:r>
          </w:p>
        </w:tc>
      </w:tr>
      <w:tr>
        <w:trPr>
          <w:trHeight w:val="459"/>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This statement is filed by:</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w:t>
            </w:r>
          </w:p>
        </w:tc>
        <w:tc>
          <w:tcPr>
            <w:tcW w:w="868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w w:val="98"/>
              </w:rPr>
              <w:t>RTW Investments, LP ("RTW Investments"), a Delaware limited partnership, and the investment adviser to</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10"/>
        </w:trPr>
        <w:tc>
          <w:tcPr>
            <w:tcW w:w="1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680" w:type="dxa"/>
            <w:vAlign w:val="bottom"/>
            <w:gridSpan w:val="13"/>
          </w:tcPr>
          <w:p>
            <w:pPr>
              <w:ind w:left="140"/>
              <w:spacing w:after="0" w:line="209" w:lineRule="exact"/>
              <w:rPr>
                <w:sz w:val="20"/>
                <w:szCs w:val="20"/>
                <w:color w:val="auto"/>
              </w:rPr>
            </w:pPr>
            <w:r>
              <w:rPr>
                <w:rFonts w:ascii="Times New Roman" w:cs="Times New Roman" w:eastAsia="Times New Roman" w:hAnsi="Times New Roman"/>
                <w:sz w:val="20"/>
                <w:szCs w:val="20"/>
                <w:color w:val="auto"/>
              </w:rPr>
              <w:t>certain funds (the "RTW Funds"), with respect to the Shares (as defined in Item 2(d) below) directly held</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8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by the RTW Funds; and</w:t>
            </w:r>
          </w:p>
        </w:tc>
      </w:tr>
      <w:tr>
        <w:trPr>
          <w:trHeight w:val="413"/>
        </w:trPr>
        <w:tc>
          <w:tcPr>
            <w:tcW w:w="1260" w:type="dxa"/>
            <w:vAlign w:val="bottom"/>
          </w:tcPr>
          <w:p>
            <w:pPr>
              <w:spacing w:after="0"/>
              <w:rPr>
                <w:sz w:val="24"/>
                <w:szCs w:val="24"/>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(ii)</w:t>
            </w:r>
          </w:p>
        </w:tc>
        <w:tc>
          <w:tcPr>
            <w:tcW w:w="868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Mr. Roderick Wong ("Mr. Wong"), the Managing Partner and Chief Investment Officer of RTW</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800" w:type="dxa"/>
            <w:vAlign w:val="bottom"/>
            <w:gridSpan w:val="3"/>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256"/>
        </w:trPr>
        <w:tc>
          <w:tcPr>
            <w:tcW w:w="1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8680" w:type="dxa"/>
            <w:vAlign w:val="bottom"/>
            <w:gridSpan w:val="13"/>
          </w:tcPr>
          <w:p>
            <w:pPr>
              <w:ind w:left="140"/>
              <w:spacing w:after="0"/>
              <w:rPr>
                <w:sz w:val="20"/>
                <w:szCs w:val="20"/>
                <w:color w:val="auto"/>
              </w:rPr>
            </w:pPr>
            <w:r>
              <w:rPr>
                <w:rFonts w:ascii="Times New Roman" w:cs="Times New Roman" w:eastAsia="Times New Roman" w:hAnsi="Times New Roman"/>
                <w:sz w:val="20"/>
                <w:szCs w:val="20"/>
                <w:color w:val="auto"/>
              </w:rPr>
              <w:t>Investments, with respect to the Shares directly held by the RTW Funds.</w:t>
            </w:r>
          </w:p>
        </w:tc>
      </w:tr>
      <w:tr>
        <w:trPr>
          <w:trHeight w:val="413"/>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The foregoing persons are hereinafter sometimes collectively referred to as the "Reporting Persons."</w:t>
            </w:r>
          </w:p>
        </w:tc>
      </w:tr>
      <w:tr>
        <w:trPr>
          <w:trHeight w:val="20"/>
        </w:trPr>
        <w:tc>
          <w:tcPr>
            <w:tcW w:w="1260" w:type="dxa"/>
            <w:vAlign w:val="bottom"/>
          </w:tcPr>
          <w:p>
            <w:pPr>
              <w:spacing w:after="0" w:line="20" w:lineRule="exact"/>
              <w:rPr>
                <w:sz w:val="1"/>
                <w:szCs w:val="1"/>
                <w:color w:val="auto"/>
              </w:rPr>
            </w:pPr>
          </w:p>
        </w:tc>
        <w:tc>
          <w:tcPr>
            <w:tcW w:w="4340" w:type="dxa"/>
            <w:vAlign w:val="bottom"/>
            <w:gridSpan w:val="7"/>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920" w:type="dxa"/>
            <w:vAlign w:val="bottom"/>
            <w:gridSpan w:val="3"/>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457"/>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w w:val="98"/>
              </w:rPr>
              <w:t>The filing of this statement should not be construed as an admission that any of the forgoing persons or any Reporting</w:t>
            </w:r>
          </w:p>
        </w:tc>
      </w:tr>
      <w:tr>
        <w:trPr>
          <w:trHeight w:val="258"/>
        </w:trPr>
        <w:tc>
          <w:tcPr>
            <w:tcW w:w="1260" w:type="dxa"/>
            <w:vAlign w:val="bottom"/>
          </w:tcPr>
          <w:p>
            <w:pPr>
              <w:spacing w:after="0"/>
              <w:rPr>
                <w:sz w:val="22"/>
                <w:szCs w:val="22"/>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Person is, for the purposes of Section 13 of the Act, the beneficial owner of the Shares reported herein.</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2(b).</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ADDRESS OF PRINCIPAL BUSINESS OFFICE OR, IF NONE, RESIDENCE:</w:t>
            </w:r>
          </w:p>
        </w:tc>
      </w:tr>
      <w:tr>
        <w:trPr>
          <w:trHeight w:val="484"/>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w w:val="98"/>
              </w:rPr>
              <w:t>The address of the business office of each of the Reporting Persons is 40 10</w:t>
            </w:r>
            <w:r>
              <w:rPr>
                <w:rFonts w:ascii="Times New Roman" w:cs="Times New Roman" w:eastAsia="Times New Roman" w:hAnsi="Times New Roman"/>
                <w:sz w:val="32"/>
                <w:szCs w:val="32"/>
                <w:color w:val="auto"/>
                <w:w w:val="98"/>
                <w:vertAlign w:val="superscript"/>
              </w:rPr>
              <w:t>th</w:t>
            </w:r>
            <w:r>
              <w:rPr>
                <w:rFonts w:ascii="Times New Roman" w:cs="Times New Roman" w:eastAsia="Times New Roman" w:hAnsi="Times New Roman"/>
                <w:sz w:val="20"/>
                <w:szCs w:val="20"/>
                <w:color w:val="auto"/>
                <w:w w:val="98"/>
              </w:rPr>
              <w:t xml:space="preserve"> Avenue, Floor 7, New York, New York</w:t>
            </w:r>
          </w:p>
        </w:tc>
      </w:tr>
      <w:tr>
        <w:trPr>
          <w:trHeight w:val="258"/>
        </w:trPr>
        <w:tc>
          <w:tcPr>
            <w:tcW w:w="1260" w:type="dxa"/>
            <w:vAlign w:val="bottom"/>
          </w:tcPr>
          <w:p>
            <w:pPr>
              <w:spacing w:after="0"/>
              <w:rPr>
                <w:sz w:val="22"/>
                <w:szCs w:val="22"/>
                <w:color w:val="auto"/>
              </w:rPr>
            </w:pPr>
          </w:p>
        </w:tc>
        <w:tc>
          <w:tcPr>
            <w:tcW w:w="1080" w:type="dxa"/>
            <w:vAlign w:val="bottom"/>
          </w:tcPr>
          <w:p>
            <w:pPr>
              <w:ind w:left="420"/>
              <w:spacing w:after="0"/>
              <w:rPr>
                <w:sz w:val="20"/>
                <w:szCs w:val="20"/>
                <w:color w:val="auto"/>
              </w:rPr>
            </w:pPr>
            <w:r>
              <w:rPr>
                <w:rFonts w:ascii="Times New Roman" w:cs="Times New Roman" w:eastAsia="Times New Roman" w:hAnsi="Times New Roman"/>
                <w:sz w:val="20"/>
                <w:szCs w:val="20"/>
                <w:color w:val="auto"/>
              </w:rPr>
              <w:t>10014.</w:t>
            </w:r>
          </w:p>
        </w:tc>
        <w:tc>
          <w:tcPr>
            <w:tcW w:w="16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1520" w:type="dxa"/>
            <w:vAlign w:val="bottom"/>
          </w:tcPr>
          <w:p>
            <w:pPr>
              <w:spacing w:after="0"/>
              <w:rPr>
                <w:sz w:val="22"/>
                <w:szCs w:val="22"/>
                <w:color w:val="auto"/>
              </w:rPr>
            </w:pPr>
          </w:p>
        </w:tc>
      </w:tr>
      <w:tr>
        <w:trPr>
          <w:trHeight w:val="459"/>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2(c).</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CITIZENSHIP:</w:t>
            </w:r>
          </w:p>
        </w:tc>
      </w:tr>
      <w:tr>
        <w:trPr>
          <w:trHeight w:val="459"/>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RTW Investments is a Delaware limited partnership. Mr. Wong is a citizen of the United States.</w:t>
            </w:r>
          </w:p>
        </w:tc>
      </w:tr>
      <w:tr>
        <w:trPr>
          <w:trHeight w:val="445"/>
        </w:trPr>
        <w:tc>
          <w:tcPr>
            <w:tcW w:w="1260" w:type="dxa"/>
            <w:vAlign w:val="bottom"/>
          </w:tcPr>
          <w:p>
            <w:pPr>
              <w:spacing w:after="0"/>
              <w:rPr>
                <w:sz w:val="20"/>
                <w:szCs w:val="20"/>
                <w:color w:val="auto"/>
              </w:rPr>
            </w:pPr>
            <w:r>
              <w:rPr>
                <w:rFonts w:ascii="Times New Roman" w:cs="Times New Roman" w:eastAsia="Times New Roman" w:hAnsi="Times New Roman"/>
                <w:sz w:val="20"/>
                <w:szCs w:val="20"/>
                <w:b w:val="1"/>
                <w:bCs w:val="1"/>
                <w:color w:val="auto"/>
              </w:rPr>
              <w:t>Item 2(d).</w:t>
            </w: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b w:val="1"/>
                <w:bCs w:val="1"/>
                <w:color w:val="auto"/>
              </w:rPr>
              <w:t>TITLE OF CLASS OF SECURITIES:</w:t>
            </w:r>
          </w:p>
        </w:tc>
      </w:tr>
      <w:tr>
        <w:trPr>
          <w:trHeight w:val="413"/>
        </w:trPr>
        <w:tc>
          <w:tcPr>
            <w:tcW w:w="1260" w:type="dxa"/>
            <w:vAlign w:val="bottom"/>
          </w:tcPr>
          <w:p>
            <w:pPr>
              <w:spacing w:after="0"/>
              <w:rPr>
                <w:sz w:val="24"/>
                <w:szCs w:val="24"/>
                <w:color w:val="auto"/>
              </w:rPr>
            </w:pPr>
          </w:p>
        </w:tc>
        <w:tc>
          <w:tcPr>
            <w:tcW w:w="9760" w:type="dxa"/>
            <w:vAlign w:val="bottom"/>
            <w:gridSpan w:val="14"/>
          </w:tcPr>
          <w:p>
            <w:pPr>
              <w:ind w:left="420"/>
              <w:spacing w:after="0"/>
              <w:rPr>
                <w:sz w:val="20"/>
                <w:szCs w:val="20"/>
                <w:color w:val="auto"/>
              </w:rPr>
            </w:pPr>
            <w:r>
              <w:rPr>
                <w:rFonts w:ascii="Times New Roman" w:cs="Times New Roman" w:eastAsia="Times New Roman" w:hAnsi="Times New Roman"/>
                <w:sz w:val="20"/>
                <w:szCs w:val="20"/>
                <w:color w:val="auto"/>
              </w:rPr>
              <w:t>Common Stock, par value $0.001 per share (the "Shares").</w:t>
            </w:r>
          </w:p>
        </w:tc>
      </w:tr>
      <w:tr>
        <w:trPr>
          <w:trHeight w:val="20"/>
        </w:trPr>
        <w:tc>
          <w:tcPr>
            <w:tcW w:w="12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ectPr>
          <w:pgSz w:w="11900" w:h="16838" w:orient="portrait"/>
          <w:cols w:equalWidth="0" w:num="1">
            <w:col w:w="11240"/>
          </w:cols>
          <w:pgMar w:left="320" w:top="468" w:right="339" w:bottom="1440" w:gutter="0" w:footer="0" w:header="0"/>
          <w:type w:val="continuous"/>
        </w:sectPr>
      </w:pPr>
    </w:p>
    <w:bookmarkStart w:id="4" w:name="page5"/>
    <w:bookmarkEnd w:id="4"/>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5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2(e).</w:t>
      </w:r>
      <w:r>
        <w:rPr>
          <w:sz w:val="20"/>
          <w:szCs w:val="20"/>
          <w:color w:val="auto"/>
        </w:rPr>
        <w:tab/>
      </w:r>
      <w:r>
        <w:rPr>
          <w:rFonts w:ascii="Times New Roman" w:cs="Times New Roman" w:eastAsia="Times New Roman" w:hAnsi="Times New Roman"/>
          <w:sz w:val="19"/>
          <w:szCs w:val="19"/>
          <w:b w:val="1"/>
          <w:bCs w:val="1"/>
          <w:color w:val="auto"/>
        </w:rPr>
        <w:t>CUSIP NUMBER:</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359616109</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3.</w:t>
      </w:r>
      <w:r>
        <w:rPr>
          <w:sz w:val="20"/>
          <w:szCs w:val="20"/>
          <w:color w:val="auto"/>
        </w:rPr>
        <w:tab/>
      </w:r>
      <w:r>
        <w:rPr>
          <w:rFonts w:ascii="Times New Roman" w:cs="Times New Roman" w:eastAsia="Times New Roman" w:hAnsi="Times New Roman"/>
          <w:sz w:val="20"/>
          <w:szCs w:val="20"/>
          <w:b w:val="1"/>
          <w:bCs w:val="1"/>
          <w:color w:val="auto"/>
        </w:rPr>
        <w:t>IF THIS STATEMENT IS FILED PURSUANT TO §§ 240.13d-1(b) OR 240.13d-2(b) OR (c), CHECK</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WHETHER THE PERSON FILING IS A:</w:t>
      </w:r>
    </w:p>
    <w:p>
      <w:pPr>
        <w:spacing w:after="0" w:line="189" w:lineRule="exact"/>
        <w:rPr>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Broker or dealer registered under Section 15 of the Act (15 U.S.C. 78o);</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Bank as defined in Section 3(a)(6) of the Act (15 U.S.C. 78c);</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Insurance company as defined in Section 3(a)(19) of the Act (15 U.S.C. 78c);</w:t>
      </w:r>
    </w:p>
    <w:p>
      <w:pPr>
        <w:spacing w:after="0" w:line="215" w:lineRule="exact"/>
        <w:rPr>
          <w:rFonts w:ascii="Times New Roman" w:cs="Times New Roman" w:eastAsia="Times New Roman" w:hAnsi="Times New Roman"/>
          <w:sz w:val="20"/>
          <w:szCs w:val="20"/>
          <w:color w:val="auto"/>
        </w:rPr>
      </w:pPr>
    </w:p>
    <w:p>
      <w:pPr>
        <w:ind w:left="3040" w:right="280" w:hanging="1247"/>
        <w:spacing w:after="0" w:line="253" w:lineRule="exact"/>
        <w:tabs>
          <w:tab w:leader="none" w:pos="2572"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company registered under Section 8 of the Investment Company Act of 1940 (15 U.S.C. 80a-8);</w:t>
      </w:r>
    </w:p>
    <w:p>
      <w:pPr>
        <w:spacing w:after="0" w:line="170"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Investment adviser in accordance with Rule 13d-1(b)(1)(ii)(E);</w:t>
      </w:r>
    </w:p>
    <w:p>
      <w:pPr>
        <w:spacing w:after="0" w:line="229"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9"/>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Employee benefit plan or endowment fund in accordance with</w:t>
      </w:r>
    </w:p>
    <w:p>
      <w:pPr>
        <w:spacing w:after="0" w:line="39" w:lineRule="exact"/>
        <w:rPr>
          <w:sz w:val="20"/>
          <w:szCs w:val="20"/>
          <w:color w:val="auto"/>
        </w:rPr>
      </w:pPr>
    </w:p>
    <w:p>
      <w:pPr>
        <w:ind w:left="3080"/>
        <w:spacing w:after="0"/>
        <w:rPr>
          <w:sz w:val="20"/>
          <w:szCs w:val="20"/>
          <w:color w:val="auto"/>
        </w:rPr>
      </w:pPr>
      <w:r>
        <w:rPr>
          <w:rFonts w:ascii="Times New Roman" w:cs="Times New Roman" w:eastAsia="Times New Roman" w:hAnsi="Times New Roman"/>
          <w:sz w:val="20"/>
          <w:szCs w:val="20"/>
          <w:color w:val="auto"/>
        </w:rPr>
        <w:t>Rule 13d-1(b)(1)(ii)(F);</w:t>
      </w:r>
    </w:p>
    <w:p>
      <w:pPr>
        <w:spacing w:after="0" w:line="189" w:lineRule="exact"/>
        <w:rPr>
          <w:sz w:val="20"/>
          <w:szCs w:val="20"/>
          <w:color w:val="auto"/>
        </w:rPr>
      </w:pPr>
    </w:p>
    <w:p>
      <w:pPr>
        <w:ind w:left="3080" w:right="3280" w:hanging="1287"/>
        <w:spacing w:after="0" w:line="253" w:lineRule="exact"/>
        <w:tabs>
          <w:tab w:leader="none" w:pos="2569"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Parent holding company or control person in accordance with Rule 13d-1(b)(1)(ii)(G);</w:t>
      </w:r>
    </w:p>
    <w:p>
      <w:pPr>
        <w:spacing w:after="0" w:line="170"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Savings association as defined in Section 3(b) of the Federal Deposit Insurance Act (12 U.S.C. 1813);</w:t>
      </w:r>
    </w:p>
    <w:p>
      <w:pPr>
        <w:spacing w:after="0" w:line="229" w:lineRule="exact"/>
        <w:rPr>
          <w:rFonts w:ascii="Times New Roman" w:cs="Times New Roman" w:eastAsia="Times New Roman" w:hAnsi="Times New Roman"/>
          <w:sz w:val="20"/>
          <w:szCs w:val="20"/>
          <w:color w:val="auto"/>
        </w:rPr>
      </w:pPr>
    </w:p>
    <w:p>
      <w:pPr>
        <w:ind w:left="3040" w:right="200" w:hanging="1247"/>
        <w:spacing w:after="0" w:line="253" w:lineRule="exact"/>
        <w:tabs>
          <w:tab w:leader="none" w:pos="2572"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Church plan that is excluded from the definition of an investment company under Section 3(c)(14) of the Investment Company Act (15 U.S.C. 80a-3);</w:t>
      </w:r>
    </w:p>
    <w:p>
      <w:pPr>
        <w:spacing w:after="0" w:line="184"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Non-U.S. institution in accordance with Rule 13d-1(b)(1)(ii)(J);</w:t>
      </w:r>
    </w:p>
    <w:p>
      <w:pPr>
        <w:spacing w:after="0" w:line="215" w:lineRule="exact"/>
        <w:rPr>
          <w:rFonts w:ascii="Times New Roman" w:cs="Times New Roman" w:eastAsia="Times New Roman" w:hAnsi="Times New Roman"/>
          <w:sz w:val="20"/>
          <w:szCs w:val="20"/>
          <w:color w:val="auto"/>
        </w:rPr>
      </w:pPr>
    </w:p>
    <w:p>
      <w:pPr>
        <w:ind w:left="2560" w:hanging="767"/>
        <w:spacing w:after="0" w:line="230" w:lineRule="exact"/>
        <w:tabs>
          <w:tab w:leader="none" w:pos="2560" w:val="left"/>
        </w:tabs>
        <w:numPr>
          <w:ilvl w:val="0"/>
          <w:numId w:val="10"/>
        </w:numPr>
        <w:rPr>
          <w:rFonts w:ascii="Times New Roman" w:cs="Times New Roman" w:eastAsia="Times New Roman" w:hAnsi="Times New Roman"/>
          <w:sz w:val="20"/>
          <w:szCs w:val="20"/>
          <w:color w:val="auto"/>
        </w:rPr>
      </w:pPr>
      <w:r>
        <w:rPr>
          <w:rFonts w:ascii="MS PGothic" w:cs="MS PGothic" w:eastAsia="MS PGothic" w:hAnsi="MS PGothic"/>
          <w:sz w:val="20"/>
          <w:szCs w:val="20"/>
          <w:color w:val="auto"/>
        </w:rPr>
        <w:t>☐</w:t>
      </w:r>
      <w:r>
        <w:rPr>
          <w:rFonts w:ascii="Times New Roman" w:cs="Times New Roman" w:eastAsia="Times New Roman" w:hAnsi="Times New Roman"/>
          <w:sz w:val="20"/>
          <w:szCs w:val="20"/>
          <w:color w:val="auto"/>
        </w:rPr>
        <w:t xml:space="preserve">  Group, in accordance with Rule 13d-1(b)(1)(ii)(K).</w:t>
      </w:r>
    </w:p>
    <w:p>
      <w:pPr>
        <w:spacing w:after="0" w:line="247" w:lineRule="exact"/>
        <w:rPr>
          <w:sz w:val="20"/>
          <w:szCs w:val="20"/>
          <w:color w:val="auto"/>
        </w:rPr>
      </w:pPr>
    </w:p>
    <w:p>
      <w:pPr>
        <w:ind w:left="1800" w:right="2680"/>
        <w:spacing w:after="0" w:line="295" w:lineRule="auto"/>
        <w:rPr>
          <w:sz w:val="20"/>
          <w:szCs w:val="20"/>
          <w:color w:val="auto"/>
        </w:rPr>
      </w:pPr>
      <w:r>
        <w:rPr>
          <w:rFonts w:ascii="Times New Roman" w:cs="Times New Roman" w:eastAsia="Times New Roman" w:hAnsi="Times New Roman"/>
          <w:sz w:val="19"/>
          <w:szCs w:val="19"/>
          <w:color w:val="auto"/>
        </w:rPr>
        <w:t>If filing as a non-U.S. institution in accordance with Rule 13d-1(b)(1)(ii)(J), please specify the type of institution: ____________________________________________</w:t>
      </w:r>
    </w:p>
    <w:p>
      <w:pPr>
        <w:spacing w:after="0" w:line="147"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4.</w:t>
      </w:r>
      <w:r>
        <w:rPr>
          <w:sz w:val="20"/>
          <w:szCs w:val="20"/>
          <w:color w:val="auto"/>
        </w:rPr>
        <w:tab/>
      </w:r>
      <w:r>
        <w:rPr>
          <w:rFonts w:ascii="Times New Roman" w:cs="Times New Roman" w:eastAsia="Times New Roman" w:hAnsi="Times New Roman"/>
          <w:sz w:val="19"/>
          <w:szCs w:val="19"/>
          <w:b w:val="1"/>
          <w:bCs w:val="1"/>
          <w:color w:val="auto"/>
        </w:rPr>
        <w:t>OWNERSHIP</w:t>
      </w:r>
      <w:r>
        <w:rPr>
          <w:rFonts w:ascii="Times New Roman" w:cs="Times New Roman" w:eastAsia="Times New Roman" w:hAnsi="Times New Roman"/>
          <w:sz w:val="19"/>
          <w:szCs w:val="19"/>
          <w:color w:val="auto"/>
        </w:rPr>
        <w:t>.</w:t>
      </w:r>
    </w:p>
    <w:p>
      <w:pPr>
        <w:spacing w:after="0" w:line="233" w:lineRule="exact"/>
        <w:rPr>
          <w:sz w:val="20"/>
          <w:szCs w:val="20"/>
          <w:color w:val="auto"/>
        </w:rPr>
      </w:pPr>
    </w:p>
    <w:p>
      <w:pPr>
        <w:ind w:left="1800" w:right="400"/>
        <w:spacing w:after="0" w:line="269" w:lineRule="auto"/>
        <w:rPr>
          <w:sz w:val="20"/>
          <w:szCs w:val="20"/>
          <w:color w:val="auto"/>
        </w:rPr>
      </w:pPr>
      <w:r>
        <w:rPr>
          <w:rFonts w:ascii="Times New Roman" w:cs="Times New Roman" w:eastAsia="Times New Roman" w:hAnsi="Times New Roman"/>
          <w:sz w:val="20"/>
          <w:szCs w:val="20"/>
          <w:color w:val="auto"/>
        </w:rPr>
        <w:t>The information required by Items 4(a) - (c) is set forth in Rows 5 - 11 of the cover page for each of the Reporting Persons and is incorporated herein by reference.</w:t>
      </w:r>
    </w:p>
    <w:p>
      <w:pPr>
        <w:spacing w:after="0" w:line="173" w:lineRule="exact"/>
        <w:rPr>
          <w:sz w:val="20"/>
          <w:szCs w:val="20"/>
          <w:color w:val="auto"/>
        </w:rPr>
      </w:pPr>
    </w:p>
    <w:p>
      <w:pPr>
        <w:ind w:left="1800" w:right="160"/>
        <w:spacing w:after="0" w:line="254" w:lineRule="auto"/>
        <w:rPr>
          <w:sz w:val="20"/>
          <w:szCs w:val="20"/>
          <w:color w:val="auto"/>
        </w:rPr>
      </w:pPr>
      <w:r>
        <w:rPr>
          <w:rFonts w:ascii="Times New Roman" w:cs="Times New Roman" w:eastAsia="Times New Roman" w:hAnsi="Times New Roman"/>
          <w:sz w:val="20"/>
          <w:szCs w:val="20"/>
          <w:color w:val="auto"/>
        </w:rPr>
        <w:t>The percentages set forth herein are calculated based upon 52,051,405 Shares outstanding as of November 1, 2022 as reported in the Company's Quarterly Report on Form 10-Q for the quarterly period ended September 30, 2022, filed with the Securities and Exchange Commission on November 8, 2022.</w:t>
      </w:r>
    </w:p>
    <w:p>
      <w:pPr>
        <w:sectPr>
          <w:pgSz w:w="11900" w:h="16838" w:orient="portrait"/>
          <w:cols w:equalWidth="0" w:num="1">
            <w:col w:w="11240"/>
          </w:cols>
          <w:pgMar w:left="320" w:top="468" w:right="339" w:bottom="1440" w:gutter="0" w:footer="0" w:header="0"/>
          <w:type w:val="continuous"/>
        </w:sectPr>
      </w:pPr>
    </w:p>
    <w:bookmarkStart w:id="5" w:name="page6"/>
    <w:bookmarkEnd w:id="5"/>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6 of 7 Pages</w:t>
      </w:r>
    </w:p>
    <w:p>
      <w:pPr>
        <w:sectPr>
          <w:pgSz w:w="11900" w:h="16838" w:orient="portrait"/>
          <w:cols w:equalWidth="0" w:num="1">
            <w:col w:w="11240"/>
          </w:cols>
          <w:pgMar w:left="320" w:top="468" w:right="339" w:bottom="1440" w:gutter="0" w:footer="0" w:header="0"/>
        </w:sectPr>
      </w:pPr>
    </w:p>
    <w:p>
      <w:pPr>
        <w:spacing w:after="0" w:line="342"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5.</w:t>
      </w:r>
      <w:r>
        <w:rPr>
          <w:sz w:val="20"/>
          <w:szCs w:val="20"/>
          <w:color w:val="auto"/>
        </w:rPr>
        <w:tab/>
      </w:r>
      <w:r>
        <w:rPr>
          <w:rFonts w:ascii="Times New Roman" w:cs="Times New Roman" w:eastAsia="Times New Roman" w:hAnsi="Times New Roman"/>
          <w:sz w:val="19"/>
          <w:szCs w:val="19"/>
          <w:b w:val="1"/>
          <w:bCs w:val="1"/>
          <w:color w:val="auto"/>
        </w:rPr>
        <w:t>OWNERSHIP OF FIVE PERCENT OR LESS OF A CLASS:</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6.</w:t>
      </w:r>
      <w:r>
        <w:rPr>
          <w:sz w:val="20"/>
          <w:szCs w:val="20"/>
          <w:color w:val="auto"/>
        </w:rPr>
        <w:tab/>
      </w:r>
      <w:r>
        <w:rPr>
          <w:rFonts w:ascii="Times New Roman" w:cs="Times New Roman" w:eastAsia="Times New Roman" w:hAnsi="Times New Roman"/>
          <w:sz w:val="19"/>
          <w:szCs w:val="19"/>
          <w:b w:val="1"/>
          <w:bCs w:val="1"/>
          <w:color w:val="auto"/>
        </w:rPr>
        <w:t>OWNERSHIP OF MORE THAN FIVE PERCENT ON BEHALF OF ANOTHER PERSON:</w:t>
      </w:r>
    </w:p>
    <w:p>
      <w:pPr>
        <w:spacing w:after="0" w:line="233" w:lineRule="exact"/>
        <w:rPr>
          <w:sz w:val="20"/>
          <w:szCs w:val="20"/>
          <w:color w:val="auto"/>
        </w:rPr>
      </w:pPr>
    </w:p>
    <w:p>
      <w:pPr>
        <w:ind w:left="1800" w:right="240"/>
        <w:spacing w:after="0" w:line="254" w:lineRule="auto"/>
        <w:rPr>
          <w:sz w:val="20"/>
          <w:szCs w:val="20"/>
          <w:color w:val="auto"/>
        </w:rPr>
      </w:pPr>
      <w:r>
        <w:rPr>
          <w:rFonts w:ascii="Times New Roman" w:cs="Times New Roman" w:eastAsia="Times New Roman" w:hAnsi="Times New Roman"/>
          <w:sz w:val="20"/>
          <w:szCs w:val="20"/>
          <w:color w:val="auto"/>
        </w:rPr>
        <w:t>See Item 2. The RTW Funds have the right to receive or the power to direct the receipt of dividends from, or the proceeds from the sale of, the Shares reported herein. RTW Master Fund Ltd., a RTW Fund, has the right to receive or the power to direct the receipt of dividends or the proceeds from the sale of more than 5% of the Shares.</w:t>
      </w:r>
    </w:p>
    <w:p>
      <w:pPr>
        <w:spacing w:after="0" w:line="184" w:lineRule="exact"/>
        <w:rPr>
          <w:sz w:val="20"/>
          <w:szCs w:val="20"/>
          <w:color w:val="auto"/>
        </w:rPr>
      </w:pPr>
    </w:p>
    <w:p>
      <w:pPr>
        <w:ind w:left="120"/>
        <w:spacing w:after="0"/>
        <w:tabs>
          <w:tab w:leader="none" w:pos="1780" w:val="left"/>
          <w:tab w:leader="none" w:pos="3640" w:val="left"/>
          <w:tab w:leader="none" w:pos="4240" w:val="left"/>
          <w:tab w:leader="none" w:pos="6100" w:val="left"/>
          <w:tab w:leader="none" w:pos="6560" w:val="left"/>
          <w:tab w:leader="none" w:pos="7140" w:val="left"/>
          <w:tab w:leader="none" w:pos="8540" w:val="left"/>
          <w:tab w:leader="none" w:pos="9440" w:val="left"/>
          <w:tab w:leader="none" w:pos="10700" w:val="left"/>
        </w:tabs>
        <w:rPr>
          <w:sz w:val="20"/>
          <w:szCs w:val="20"/>
          <w:color w:val="auto"/>
        </w:rPr>
      </w:pPr>
      <w:r>
        <w:rPr>
          <w:rFonts w:ascii="Times New Roman" w:cs="Times New Roman" w:eastAsia="Times New Roman" w:hAnsi="Times New Roman"/>
          <w:sz w:val="20"/>
          <w:szCs w:val="20"/>
          <w:b w:val="1"/>
          <w:bCs w:val="1"/>
          <w:color w:val="auto"/>
        </w:rPr>
        <w:t>Item 7.</w:t>
      </w:r>
      <w:r>
        <w:rPr>
          <w:sz w:val="20"/>
          <w:szCs w:val="20"/>
          <w:color w:val="auto"/>
        </w:rPr>
        <w:tab/>
      </w:r>
      <w:r>
        <w:rPr>
          <w:rFonts w:ascii="Times New Roman" w:cs="Times New Roman" w:eastAsia="Times New Roman" w:hAnsi="Times New Roman"/>
          <w:sz w:val="20"/>
          <w:szCs w:val="20"/>
          <w:b w:val="1"/>
          <w:bCs w:val="1"/>
          <w:color w:val="auto"/>
        </w:rPr>
        <w:t>IDENTIFICATION</w:t>
        <w:tab/>
        <w:t>AND</w:t>
        <w:tab/>
        <w:t>CLASSIFICATION</w:t>
        <w:tab/>
        <w:t>OF</w:t>
        <w:tab/>
        <w:t>THE</w:t>
        <w:tab/>
        <w:t>SUBSIDIARY</w:t>
        <w:tab/>
        <w:t>WHICH</w:t>
        <w:tab/>
        <w:t>ACQUIRED</w:t>
      </w:r>
      <w:r>
        <w:rPr>
          <w:sz w:val="20"/>
          <w:szCs w:val="20"/>
          <w:color w:val="auto"/>
        </w:rPr>
        <w:tab/>
      </w:r>
      <w:r>
        <w:rPr>
          <w:rFonts w:ascii="Times New Roman" w:cs="Times New Roman" w:eastAsia="Times New Roman" w:hAnsi="Times New Roman"/>
          <w:sz w:val="19"/>
          <w:szCs w:val="19"/>
          <w:b w:val="1"/>
          <w:bCs w:val="1"/>
          <w:color w:val="auto"/>
        </w:rPr>
        <w:t>THE</w:t>
      </w:r>
    </w:p>
    <w:p>
      <w:pPr>
        <w:spacing w:after="0" w:line="26"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b w:val="1"/>
          <w:bCs w:val="1"/>
          <w:color w:val="auto"/>
        </w:rPr>
        <w:t>SECURITY BEING REPORTED ON BY THE PARENT HOLDING COMPANY:</w:t>
      </w:r>
    </w:p>
    <w:p>
      <w:pPr>
        <w:spacing w:after="0" w:line="207"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8.</w:t>
      </w:r>
      <w:r>
        <w:rPr>
          <w:sz w:val="20"/>
          <w:szCs w:val="20"/>
          <w:color w:val="auto"/>
        </w:rPr>
        <w:tab/>
      </w:r>
      <w:r>
        <w:rPr>
          <w:rFonts w:ascii="Times New Roman" w:cs="Times New Roman" w:eastAsia="Times New Roman" w:hAnsi="Times New Roman"/>
          <w:sz w:val="19"/>
          <w:szCs w:val="19"/>
          <w:b w:val="1"/>
          <w:bCs w:val="1"/>
          <w:color w:val="auto"/>
        </w:rPr>
        <w:t>IDENTIFICATION AND CLASSIFICATION OF MEMBERS OF THE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9.</w:t>
      </w:r>
      <w:r>
        <w:rPr>
          <w:sz w:val="20"/>
          <w:szCs w:val="20"/>
          <w:color w:val="auto"/>
        </w:rPr>
        <w:tab/>
      </w:r>
      <w:r>
        <w:rPr>
          <w:rFonts w:ascii="Times New Roman" w:cs="Times New Roman" w:eastAsia="Times New Roman" w:hAnsi="Times New Roman"/>
          <w:sz w:val="19"/>
          <w:szCs w:val="19"/>
          <w:b w:val="1"/>
          <w:bCs w:val="1"/>
          <w:color w:val="auto"/>
        </w:rPr>
        <w:t>NOTICE OF DISSOLUTION OF GROUP:</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Not applicable.</w:t>
      </w:r>
    </w:p>
    <w:p>
      <w:pPr>
        <w:spacing w:after="0" w:line="225" w:lineRule="exact"/>
        <w:rPr>
          <w:sz w:val="20"/>
          <w:szCs w:val="20"/>
          <w:color w:val="auto"/>
        </w:rPr>
      </w:pPr>
    </w:p>
    <w:p>
      <w:pPr>
        <w:ind w:left="120"/>
        <w:spacing w:after="0"/>
        <w:tabs>
          <w:tab w:leader="none" w:pos="1780" w:val="left"/>
        </w:tabs>
        <w:rPr>
          <w:sz w:val="20"/>
          <w:szCs w:val="20"/>
          <w:color w:val="auto"/>
        </w:rPr>
      </w:pPr>
      <w:r>
        <w:rPr>
          <w:rFonts w:ascii="Times New Roman" w:cs="Times New Roman" w:eastAsia="Times New Roman" w:hAnsi="Times New Roman"/>
          <w:sz w:val="20"/>
          <w:szCs w:val="20"/>
          <w:b w:val="1"/>
          <w:bCs w:val="1"/>
          <w:color w:val="auto"/>
        </w:rPr>
        <w:t>Item 10.</w:t>
      </w:r>
      <w:r>
        <w:rPr>
          <w:sz w:val="20"/>
          <w:szCs w:val="20"/>
          <w:color w:val="auto"/>
        </w:rPr>
        <w:tab/>
      </w:r>
      <w:r>
        <w:rPr>
          <w:rFonts w:ascii="Times New Roman" w:cs="Times New Roman" w:eastAsia="Times New Roman" w:hAnsi="Times New Roman"/>
          <w:sz w:val="19"/>
          <w:szCs w:val="19"/>
          <w:b w:val="1"/>
          <w:bCs w:val="1"/>
          <w:color w:val="auto"/>
        </w:rPr>
        <w:t>CERTIFICATION:</w:t>
      </w:r>
    </w:p>
    <w:p>
      <w:pPr>
        <w:spacing w:after="0" w:line="233"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0"/>
          <w:szCs w:val="20"/>
          <w:color w:val="auto"/>
        </w:rPr>
        <w:t>Each of the Reporting Persons hereby makes the following certification:</w:t>
      </w:r>
    </w:p>
    <w:p>
      <w:pPr>
        <w:spacing w:after="0" w:line="229" w:lineRule="exact"/>
        <w:rPr>
          <w:sz w:val="20"/>
          <w:szCs w:val="20"/>
          <w:color w:val="auto"/>
        </w:rPr>
      </w:pPr>
    </w:p>
    <w:p>
      <w:pPr>
        <w:ind w:left="1800" w:right="140"/>
        <w:spacing w:after="0" w:line="249" w:lineRule="auto"/>
        <w:rPr>
          <w:sz w:val="20"/>
          <w:szCs w:val="20"/>
          <w:color w:val="auto"/>
        </w:rPr>
      </w:pPr>
      <w:r>
        <w:rPr>
          <w:rFonts w:ascii="Times New Roman" w:cs="Times New Roman" w:eastAsia="Times New Roman" w:hAnsi="Times New Roman"/>
          <w:sz w:val="20"/>
          <w:szCs w:val="20"/>
          <w:color w:val="auto"/>
        </w:rPr>
        <w:t>By signing below each Reporting Person certifies that, to the best of his or its knowledge and belief, the securities referred to above were acquired and are held in the ordinary course of business and were not acquired for the purpose of or with the effect of changing or influencing the control of the issuer of the securities and were not acquired and are not held in connection with or as a participant in any transaction having that purpose or effect.</w:t>
      </w:r>
    </w:p>
    <w:p>
      <w:pPr>
        <w:sectPr>
          <w:pgSz w:w="11900" w:h="16838" w:orient="portrait"/>
          <w:cols w:equalWidth="0" w:num="1">
            <w:col w:w="11240"/>
          </w:cols>
          <w:pgMar w:left="320" w:top="468" w:right="339" w:bottom="1440" w:gutter="0" w:footer="0" w:header="0"/>
          <w:type w:val="continuous"/>
        </w:sectPr>
      </w:pPr>
    </w:p>
    <w:bookmarkStart w:id="6" w:name="page7"/>
    <w:bookmarkEnd w:id="6"/>
    <w:p>
      <w:pPr>
        <w:spacing w:after="0"/>
        <w:tabs>
          <w:tab w:leader="none" w:pos="5360" w:val="left"/>
          <w:tab w:leader="none" w:pos="9900" w:val="left"/>
        </w:tabs>
        <w:rPr>
          <w:sz w:val="20"/>
          <w:szCs w:val="20"/>
          <w:color w:val="auto"/>
        </w:rPr>
      </w:pPr>
      <w:r>
        <w:rPr>
          <w:rFonts w:ascii="Times New Roman" w:cs="Times New Roman" w:eastAsia="Times New Roman" w:hAnsi="Times New Roman"/>
          <w:sz w:val="18"/>
          <w:szCs w:val="18"/>
          <w:b w:val="1"/>
          <w:bCs w:val="1"/>
          <w:color w:val="auto"/>
        </w:rPr>
        <w:t>CUSIP No. 359616109</w:t>
      </w:r>
      <w:r>
        <w:rPr>
          <w:sz w:val="20"/>
          <w:szCs w:val="20"/>
          <w:color w:val="auto"/>
        </w:rPr>
        <w:tab/>
      </w:r>
      <w:r>
        <w:rPr>
          <w:rFonts w:ascii="Times New Roman" w:cs="Times New Roman" w:eastAsia="Times New Roman" w:hAnsi="Times New Roman"/>
          <w:sz w:val="18"/>
          <w:szCs w:val="18"/>
          <w:b w:val="1"/>
          <w:bCs w:val="1"/>
          <w:color w:val="auto"/>
        </w:rPr>
        <w:t>13G/A</w:t>
      </w:r>
      <w:r>
        <w:rPr>
          <w:sz w:val="20"/>
          <w:szCs w:val="20"/>
          <w:color w:val="auto"/>
        </w:rPr>
        <w:tab/>
      </w:r>
      <w:r>
        <w:rPr>
          <w:rFonts w:ascii="Times New Roman" w:cs="Times New Roman" w:eastAsia="Times New Roman" w:hAnsi="Times New Roman"/>
          <w:sz w:val="17"/>
          <w:szCs w:val="17"/>
          <w:b w:val="1"/>
          <w:bCs w:val="1"/>
          <w:color w:val="auto"/>
        </w:rPr>
        <w:t>Page 7 of 7 Pages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20"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After reasonable inquiry and to the best of his or its knowledge and belief, each of the undersigned certify that the information set forth in this statement is true, complete and correct.</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DATED: February 14, 2023</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RTW INVESTMENTS, LP</w:t>
      </w:r>
    </w:p>
    <w:p>
      <w:pPr>
        <w:spacing w:after="0" w:line="200" w:lineRule="exact"/>
        <w:rPr>
          <w:sz w:val="20"/>
          <w:szCs w:val="20"/>
          <w:color w:val="auto"/>
        </w:rPr>
      </w:pP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By:</w:t>
            </w: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/s/ Roderick Wong</w:t>
            </w:r>
          </w:p>
        </w:tc>
        <w:tc>
          <w:tcPr>
            <w:tcW w:w="0" w:type="dxa"/>
            <w:vAlign w:val="bottom"/>
          </w:tcPr>
          <w:p>
            <w:pPr>
              <w:spacing w:after="0"/>
              <w:rPr>
                <w:sz w:val="1"/>
                <w:szCs w:val="1"/>
                <w:color w:val="auto"/>
              </w:rPr>
            </w:pPr>
          </w:p>
        </w:tc>
      </w:tr>
      <w:tr>
        <w:trPr>
          <w:trHeight w:val="23"/>
        </w:trPr>
        <w:tc>
          <w:tcPr>
            <w:tcW w:w="1020" w:type="dxa"/>
            <w:vAlign w:val="bottom"/>
            <w:vMerge w:val="restart"/>
          </w:tcPr>
          <w:p>
            <w:pPr>
              <w:spacing w:after="0"/>
              <w:rPr>
                <w:sz w:val="20"/>
                <w:szCs w:val="20"/>
                <w:color w:val="auto"/>
              </w:rPr>
            </w:pPr>
            <w:r>
              <w:rPr>
                <w:rFonts w:ascii="Times New Roman" w:cs="Times New Roman" w:eastAsia="Times New Roman" w:hAnsi="Times New Roman"/>
                <w:sz w:val="20"/>
                <w:szCs w:val="20"/>
                <w:color w:val="auto"/>
              </w:rPr>
              <w:t>Name:</w:t>
            </w:r>
          </w:p>
        </w:tc>
        <w:tc>
          <w:tcPr>
            <w:tcW w:w="4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0"/>
        </w:trPr>
        <w:tc>
          <w:tcPr>
            <w:tcW w:w="1020" w:type="dxa"/>
            <w:vAlign w:val="bottom"/>
            <w:vMerge w:val="continue"/>
          </w:tcPr>
          <w:p>
            <w:pPr>
              <w:spacing w:after="0"/>
              <w:rPr>
                <w:sz w:val="17"/>
                <w:szCs w:val="17"/>
                <w:color w:val="auto"/>
              </w:rPr>
            </w:pPr>
          </w:p>
        </w:tc>
        <w:tc>
          <w:tcPr>
            <w:tcW w:w="4840" w:type="dxa"/>
            <w:vAlign w:val="bottom"/>
          </w:tcPr>
          <w:p>
            <w:pPr>
              <w:spacing w:after="0" w:line="200" w:lineRule="exact"/>
              <w:rPr>
                <w:sz w:val="20"/>
                <w:szCs w:val="20"/>
                <w:color w:val="auto"/>
              </w:rPr>
            </w:pPr>
            <w:r>
              <w:rPr>
                <w:rFonts w:ascii="Times New Roman" w:cs="Times New Roman" w:eastAsia="Times New Roman" w:hAnsi="Times New Roman"/>
                <w:sz w:val="20"/>
                <w:szCs w:val="20"/>
                <w:color w:val="auto"/>
              </w:rPr>
              <w:t>Roderick Wong</w:t>
            </w:r>
          </w:p>
        </w:tc>
        <w:tc>
          <w:tcPr>
            <w:tcW w:w="0" w:type="dxa"/>
            <w:vAlign w:val="bottom"/>
          </w:tcPr>
          <w:p>
            <w:pPr>
              <w:spacing w:after="0"/>
              <w:rPr>
                <w:sz w:val="1"/>
                <w:szCs w:val="1"/>
                <w:color w:val="auto"/>
              </w:rPr>
            </w:pPr>
          </w:p>
        </w:tc>
      </w:tr>
      <w:tr>
        <w:trPr>
          <w:trHeight w:val="258"/>
        </w:trPr>
        <w:tc>
          <w:tcPr>
            <w:tcW w:w="1020" w:type="dxa"/>
            <w:vAlign w:val="bottom"/>
          </w:tcPr>
          <w:p>
            <w:pPr>
              <w:spacing w:after="0"/>
              <w:rPr>
                <w:sz w:val="20"/>
                <w:szCs w:val="20"/>
                <w:color w:val="auto"/>
              </w:rPr>
            </w:pPr>
            <w:r>
              <w:rPr>
                <w:rFonts w:ascii="Times New Roman" w:cs="Times New Roman" w:eastAsia="Times New Roman" w:hAnsi="Times New Roman"/>
                <w:sz w:val="20"/>
                <w:szCs w:val="20"/>
                <w:color w:val="auto"/>
              </w:rPr>
              <w:t>Title:</w:t>
            </w:r>
          </w:p>
        </w:tc>
        <w:tc>
          <w:tcPr>
            <w:tcW w:w="4840" w:type="dxa"/>
            <w:vAlign w:val="bottom"/>
          </w:tcPr>
          <w:p>
            <w:pPr>
              <w:spacing w:after="0"/>
              <w:rPr>
                <w:sz w:val="20"/>
                <w:szCs w:val="20"/>
                <w:color w:val="auto"/>
              </w:rPr>
            </w:pPr>
            <w:r>
              <w:rPr>
                <w:rFonts w:ascii="Times New Roman" w:cs="Times New Roman" w:eastAsia="Times New Roman" w:hAnsi="Times New Roman"/>
                <w:sz w:val="20"/>
                <w:szCs w:val="20"/>
                <w:color w:val="auto"/>
              </w:rPr>
              <w:t>Managing Partner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/s/ Roderick Wong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371157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711575" cy="8890"/>
                    </a:xfrm>
                    <a:prstGeom prst="rect">
                      <a:avLst/>
                    </a:prstGeom>
                    <a:noFill/>
                  </pic:spPr>
                </pic:pic>
              </a:graphicData>
            </a:graphic>
          </wp:anchor>
        </w:drawing>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RODERICK WONG</w:t>
      </w:r>
    </w:p>
    <w:sectPr>
      <w:pgSz w:w="11900" w:h="16838" w:orient="portrait"/>
      <w:cols w:equalWidth="0" w:num="1">
        <w:col w:w="11240"/>
      </w:cols>
      <w:pgMar w:left="320" w:top="46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2"/>
      <w:numFmt w:val="bullet"/>
      <w:start w:val="1"/>
    </w:lvl>
  </w:abstractNum>
  <w:abstractNum w:abstractNumId="3">
    <w:nsid w:val="41B71EFB"/>
    <w:multiLevelType w:val="hybridMultilevel"/>
    <w:lvl w:ilvl="0">
      <w:lvlJc w:val="left"/>
      <w:lvlText w:val="3"/>
      <w:numFmt w:val="bullet"/>
      <w:start w:val="1"/>
    </w:lvl>
  </w:abstractNum>
  <w:abstractNum w:abstractNumId="4">
    <w:nsid w:val="79E2A9E3"/>
    <w:multiLevelType w:val="hybridMultilevel"/>
    <w:lvl w:ilvl="0">
      <w:lvlJc w:val="left"/>
      <w:lvlText w:val="(%1)"/>
      <w:numFmt w:val="lowerLetter"/>
      <w:start w:val="1"/>
    </w:lvl>
  </w:abstractNum>
  <w:abstractNum w:abstractNumId="5">
    <w:nsid w:val="7545E146"/>
    <w:multiLevelType w:val="hybridMultilevel"/>
    <w:lvl w:ilvl="0">
      <w:lvlJc w:val="left"/>
      <w:lvlText w:val="2"/>
      <w:numFmt w:val="bullet"/>
      <w:start w:val="1"/>
    </w:lvl>
  </w:abstractNum>
  <w:abstractNum w:abstractNumId="6">
    <w:nsid w:val="515F007C"/>
    <w:multiLevelType w:val="hybridMultilevel"/>
    <w:lvl w:ilvl="0">
      <w:lvlJc w:val="left"/>
      <w:lvlText w:val="3"/>
      <w:numFmt w:val="bullet"/>
      <w:start w:val="1"/>
    </w:lvl>
  </w:abstractNum>
  <w:abstractNum w:abstractNumId="7">
    <w:nsid w:val="5BD062C2"/>
    <w:multiLevelType w:val="hybridMultilevel"/>
    <w:lvl w:ilvl="0">
      <w:lvlJc w:val="left"/>
      <w:lvlText w:val="(%1)"/>
      <w:numFmt w:val="lowerLetter"/>
      <w:start w:val="1"/>
    </w:lvl>
  </w:abstractNum>
  <w:abstractNum w:abstractNumId="8">
    <w:nsid w:val="12200854"/>
    <w:multiLevelType w:val="hybridMultilevel"/>
    <w:lvl w:ilvl="0">
      <w:lvlJc w:val="left"/>
      <w:lvlText w:val="(%1)"/>
      <w:numFmt w:val="lowerLetter"/>
      <w:start w:val="1"/>
    </w:lvl>
  </w:abstractNum>
  <w:abstractNum w:abstractNumId="9">
    <w:nsid w:val="4DB127F8"/>
    <w:multiLevelType w:val="hybridMultilevel"/>
    <w:lvl w:ilvl="0">
      <w:lvlJc w:val="left"/>
      <w:lvlText w:val="(%1)"/>
      <w:numFmt w:val="lowerLetter"/>
      <w:start w:val="7"/>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2023-02-14T09:08:53Z</dcterms:created>
  <dcterms:modified xsi:type="dcterms:W3CDTF">2023-02-14T09:08:53Z</dcterms:modified>
</cp:coreProperties>
</file>