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6791d8k.htm"/>
      <w:bookmarkStart w:id="1" w:name="ksd13679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Fulcrum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001-38978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47-4839948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26 Landsdowne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Cambridge,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02139</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651-8851</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4100"/>
        <w:gridCol w:w="60"/>
        <w:gridCol w:w="740"/>
        <w:gridCol w:w="60"/>
        <w:gridCol w:w="2195"/>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FULC</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Fulcrum Therapeutics, Inc., a Delaware corporation (“Fulcrum”) entered into an Agreement and Plan of Merger (the “Merger Agreement”) by and among Fulcrum, Fusion Merger Sub I, Inc., a Delaware corporation and a wholly owned subsidiary of Fulcrum, (“Merger Sub I”), Fusion Merger Sub II, LLC, a Delaware limited liability company and a wholly owned subsidiary of Fulcrum, (“Merger Sub II”), and Slate Medicines, Inc., a Delaware corporation (“Slate”), pursuant to which, and subject to the satisfaction or waiver of the conditions set forth in the Merger Agreement, among other things, Merger Sub I will merge with and into Slate, with Slate surviving the merger as the surviving corporation (the “First Merger”), and as part of the same overall transaction, Slate will merge with and into Merger Sub II, with Merger Sub II continuing as a wholly owned subsidiary of Fulcrum and the surviving entity of the merger (the “Second Merger” and together with the First Merger, the “Merger”). The Merger is intended to qualify for federal income tax purposes as a tax-free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effective time of the Merger (the “Effective Time”), (a) each then-outstanding share of Slate’s common stock, par value $0.00001 per share (“Slate Common Stock”) will be converted into the right to receive a number of shares of Fulcrum’s common stock, par value $0.001 per share (“Fulcrum Common Stock”), based on a ratio calculated in accordance with the Merger Agreement (the “Exchange Ratio”), (b) each then-outstanding option to purchase Slate Common Stock will be assumed by Fulcrum, subject to adjustment as set forth in the Merger Agreement, and (c) each then-outstanding warrant to purchase Slate Common Stock will be assumed by Fulcrum,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Exchange Ratio formula in the Merger Agreement, upon the closing of the Merger (the “Closing”), on a pro forma basis and based upon the number of shares of Fulcrum Common Stock expected to be issued in connection with the Merger and the Concurrent Investment (as defined below), pre-Merger Slate stockholders (other than the Investors (as defined below)) are expected to own approximately 55.9% of the combined company on a fully-diluted basis, the Investors are expected to own approximately 39.1% of the combined company on a fully-diluted basis, and pre-Merger Fulcrum stockholders will own approximately 5.0% of the combined company on a fully-diluted basis (after giving effect to the Concurrent Investment and excluding any shares reserved for future grants under the 2026 Equity Incentive Plan and the 2026 ESPP, each as defined in the Merger Agreement). The percentage of the combined company that each party’s stockholders will own following the Closing is subject to certain adjustments as described in the Merger Agreement, including the amount of Fulcrum’s net cash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assumes (i) a valuation for Fulcrum of $31.3 million, subject to adjustment based on the amount of net cash of Fulcrum at the Closing, and (ii) a valuation for Slate of $350.0 million, exclusive of any proceeds received in connection with the Concurrent Investment; and (iii) a $245.0 million Concurrent Investment. The Exchange Ratio is also based on the relative capitalization of each of Fulcrum and Slate, for which, for the purposes of calculating the Exchange Ratio, the shares of Fulcrum Common Stock underlying Fulcrum stock options outstanding immediately prior to the Effective Time with an exercise price per share of less than or equal to $7.00 (as adjusted as provided in the Merger Agreement) will be deemed outstanding, and all shares of Slate Common Stock underlying outstanding Slate stock options, warrants, and other derivative securities will be deemed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unexercised and outstanding Fulcrum stock options will accelerate in full as of immediately prior to the Effective Time. Each such stock option with an exercise price per share greater than $7.00 (prior to giving effect to the Cash Dividend and Nasdaq Reverse Stock Split (as defined in the Merger Agreement)) that is not exercised as of immediately prior to the Effective Time shall be cancelled at the Effective Time for no consideration. All Fulcrum stock options with an exercise price per share less than or equal to $7.00 (prior to giving effect to the Cash Dividend and Nasdaq Reverse Stock Split (as defined in the Merger Agreement)) will continue to be subject to the same terms and conditions after the Effective Time as were applicable to such stock option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Merger Agreement, the vesting of each outstanding and unvested Fulcrum restricted stock unit award will be accelerated in full, effective as of immediately prior to the Effective Time, contingent on the occurrence of the Closing, and each holder thereof will receive shares of Fulcrum Common Stock in settlement of such awards immediately prior to the Effective Time.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in connection with the Closing, Fulcrum expects to declare a cash dividend to the pre-Merger Fulcrum stockholders of $270 million in the aggregate (the “Cash Dividend”), provided such amount is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Fulcrum will seek the approval of its stockholders to, among other things, (a) issue the shares of Fulcrum Common Stock issuable in connection with the Merger pursuant to the rules of The Nasdaq Stock Market LLC (“Nasdaq”), (b) adopt the 2026 Equity Incentive Plan and the 2026 ESPP (as each is defined in the Merger Agreement), and (c) amend its restated certificate of incorporation, as amended, to change Fulcrum’s name to “Slate Medicines, Inc.” and effect a reverse stock split of Fulcrum Common Stock, at a reverse stock split ratio to be mutually agreed to by Fulcrum and Slate (the “Fulcrum Voting Proposals”). </w:t>
      </w:r>
    </w:p>
    <w:p>
      <w:pPr>
        <w:pStyle w:val="TextBody"/>
        <w:bidi w:val="0"/>
        <w:spacing w:before="240" w:after="0"/>
        <w:jc w:val="left"/>
        <w:rPr>
          <w:rFonts w:ascii="Times New Roman" w:hAnsi="Times New Roman"/>
          <w:sz w:val="20"/>
        </w:rPr>
      </w:pPr>
      <w:r>
        <w:rPr>
          <w:rFonts w:ascii="Times New Roman" w:hAnsi="Times New Roman"/>
          <w:sz w:val="20"/>
        </w:rPr>
        <w:t xml:space="preserve">Each of Fulcrum and Slate has agreed to customary representations, warranties and covenants in the Merger Agreement, including, among others, covenants relating to (1) obtaining the requisite approval of their respective stockholders, (2) non-solicitation of alternative acquisition proposals, (3) the conduct of their respective businesses during the period between the date of signing the Merger Agreement and the Closing, (4) Fulcrum using commercially reasonable efforts to maintain the existing listing of the Fulcrum Common Stock on Nasdaq and cause the shares of Fulcrum Common Stock to be issued in connection with the Merger to be approved for listing on Nasdaq prior to the Closing and (5) Fulcrum filing with the U.S. Securities and Exchange Commission (the “SEC”) and causing to become effective a registration statement on Form S-4 to register the shares of Fulcrum Common Stock to be issued in connection with the Merger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Fulcrum stockholders of the Fulcrum Voting Proposals, (2) approval by the requisite Slate stockholders of the adoption and approval of the Merger Agreement and the transactions contemplated thereby, (3) the waiting period under the U.S. Hart Scott Rodino Antitrust Improvements Act of 1976, as amended, having expired or been terminated, (4) Nasdaq’s approval of the listing of the shares of Fulcrum Common Stock to be issued in connection with the Merger, (5) the effectiveness of the Registration Statement, (6) the effectiveness of the Nasdaq Reverse Stock Split, (7) Fulcrum’s net cash at the Closing being no less than $0, and (8) an executed Purchase Agreement for the Concurrent Investment in full force and effect evidencing cash proceeds of approximately $245.0 million to be received by the combined company immediately prior to or following the Closing. Each party’s 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certain termination rights of each of Fulcrum and Slate. Upon termination of the Merger Agreement under specified circumstances, Fulcrum may be required to pay Slate a termination fee of $10 million, and in certain other circumstances, Slate may be required to pay Fulcrum a termination fee of $15 million.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board of directors of Fulcrum is expected to consist of five members, all of whom will be designated by Slate.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and 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and in connection with the execution of the Merger Agreement, (i) certain stockholders of Slate (solely in their respective capacities as Slate stockholders) holding approximately 78.65% of the outstanding shares of Slate capital stock have entered into support agreements with Fulcrum and Slate to vote all of their shares of Slate capital stock in favor of the adoption and approval of the Merger Agreement and the transactions contemplated thereby (the “Slate Support Agreements”) and (ii) certain stockholders of Fulcrum holding approximately 1.0% of the outstanding shares of Fulcrum Common Stock have entered into support agreements with Fulcrum and Slate to vote all of their shares of Fulcrum Common Stock in favor of the Fulcrum Stockholder Proposals (the “Fulcrum Support Agreements,” and, together with the Slate Support Agreements, the “Support Agreements”).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Concurrently and in connection with the execution of the Merger Agreement, certain executive officers, directors and stockholders of Slate have entered into lock-up agreements (the “Lock-Up Agreements”) pursuant to which, and subject to specified exceptions, they have agreed not to transfer their shares of Fulcrum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preceding summaries of the Merger Agreement, the Support Agreements and the Lock-Up Agreements do not purport to be complete and are qualified in their entirety by reference to the Merger Agreement, the form of Fulcrum Support Agreement, the form of Slate Support Agreement, and the form of Lock-Up Agreement, which are filed as Exhibits 2.1, 10.1, 10.2, and 10.3,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Fulcrum or Slate or to modify or supplement any factual disclosures about Fulcrum in its public reports filed with the SEC. The Merger Agreement includes representations, warranties and covenants of Fulcrum, Slate, Merger Sub I and Merger Sub II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Fulcrum, Slate or any of their respective affiliates. Moreover, certain of those representations and warranties may not be accurate or complete as of any specified date, may be modified in important part by the underlying disclosure schedules which are not filed publicly, may be subject to a contractual standard of materiality different from those generally applicable to SEC filings or may have been used for purposes of allocating risk among the parties to the Merger Agreement, rather than establishing matters of fact.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and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a Securities Purchase Agreement (the “Purchase Agreement”) with certain existing Slate stockholders and new investors (the “Investors”).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and subject to the terms and conditions thereof, Slate agreed to sell, and the Investors agreed to purchase, immediately prior to the consummation of the Merger, shares of Slate Common Stock (the “Securities”) for an aggregate purchase price of approximately $245 million (collectively, the “Concurrent Investment”). The consummation of the transactions contemplated by such agreements is conditioned on the satisfaction or waiver of the conditions set forth in the Merger Agreement and in the Purchase Agreement. Shares of Slate Common Stock issued pursuant to this financing transaction will be converted into shares of Fulcrum Common Stock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Concurrent Investment is exempt from registration pursuant to Section 4(a)(2) of the Securities Act of 1933, as amended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Purchase Agreement does not purport to be complete and is qualified in its entirety by reference to the form of Purchase Agreement, which is filed as Exhibit 10.4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Purchase Agreement, on August 16, 2026, Slate entered into a Registration Rights Agreement (the “Registration Rights Agreement”) with the Investors. Pursuant to the Registration Rights Agreement, Slate agreed to cause to be prepared and filed by the combined company a resale registration statement with the SEC within 30 business days following the closing of the Concurrent Investment. Slate (and for periods of time after the Closing, the combined company) will use commercially reasonable efforts to cause this registration statement to be declared effective by the SEC within five business days of notification that the SEC will not review the registration statement (or within 60 calendar days if the SEC reviews the registration statement).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Slate also agreed to, among other things, indemnify the Investors, their officers, directors, members, employees and agents, successors and assigns under the registration statement from certain liabilities and pay all fees and expenses (excluding any legal fees of the selling holder(s), and any underwriting discounts and selling commissions) incident to Slate’s obligations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Registration Rights Agreement does not purport to be complete and is qualified in its entirety by reference to the form of Registration Rights Agreement, which is filed as Exhibit 10.5 to this Current Report on Form 8-K and incorporated herein by reference.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025"/>
        <w:gridCol w:w="3395"/>
      </w:tblGrid>
      <w:tr>
        <w:trPr/>
        <w:tc>
          <w:tcPr>
            <w:tcW w:w="102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shares to be issued by Slate in the Concurrent Investment will be issued in private placements exempt from registration under Section 4(a)(2) of the Securities Act, and/or Regulation D promulgated thereunder, because the offer and sale of such securities does not involve a “public offering” as defined in Section 4(a)(2) of the Securities Act, and other applicable requirements were met. Neither this Current Report on Form 8-K nor any of the exhibits attached hereto is an offer to sell or the solicitation of an offer to buy the Securities or any other securities of Slate or Fulcrum.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1025"/>
        <w:gridCol w:w="2900"/>
      </w:tblGrid>
      <w:tr>
        <w:trPr/>
        <w:tc>
          <w:tcPr>
            <w:tcW w:w="1025" w:type="dxa"/>
            <w:tcBorders/>
            <w:vAlign w:val="center"/>
          </w:tcPr>
          <w:p>
            <w:pPr>
              <w:pStyle w:val="TableContents"/>
              <w:bidi w:val="0"/>
              <w:spacing w:before="0" w:after="283"/>
              <w:jc w:val="left"/>
              <w:rPr>
                <w:b/>
              </w:rPr>
            </w:pPr>
            <w:r>
              <w:rPr>
                <w:b/>
              </w:rPr>
              <w:t>Item 5.01.</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17, 2026, Fulcrum and Slate issued a joint press release announcing the execution of the Merger Agreement and the Purchase Agreement. The press release is furnished as Exhibit 99.1 to this Current Report on Form 8-K and incorporated herein by reference, except that the information contained on the websites referenced in the press release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Furnished as Exhibit 99.2 hereto and incorporated herein by reference is the investor presentation that will be used by Fulcrum and Slate in connection with the Merger, including during the webcast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documents filed as exhibits hereto contain forward-looking statements within the meaning of the U.S. Private Securities Litigation Reform Act of 1995, including statements regarding the proposed transaction involving Fulcrum and Slate, including the conditions to, and timing of, closing of the proposed transaction, the Board of Directors and management of the combined company, the percentage ownership of the combined company (which is subject to adjustment based on the amount of Fulcrum’s net cash as of the closing of the proposed transaction), the potential of Fulcrum stockholders to receive cash distributions (including the amount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the parties’ ability to consummate the proposed transaction and Slate private placement financing, including the intended use of net proceeds from the Slate private placement financing and the expected timing of closing and completion of the private placement financing, the combined company’s expected cash runway and the sufficiency of the combined company’s cash to fund operations into 2029, the listing of the combined company’s shares on Nasdaq, the expectations surrounding the potential, safety, efficacy, and regulatory and clinical progress of Slate’s product candidates, including SLTE-1009, and anticipated milestones and timing, among others.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with respect to: (i) the timely satisfaction of the conditions to the closing of the proposed transaction,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Slate to consummate the proposed transaction; (iii) the ability of Fulcrum and Slate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Fulcrum, Slate or their respective directors; (vi) possible disruptions from the proposed transaction that could harm Fulcrum’s and/or Slate’s respective businesses; (vii) the ability of Slate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Slate’s financial performance; (x) certain restrictions during the pendency of the proposed transaction that may impact Fulcrum’s or Slate’s ability to pursue certain business opportunities or strategic transactions; (xi) the combined company’s need for additional funding, which may not be available on favorable terms or at all; (xii) potential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the combined company’s product candidates may cause serious adverse side effects; (xviii) inability to maintain existing or future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 the possibility of system failures or security breaches; risks relating to intellectual property; (xxvii) significant costs incurred as a result of operating as a public company; (xxviii) the risk that, as a result of adjustments to the exchange ratio, Fulcrum stockholders and Slate stockholders could own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factors as are set forth in Fulcrum’s periodic public filings with the SEC, including but not limited to those described under the heading “Risk Factors” in Fulcrum’s Quarterly Report on Form 10-Q for the period ended June 30, 2026. Fulcrum and Slate can give no assurance that any or all of the conditions to the proposed transaction will be satisfied. Except as required by applicable law, Fulcrum and Slate undertake no obligation to revise or update any forward-looking statement, or to make any other forward-looking statements, whether as a result of new information, future events or otherwise.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substitute for the registration statement or for any other document that Fulcrum may file with the SEC in connection with the proposed merger. In connection with the proposed merger between Fulcrum and Slate,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SLATE,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Fulcrum, Slate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0"/>
        <w:gridCol w:w="60"/>
        <w:gridCol w:w="8445"/>
      </w:tblGrid>
      <w:tr>
        <w:trPr/>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5" w:type="dxa"/>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8" w:space="0" w:color="000000"/>
            </w:tcBorders>
            <w:tcMar>
              <w:bottom w:w="28" w:type="dxa"/>
            </w:tcMar>
            <w:vAlign w:val="center"/>
          </w:tcPr>
          <w:p>
            <w:pPr>
              <w:pStyle w:val="TableContents"/>
              <w:bidi w:val="0"/>
              <w:spacing w:before="0" w:after="283"/>
              <w:jc w:val="center"/>
              <w:rPr>
                <w:b/>
              </w:rPr>
            </w:pPr>
            <w:r>
              <w:rPr>
                <w:b/>
              </w:rPr>
              <w:t>Exhibit Number</w:t>
            </w:r>
          </w:p>
        </w:tc>
        <w:tc>
          <w:tcPr>
            <w:tcW w:w="60" w:type="dxa"/>
            <w:tcBorders/>
            <w:vAlign w:val="center"/>
          </w:tcPr>
          <w:p>
            <w:pPr>
              <w:pStyle w:val="TableContents"/>
              <w:bidi w:val="0"/>
              <w:spacing w:before="0" w:after="283"/>
              <w:jc w:val="left"/>
              <w:rPr/>
            </w:pPr>
            <w:r>
              <w:rPr/>
              <w:t> </w:t>
            </w:r>
          </w:p>
        </w:tc>
        <w:tc>
          <w:tcPr>
            <w:tcW w:w="84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2.1*</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21.htm">
              <w:r>
                <w:rPr>
                  <w:rStyle w:val="InternetLink"/>
                </w:rPr>
                <w:t xml:space="preserve">Agreement and Plan of Merger, dated as of August 16, 2026, by and among Fulcrum Therapeutics, Inc., Fusion Merger Sub I, Inc., Fusion Merger Sub II, LLC and Slate Medicines, Inc.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101.htm">
              <w:r>
                <w:rPr>
                  <w:rStyle w:val="InternetLink"/>
                </w:rPr>
                <w:t xml:space="preserve">Form of Fulcrum Support Agreement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102.htm">
              <w:r>
                <w:rPr>
                  <w:rStyle w:val="InternetLink"/>
                </w:rPr>
                <w:t xml:space="preserve">Form of Slate Support Agreement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103.htm">
              <w:r>
                <w:rPr>
                  <w:rStyle w:val="InternetLink"/>
                </w:rPr>
                <w:t xml:space="preserve">Form of Lock-Up Agreement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104.htm">
              <w:r>
                <w:rPr>
                  <w:rStyle w:val="InternetLink"/>
                </w:rPr>
                <w:t xml:space="preserve">Form of Securities Purchase Agreement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10.5</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105.htm">
              <w:r>
                <w:rPr>
                  <w:rStyle w:val="InternetLink"/>
                </w:rPr>
                <w:t xml:space="preserve">Form of Registration Rights Agreement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991.htm">
              <w:r>
                <w:rPr>
                  <w:rStyle w:val="InternetLink"/>
                </w:rPr>
                <w:t xml:space="preserve">Joint Press Release, issued on August 17, 2026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99.2</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hyperlink w:anchor="d136791dex992.htm">
              <w:r>
                <w:rPr>
                  <w:rStyle w:val="InternetLink"/>
                </w:rPr>
                <w:t xml:space="preserve">Investor Presentation, dated August 17, 2026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844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5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19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FULCRUM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C. Sapir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xml:space="preserve">Name: Alex C. Sapir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 and Chief Executive Officer</w:t>
            </w:r>
          </w:p>
        </w:tc>
      </w:tr>
    </w:tbl>
    <w:p>
      <w:pPr>
        <w:pStyle w:val="TextBody"/>
        <w:bidi w:val="0"/>
        <w:spacing w:before="0" w:after="0"/>
        <w:jc w:val="right"/>
        <w:rPr>
          <w:rFonts w:ascii="Times New Roman" w:hAnsi="Times New Roman"/>
          <w:b/>
          <w:sz w:val="20"/>
        </w:rPr>
      </w:pPr>
      <w:bookmarkStart w:id="2" w:name="d136791dex21.htm"/>
      <w:bookmarkStart w:id="3" w:name="ksd136791dex21"/>
      <w:bookmarkEnd w:id="2"/>
      <w:bookmarkEnd w:id="3"/>
      <w:r>
        <w:rPr>
          <w:rFonts w:ascii="Times New Roman" w:hAnsi="Times New Roman"/>
          <w:b/>
          <w:sz w:val="20"/>
        </w:rPr>
        <w:t xml:space="preserve">Exhibit 2.1 </w:t>
      </w:r>
      <w:r>
        <w:br w:type="page"/>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II, LLC,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16,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84"/>
        <w:gridCol w:w="8179"/>
        <w:gridCol w:w="140"/>
        <w:gridCol w:w="96"/>
        <w:gridCol w:w="420"/>
        <w:gridCol w:w="62"/>
      </w:tblGrid>
      <w:tr>
        <w:trPr/>
        <w:tc>
          <w:tcPr>
            <w:tcW w:w="1224"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17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7" w:type="dxa"/>
            <w:gridSpan w:val="3"/>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&amp; INTERPRETATIONS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Certain Definitions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Interpretation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Currency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Formation of Merger Subs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The Mergers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Closing</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First Effective Time; Second Effective Time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Effects of the Merger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Parent Governance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First Step Surviving Company and Surviving Entity Governance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EFFECT ON THE CAPITAL STOCK OF THE CONSTITUENT COMPANIES; EXCHANGE OF CERTIFICATES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Conversion of Capital Stock</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Treatment of Company Options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Treatment of Company Warrants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Exchange and Payment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Withholding Rights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Dissenters Rights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Calculation of Net Cash</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Organization, Standing and Power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Capital Stock</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Subsidiaries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Authority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No Conflict; Consents and Approvals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Financial Statements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No Undisclosed Liabilities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Absence of Certain Changes or Events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Litigation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Compliance with Laws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Health Care Regulatory Matters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Benefit Plans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Labor and Employment Matters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38"/>
        <w:gridCol w:w="105"/>
        <w:gridCol w:w="8226"/>
        <w:gridCol w:w="152"/>
        <w:gridCol w:w="60"/>
        <w:gridCol w:w="261"/>
        <w:gridCol w:w="63"/>
      </w:tblGrid>
      <w:tr>
        <w:trPr/>
        <w:tc>
          <w:tcPr>
            <w:tcW w:w="133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22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Environmental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Tax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Contracts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Insurance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Properties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Intellectual Property; Privacy and Security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State Takeover Statutes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Rights Plan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Related Party Transactions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Certain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Trade Laws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CFIUS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Outbound Investment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Data Security Program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Brokers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Subscription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4.30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Other Representations and Warranties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3"/>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AND MERGER SUB</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38" w:type="dxa"/>
            <w:tcBorders/>
            <w:vAlign w:val="center"/>
          </w:tcPr>
          <w:p>
            <w:pPr>
              <w:pStyle w:val="TableContents"/>
              <w:bidi w:val="0"/>
              <w:spacing w:before="0" w:after="283"/>
              <w:jc w:val="left"/>
              <w:rPr>
                <w:sz w:val="4"/>
                <w:szCs w:val="4"/>
              </w:rPr>
            </w:pPr>
            <w:r>
              <w:rPr>
                <w:sz w:val="4"/>
                <w:szCs w:val="4"/>
              </w:rPr>
            </w:r>
          </w:p>
        </w:tc>
        <w:tc>
          <w:tcPr>
            <w:tcW w:w="8331"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Organization, Standing and Power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Capital Stock</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Subsidiaries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Authority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Conflict; Consents and Approvals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SEC Reports; Financial Statements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Undisclosed Liabilities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Absence of Certain Changes or Events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Litigation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Compliance with Law</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Health Care Regulatory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Benefit Plans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Labor and Employment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Environmental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Tax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Contracts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Insurance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Properties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Intellectual Property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Related Party Transactions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Certain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Trade Laws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CFIUS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Outbound Investment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Data Security Program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Brokers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80"/>
        <w:gridCol w:w="96"/>
        <w:gridCol w:w="8299"/>
        <w:gridCol w:w="145"/>
        <w:gridCol w:w="60"/>
        <w:gridCol w:w="261"/>
        <w:gridCol w:w="64"/>
      </w:tblGrid>
      <w:tr>
        <w:trPr/>
        <w:tc>
          <w:tcPr>
            <w:tcW w:w="128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82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5.27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Opinion of Financial Advisor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5.28</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State Takeover Statutes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5.29</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No Other Representations or Warranties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COVENANTS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Operation of Parent’s Business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Operation of Company’s Business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Access and Investigation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No Solicitation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Notification of Certain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Options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Restricted Stock Unit Awards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ESPP</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401(k) Plan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ADDITIONAL AGREEMENTS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Registration Statement; Proxy Statement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Company Stockholder Approval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Stockholders’ Meeting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Efforts; Regulatory Approvals; Transaction Litigation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Indemnification, Exculpation and Insurance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Section 16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Disclosure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Listing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Tax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Directors and Officers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Termination of Certain Agreements and Rights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Obligations of Merger Subs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Allocation Certificate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Pre-Closing Cash Dividend</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Concurrent Investment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Equity Plans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SEC Documents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CLOSING CONDITIONS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Conditions Precedent of each Party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Conditions Precedent to Obligation of the Company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Conditions Precedent of Parent and Merger Sub</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Effect of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Expenses; Termination Fees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77"/>
        <w:gridCol w:w="99"/>
        <w:gridCol w:w="8083"/>
        <w:gridCol w:w="141"/>
        <w:gridCol w:w="60"/>
        <w:gridCol w:w="382"/>
        <w:gridCol w:w="63"/>
      </w:tblGrid>
      <w:tr>
        <w:trPr/>
        <w:tc>
          <w:tcPr>
            <w:tcW w:w="1377"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08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GENERAL PROVISIONS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82" w:type="dxa"/>
            <w:gridSpan w:val="2"/>
            <w:tcBorders/>
            <w:vAlign w:val="center"/>
          </w:tcPr>
          <w:p>
            <w:pPr>
              <w:pStyle w:val="TableContents"/>
              <w:bidi w:val="0"/>
              <w:spacing w:before="0" w:after="283"/>
              <w:jc w:val="left"/>
              <w:rPr>
                <w:sz w:val="4"/>
                <w:szCs w:val="4"/>
              </w:rPr>
            </w:pPr>
            <w:r>
              <w:rPr>
                <w:sz w:val="4"/>
                <w:szCs w:val="4"/>
              </w:rPr>
            </w:r>
          </w:p>
        </w:tc>
        <w:tc>
          <w:tcPr>
            <w:tcW w:w="646"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Non-survival of Representations and Warranties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Amendment or Supplement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Waiver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Fees and Expenses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Notices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Entire Agreement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 Third Party Beneficiaries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Governing Law</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Submission to Jurisdiction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Assignment; Successors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Specific Performance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Severability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Waiver of Jury Trial</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Counterparts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Facsimile or .pdf Signature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 Presumption Against Drafting Party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6"/>
        <w:gridCol w:w="121"/>
        <w:gridCol w:w="9008"/>
      </w:tblGrid>
      <w:tr>
        <w:trPr/>
        <w:tc>
          <w:tcPr>
            <w:tcW w:w="10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008" w:type="dxa"/>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Exhibit A</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Parent Support Agreement</w:t>
            </w:r>
          </w:p>
        </w:tc>
      </w:tr>
      <w:tr>
        <w:trPr/>
        <w:tc>
          <w:tcPr>
            <w:tcW w:w="1076" w:type="dxa"/>
            <w:tcBorders/>
          </w:tcPr>
          <w:p>
            <w:pPr>
              <w:pStyle w:val="TableContents"/>
              <w:bidi w:val="0"/>
              <w:spacing w:before="0" w:after="283"/>
              <w:jc w:val="left"/>
              <w:rPr/>
            </w:pPr>
            <w:r>
              <w:rPr/>
              <w:t>Exhibit B</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Company Support Agreement</w:t>
            </w:r>
          </w:p>
        </w:tc>
      </w:tr>
      <w:tr>
        <w:trPr/>
        <w:tc>
          <w:tcPr>
            <w:tcW w:w="1076" w:type="dxa"/>
            <w:tcBorders/>
          </w:tcPr>
          <w:p>
            <w:pPr>
              <w:pStyle w:val="TableContents"/>
              <w:bidi w:val="0"/>
              <w:spacing w:before="0" w:after="283"/>
              <w:jc w:val="left"/>
              <w:rPr/>
            </w:pPr>
            <w:r>
              <w:rPr/>
              <w:t>Exhibit C</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Lock-Up Agreement</w:t>
            </w:r>
          </w:p>
        </w:tc>
      </w:tr>
      <w:tr>
        <w:trPr/>
        <w:tc>
          <w:tcPr>
            <w:tcW w:w="1076" w:type="dxa"/>
            <w:tcBorders/>
          </w:tcPr>
          <w:p>
            <w:pPr>
              <w:pStyle w:val="TableContents"/>
              <w:bidi w:val="0"/>
              <w:spacing w:before="0" w:after="283"/>
              <w:jc w:val="left"/>
              <w:rPr/>
            </w:pPr>
            <w:r>
              <w:rPr/>
              <w:t>Exhibit D</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Subscription Agreement</w:t>
            </w:r>
          </w:p>
        </w:tc>
      </w:tr>
      <w:tr>
        <w:trPr/>
        <w:tc>
          <w:tcPr>
            <w:tcW w:w="1076" w:type="dxa"/>
            <w:tcBorders/>
          </w:tcPr>
          <w:p>
            <w:pPr>
              <w:pStyle w:val="TableContents"/>
              <w:bidi w:val="0"/>
              <w:spacing w:before="0" w:after="283"/>
              <w:jc w:val="left"/>
              <w:rPr/>
            </w:pPr>
            <w:r>
              <w:rPr/>
              <w:t>Exhibit E-1</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First Certificate of Merger</w:t>
            </w:r>
          </w:p>
        </w:tc>
      </w:tr>
      <w:tr>
        <w:trPr/>
        <w:tc>
          <w:tcPr>
            <w:tcW w:w="1076" w:type="dxa"/>
            <w:tcBorders/>
          </w:tcPr>
          <w:p>
            <w:pPr>
              <w:pStyle w:val="TableContents"/>
              <w:bidi w:val="0"/>
              <w:spacing w:before="0" w:after="283"/>
              <w:jc w:val="left"/>
              <w:rPr/>
            </w:pPr>
            <w:r>
              <w:rPr/>
              <w:t>Exhibit E-2</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Second Certificate of Merger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Definition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Equity Incentive Plan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ESPP</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Plans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Acceptable Confidentiality Agreement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Firm</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Inquiry</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Proposal</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Transaction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4.9</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Affiliate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Allocation Certificate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Anticipated Meeting Date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Assumed Option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Determination Time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Merger</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COBRA</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4.12(d)(v)</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Audited Financial Statements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7.1(g)</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Balance Sheet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Adverse Recommendation Change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Recommendation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Bylaws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Capital Stock</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Charter</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Equity Plan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Fundamental Representations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Interim Financial Statements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Intervening Event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Notice Period</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7.2(d)</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Outstanding Shares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Owned IP</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Plan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 Conversion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Products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 Awards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 Approval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Support Agreements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Termination Fee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Triggering Event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Value Per Share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Amount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Controlled Group</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Offering Period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Processors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 Secretary of State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Delivery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Dispute Notice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Record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DLLCA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Plan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Environmental Law</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Agent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FCPA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4.23</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 Ethics Policy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4.11(i)</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Parent Net Cash</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S-4</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Entity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Hazardous Substance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Health Care Laws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795"/>
        <w:gridCol w:w="220"/>
        <w:gridCol w:w="2190"/>
      </w:tblGrid>
      <w:tr>
        <w:trPr/>
        <w:tc>
          <w:tcPr>
            <w:tcW w:w="779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Investor Agreements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IRS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Systems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4.19(g)</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knowledge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1.1(z)</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Law</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Lock-Up Agreement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Adverse Effect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Measurement Date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Consideration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 Preamble</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Fees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1.1(cc)</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Issuance Proposal</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Listing Application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Reverse Stock Split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1.1(dd)</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1.1(ee)</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Ordinary Course Agreement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4.15(g)</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Outbound Investment Security Program</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4.26, Section 5.24</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401(k) Plan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Adverse Recommendation Change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 Issuance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Equity Plans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1.1(ff)</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ESPP</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1.1(gg)</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Fundamental Representations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1.1(hh)</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Intervening Event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IT Systems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5.19(d)</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Adverse Effect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Contracts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Calculation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Schedule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Notice Period</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1.1(ii)</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Outstanding Shares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3.1(a)(i)(D)</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IP</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1.1(jj)</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Plan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1.1(kk)</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Preferred Stock</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Products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Registered IP</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1.1(ll)</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Approval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Proposals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Support Agreements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Termination Fee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9.3(d)</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Triggering Event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1.1(mm)</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Value Per Share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3.1(a)(i)(F)</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PBGC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4.12(d)(iv)</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4.10</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Alternative Agreement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9.1(j)</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Liens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4.18(a)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1.1(nn)</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Personal Information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 Amount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Period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Privacy Laws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Registration Statement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Representative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1.1(oo)</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Response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Reverse Stock Split Proposal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Safety Notices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4.11(g)</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Country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1.1(pp)</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Person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1.1(qq)</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1.1(rr)</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Stockholder Notice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Subscription Agreement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Subsequent Transaction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1.1(tt)</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Offer</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1.1(uu)</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4.20</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Target Net Cash</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Action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4.15(d)</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Certificates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Return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1.1(vv)</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1.1(xx)</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4.13(d)</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Withholding Agent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16, 2026, by and among Fulcrum Therapeutics, Inc., a Delaware corporation (“</w:t>
      </w:r>
      <w:r>
        <w:rPr>
          <w:rFonts w:ascii="Times New Roman" w:hAnsi="Times New Roman"/>
          <w:sz w:val="20"/>
          <w:u w:val="single"/>
        </w:rPr>
        <w:t>Parent</w:t>
      </w:r>
      <w:r>
        <w:rPr>
          <w:rFonts w:ascii="Times New Roman" w:hAnsi="Times New Roman"/>
          <w:sz w:val="20"/>
        </w:rPr>
        <w:t>”), Fusion Merger Sub I, Inc., a Delaware corporation and wholly owned subsidiary of Parent (“</w:t>
      </w:r>
      <w:r>
        <w:rPr>
          <w:rFonts w:ascii="Times New Roman" w:hAnsi="Times New Roman"/>
          <w:sz w:val="20"/>
          <w:u w:val="single"/>
        </w:rPr>
        <w:t>First Merger Sub</w:t>
      </w:r>
      <w:r>
        <w:rPr>
          <w:rFonts w:ascii="Times New Roman" w:hAnsi="Times New Roman"/>
          <w:sz w:val="20"/>
        </w:rPr>
        <w:t>”), Fusion Merger Sub II,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and together with First Merger Sub, “</w:t>
      </w:r>
      <w:r>
        <w:rPr>
          <w:rFonts w:ascii="Times New Roman" w:hAnsi="Times New Roman"/>
          <w:sz w:val="20"/>
          <w:u w:val="single"/>
        </w:rPr>
        <w:t>Merger Subs</w:t>
      </w:r>
      <w:r>
        <w:rPr>
          <w:rFonts w:ascii="Times New Roman" w:hAnsi="Times New Roman"/>
          <w:sz w:val="20"/>
        </w:rPr>
        <w:t>”) and Slate Medicines,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and the Company intend to effect a merger of First Merger Sub with and into the Company (the “</w:t>
      </w:r>
      <w:r>
        <w:rPr>
          <w:rFonts w:ascii="Times New Roman" w:hAnsi="Times New Roman"/>
          <w:sz w:val="20"/>
          <w:u w:val="single"/>
        </w:rPr>
        <w:t>First Merger</w:t>
      </w:r>
      <w:r>
        <w:rPr>
          <w:rFonts w:ascii="Times New Roman" w:hAnsi="Times New Roman"/>
          <w:sz w:val="20"/>
        </w:rPr>
        <w:t>”) in accordance with this Agreement and the General Corporation Law of the State of Delaware (the “</w:t>
      </w:r>
      <w:r>
        <w:rPr>
          <w:rFonts w:ascii="Times New Roman" w:hAnsi="Times New Roman"/>
          <w:sz w:val="20"/>
          <w:u w:val="single"/>
        </w:rPr>
        <w:t>DGCL</w:t>
      </w:r>
      <w:r>
        <w:rPr>
          <w:rFonts w:ascii="Times New Roman" w:hAnsi="Times New Roman"/>
          <w:sz w:val="20"/>
        </w:rPr>
        <w:t xml:space="preserve">”). Upon consummation of the First Merger, First Merger Sub will cease to exist and the Company will become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First Merger and as part of the same overall transaction as the First Merger, the Company will merge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w:t>
      </w:r>
      <w:r>
        <w:rPr>
          <w:rFonts w:ascii="Times New Roman" w:hAnsi="Times New Roman"/>
          <w:sz w:val="20"/>
        </w:rPr>
        <w:t>”) in accordance with this Agreement, the DGCL and the Delaware Limited Liability Company Act (the “</w:t>
      </w:r>
      <w:r>
        <w:rPr>
          <w:rFonts w:ascii="Times New Roman" w:hAnsi="Times New Roman"/>
          <w:sz w:val="20"/>
          <w:u w:val="single"/>
        </w:rPr>
        <w:t>DLLCA</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consistent with Rev. Rul. 2001-46, 2001-2 C.B. 321, the First Merger and the Second Merger, taken together, constitute a single integrated transaction that qualifies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the Treasury Regulations promulgated thereunder to which Parent and the Company are parties under Section 368(b) of the Code, and that this Agreement be, and hereby is, adopted as a “plan of reorganization” for the purposes of Section 368 of the Code and Treasury Regulations Sections 1.368-2(g) and 1.368-3(a)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xml:space="preserve">”) has (i) determined that the transactions contemplated hereby are fair to, advisable and in the best interests of the Company and its stockholders, (ii) approved and declared advisable this Agreement and the transactions contemplated hereby and (iii) determined to recommend, upon the terms and subject to the conditions set forth in this Agreement, that the stockholders of the Company vote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the Company Board has unanimously approved this Agreement and the Merger, with the Company continuing as the First Step Surviving Company (as defined below), after the First Effective Time (as defined below), pursuant to which each share of Company Capital Stock shall be converted into the right to receive a number of shares of common stock, par value $0.001 per share, of Parent (the “</w:t>
      </w:r>
      <w:r>
        <w:rPr>
          <w:rFonts w:ascii="Times New Roman" w:hAnsi="Times New Roman"/>
          <w:sz w:val="20"/>
          <w:u w:val="single"/>
        </w:rPr>
        <w:t>Parent Common Stock</w:t>
      </w:r>
      <w:r>
        <w:rPr>
          <w:rFonts w:ascii="Times New Roman" w:hAnsi="Times New Roman"/>
          <w:sz w:val="20"/>
        </w:rPr>
        <w:t xml:space="preserve">”) equal to the Exchange Ratio, upon the terms and subject to the conditions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each of First Merger Sub and Second Merger Sub is a newly organized Delaware entity that is directly and wholly owned by Parent, and has been formed for the sole purpose of effecting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has (i) determined that the transactions contemplated hereby are fair to, advisable and in the best interests of Parent and its stockholders, (ii) approved and declared advisable this Agreement and the transactions contemplated hereby, including the issuance of shares of Parent Common Stock to the stockholders of the Company pursuant to this Agreement and the Parent Support Agreements, (iii) determined that the Reverse Stock Split Proposal (as defined below) is advisable and in the best interests of Parent and its stockholders, (iv) determined to recommend, upon the terms and subject to the conditions set forth in this Agreement, that the stockholders of Parent vote to authorize the issuance of the Parent Common Stock in accordance with Nasdaq Listing Rule 5635 (the “</w:t>
      </w:r>
      <w:r>
        <w:rPr>
          <w:rFonts w:ascii="Times New Roman" w:hAnsi="Times New Roman"/>
          <w:sz w:val="20"/>
          <w:u w:val="single"/>
        </w:rPr>
        <w:t>Nasdaq Issuance Proposal</w:t>
      </w:r>
      <w:r>
        <w:rPr>
          <w:rFonts w:ascii="Times New Roman" w:hAnsi="Times New Roman"/>
          <w:sz w:val="20"/>
        </w:rPr>
        <w:t>”) and (v) determined to recommend, upon the terms and subject to the conditions set forth in this Agreement, as promptly as practicable after the forms thereof are mutually agreed to by Parent and the Company, upon the terms and subject to the conditions set forth in this Agreement, that the stockholders of Parent vote to approve one or more amendments to Parent’s certificate of incorporation to effect the Nasdaq Reverse Stock Split (the “</w:t>
      </w:r>
      <w:r>
        <w:rPr>
          <w:rFonts w:ascii="Times New Roman" w:hAnsi="Times New Roman"/>
          <w:sz w:val="20"/>
          <w:u w:val="single"/>
        </w:rPr>
        <w:t>Reverse Stock Split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or managing member, as applicable, of each of First Merger Sub and Second Merger Sub has (i) determined that the transactions contemplated hereby are fair to, advisable and in the best interests of such Merger Sub and its sole stockholder or member, (ii) approved and declared advisable this Agreement and the transactions contemplated hereby and (iii) determined to recommend, upon the terms and subject to the conditions set forth in this Agreement, that the stockholder or member of such Merger Sub votes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Subs and the Company each desire to make certain representations, warranties, covenants and agreements in connection with the Merger and also to prescribe certain conditions to the Merger as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the officers, directors and stockholders of Parent listed on Section A of the Parent Disclosure Letter have entered into Parent Support Agreements, dated as of the date of this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Parent Support Agreements</w:t>
      </w:r>
      <w:r>
        <w:rPr>
          <w:rFonts w:ascii="Times New Roman" w:hAnsi="Times New Roman"/>
          <w:sz w:val="20"/>
        </w:rPr>
        <w:t xml:space="preserve">”), pursuant to which such officers, directors and stockholders have, subject to the terms and conditions set forth therein, agreed to vote all of their shares of Parent Common Stock in favor of the approval of this Agreement and thereby approve the transactions contemplated hereby, including, but not limited to the Nasdaq Issuance Proposal and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of Parent’s willingness to enter into this Agreement,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have entered into Company Support Agreements, dated as of the date of this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Company Support Agreements</w:t>
      </w:r>
      <w:r>
        <w:rPr>
          <w:rFonts w:ascii="Times New Roman" w:hAnsi="Times New Roman"/>
          <w:sz w:val="20"/>
        </w:rPr>
        <w:t xml:space="preserve">”), pursuant to which such officers, directors and stockholders have, subject to the terms and conditions set forth therein, agreed to vote all of their shares of Company Common Stock in favor of the adoption of this Agreement and thereby approve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Parent’s willingness to enter into this Agreement, certain stockholders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it is expected that within two (2) Business Days after the Registration Statement is declared effective under the Securities Act, the stockholders of the Company will execute an action by written consent by (a) the holders of a majority of the outstanding shares of Company Common Stock and Company Preferred Stock, voting together as a single class on an as-converted to Company Common Stock basis, and (b) the holders of at least 55% of the outstanding shares of Company Preferred Stock, voting together as a single class on an as-converted to Company Common Stock basis (the “</w:t>
      </w:r>
      <w:r>
        <w:rPr>
          <w:rFonts w:ascii="Times New Roman" w:hAnsi="Times New Roman"/>
          <w:sz w:val="20"/>
          <w:u w:val="single"/>
        </w:rPr>
        <w:t>Requisite Preferred Holders</w:t>
      </w:r>
      <w:r>
        <w:rPr>
          <w:rFonts w:ascii="Times New Roman" w:hAnsi="Times New Roman"/>
          <w:sz w:val="20"/>
        </w:rPr>
        <w:t>”), in form and substance reasonably acceptable to Parent, approving and adopting this Agreement (the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stockholders of Parent as of the Dividend Record Date (which for clarity shall exclude holders of Parent Common Stock issued as part of the Merger Consideration) shall be entitled to receive from Parent a cash dividend in an aggregate amount to be determined in accordance with Section 7.14 of this Agreement (the “</w:t>
      </w:r>
      <w:r>
        <w:rPr>
          <w:rFonts w:ascii="Times New Roman" w:hAnsi="Times New Roman"/>
          <w:sz w:val="20"/>
          <w:u w:val="single"/>
        </w:rPr>
        <w:t>Pre-Closing Cash Dividend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certain investors (each a “</w:t>
      </w:r>
      <w:r>
        <w:rPr>
          <w:rFonts w:ascii="Times New Roman" w:hAnsi="Times New Roman"/>
          <w:sz w:val="20"/>
          <w:u w:val="single"/>
        </w:rPr>
        <w:t>Concurrent Investment Investor</w:t>
      </w:r>
      <w:r>
        <w:rPr>
          <w:rFonts w:ascii="Times New Roman" w:hAnsi="Times New Roman"/>
          <w:sz w:val="20"/>
        </w:rPr>
        <w:t>” and collectively the “</w:t>
      </w:r>
      <w:r>
        <w:rPr>
          <w:rFonts w:ascii="Times New Roman" w:hAnsi="Times New Roman"/>
          <w:sz w:val="20"/>
          <w:u w:val="single"/>
        </w:rPr>
        <w:t>Concurrent Investment Investors</w:t>
      </w:r>
      <w:r>
        <w:rPr>
          <w:rFonts w:ascii="Times New Roman" w:hAnsi="Times New Roman"/>
          <w:sz w:val="20"/>
        </w:rPr>
        <w:t>”) have entered into subscription agreements representing an aggregate commitment of not less than $245,000,000 (or as approximately close thereto due to rounding) (the “</w:t>
      </w:r>
      <w:r>
        <w:rPr>
          <w:rFonts w:ascii="Times New Roman" w:hAnsi="Times New Roman"/>
          <w:sz w:val="20"/>
          <w:u w:val="single"/>
        </w:rPr>
        <w:t>Concurrent Investment Amount</w:t>
      </w:r>
      <w:r>
        <w:rPr>
          <w:rFonts w:ascii="Times New Roman" w:hAnsi="Times New Roman"/>
          <w:sz w:val="20"/>
        </w:rPr>
        <w:t xml:space="preserve">”) in the form attached hereto as </w:t>
      </w:r>
      <w:r>
        <w:rPr>
          <w:rFonts w:ascii="Times New Roman" w:hAnsi="Times New Roman"/>
          <w:sz w:val="20"/>
          <w:u w:val="single"/>
        </w:rPr>
        <w:t>Exhibit D</w:t>
      </w:r>
      <w:r>
        <w:rPr>
          <w:rFonts w:ascii="Times New Roman" w:hAnsi="Times New Roman"/>
          <w:sz w:val="20"/>
        </w:rPr>
        <w:t xml:space="preserve"> (collectively, the “</w:t>
      </w:r>
      <w:r>
        <w:rPr>
          <w:rFonts w:ascii="Times New Roman" w:hAnsi="Times New Roman"/>
          <w:sz w:val="20"/>
          <w:u w:val="single"/>
        </w:rPr>
        <w:t>Subscription Agreement</w:t>
      </w:r>
      <w:r>
        <w:rPr>
          <w:rFonts w:ascii="Times New Roman" w:hAnsi="Times New Roman"/>
          <w:sz w:val="20"/>
        </w:rPr>
        <w:t>”), pursuant to which such Persons will have agreed, subject to the terms and conditions set forth therein, to subscribe and purchase a number of shares of the Company Common Stock (the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Parent, Merger Subs and the Company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Certain 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2026 Equity Incentive Plan</w:t>
      </w:r>
      <w:r>
        <w:rPr>
          <w:rFonts w:ascii="Times New Roman" w:hAnsi="Times New Roman"/>
          <w:sz w:val="20"/>
        </w:rPr>
        <w:t xml:space="preserve">” shall mean an equity incentive plan of Parent in form and substance as designated by the Company (such agreement not to be unreasonably withheld, conditioned or delayed), reserving for issuance a number of shares of Parent Common Stock not exceeding fifteen percent (15%) of the Parent Common Stock issued and expected to be outstanding immediately after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2026 ESPP</w:t>
      </w:r>
      <w:r>
        <w:rPr>
          <w:rFonts w:ascii="Times New Roman" w:hAnsi="Times New Roman"/>
          <w:sz w:val="20"/>
        </w:rPr>
        <w:t xml:space="preserve">” shall mean an “employee stock purchase plan” of Parent in form and substance as designated by the Company and agreed by Parent (such agreement not to be unreasonably withheld, conditioned or delayed), reserving for issuance a number of shares of Parent Common Stock not exceeding five percent (5%)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2026 Plans</w:t>
      </w:r>
      <w:r>
        <w:rPr>
          <w:rFonts w:ascii="Times New Roman" w:hAnsi="Times New Roman"/>
          <w:sz w:val="20"/>
        </w:rPr>
        <w:t xml:space="preserve">” shall mean both the 2026 Equity Incentive Plan and 2026 ESPP.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could reasonably be expected to lead to an Acquisition Proposal, other than the Concurrent Investment.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Acquisition Proposal</w:t>
      </w:r>
      <w:r>
        <w:rPr>
          <w:rFonts w:ascii="Times New Roman" w:hAnsi="Times New Roman"/>
          <w:sz w:val="20"/>
        </w:rPr>
        <w:t xml:space="preserve">” means, with respect to either party hereto, any proposal or offer (whether written or oral) from any Person (other than the other party or any of its Representatives) providing for an Acquisition Transaction (other than in connection with the Concurrent Investment or the exercise of existing equity interests).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Acquisition Transaction</w:t>
      </w:r>
      <w:r>
        <w:rPr>
          <w:rFonts w:ascii="Times New Roman" w:hAnsi="Times New Roman"/>
          <w:sz w:val="20"/>
        </w:rPr>
        <w:t xml:space="preserve">” means any transaction or series of related transactions (other than the Concurrent Investment) involving: </w:t>
      </w:r>
    </w:p>
    <w:p>
      <w:pPr>
        <w:pStyle w:val="TextBody"/>
        <w:bidi w:val="0"/>
        <w:spacing w:before="12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of the fair market value of the assets of a party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Affiliate</w:t>
      </w:r>
      <w:r>
        <w:rPr>
          <w:rFonts w:ascii="Times New Roman" w:hAnsi="Times New Roman"/>
          <w:sz w:val="20"/>
        </w:rPr>
        <w:t xml:space="preserve">” of any Person means any other Person that directly or indirectly, through one or more intermediaries, controls, is controlled by, or is under common control with, such first Person.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Business Day</w:t>
      </w:r>
      <w:r>
        <w:rPr>
          <w:rFonts w:ascii="Times New Roman" w:hAnsi="Times New Roman"/>
          <w:sz w:val="20"/>
        </w:rPr>
        <w:t xml:space="preserve">” means any day other than a Saturday, a Sunday or a day on which banks in Boston, Massachusetts or New York, New York are authorized or required by applicable Law to be closed.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 Capital Stock</w:t>
      </w:r>
      <w:r>
        <w:rPr>
          <w:rFonts w:ascii="Times New Roman" w:hAnsi="Times New Roman"/>
          <w:sz w:val="20"/>
        </w:rPr>
        <w:t xml:space="preserve">” means, collectively, the Company Common Stock and Company Preferred Stock.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Common Stock</w:t>
      </w:r>
      <w:r>
        <w:rPr>
          <w:rFonts w:ascii="Times New Roman" w:hAnsi="Times New Roman"/>
          <w:sz w:val="20"/>
        </w:rPr>
        <w:t xml:space="preserve">” means the common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Company Equity Plan</w:t>
      </w:r>
      <w:r>
        <w:rPr>
          <w:rFonts w:ascii="Times New Roman" w:hAnsi="Times New Roman"/>
          <w:sz w:val="20"/>
        </w:rPr>
        <w:t xml:space="preserve">” means the Company’s 2024 Equity Incentive Plan, as amended from time to time.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Company Fundamental Representations</w:t>
      </w:r>
      <w:r>
        <w:rPr>
          <w:rFonts w:ascii="Times New Roman" w:hAnsi="Times New Roman"/>
          <w:sz w:val="20"/>
        </w:rPr>
        <w:t xml:space="preserve">” means each of the representations and warranties of the Company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and </w:t>
      </w:r>
      <w:r>
        <w:rPr>
          <w:rFonts w:ascii="Times New Roman" w:hAnsi="Times New Roman"/>
          <w:sz w:val="20"/>
          <w:u w:val="single"/>
        </w:rPr>
        <w:t>Section 4.27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Company Intervening Event</w:t>
      </w:r>
      <w:r>
        <w:rPr>
          <w:rFonts w:ascii="Times New Roman" w:hAnsi="Times New Roman"/>
          <w:sz w:val="20"/>
        </w:rPr>
        <w:t xml:space="preserve">” means a material development or change in circumstances (other than any such event, development or change to the extent related to (A) any Acquisition Proposal, Acquisition Inquiry, Acquisition Transaction or the consequences thereof or (B) the fact, in and of itself, that the Company meets or exceeds internal budgets, plans or forecasts of its revenues, earnings or other financial performance or results of operations) that affects the business, assets or operations of the Company occurring or arising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Company Options</w:t>
      </w:r>
      <w:r>
        <w:rPr>
          <w:rFonts w:ascii="Times New Roman" w:hAnsi="Times New Roman"/>
          <w:sz w:val="20"/>
        </w:rPr>
        <w:t xml:space="preserve">” means options to purchase shares of Company Common Stock granted by the Company under the Company Equity Plan.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Company Warrants</w:t>
      </w:r>
      <w:r>
        <w:rPr>
          <w:rFonts w:ascii="Times New Roman" w:hAnsi="Times New Roman"/>
          <w:sz w:val="20"/>
        </w:rPr>
        <w:t xml:space="preserve">” means warrants to purchase shares of Company Common Stock that are outstanding and unexercised as of immediately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Company Owned IP</w:t>
      </w:r>
      <w:r>
        <w:rPr>
          <w:rFonts w:ascii="Times New Roman" w:hAnsi="Times New Roman"/>
          <w:sz w:val="20"/>
        </w:rPr>
        <w:t xml:space="preserve">” means all Intellectual Property owned by the Company or any of its Subsidiaries in whole or in part.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Company Plan</w:t>
      </w:r>
      <w:r>
        <w:rPr>
          <w:rFonts w:ascii="Times New Roman" w:hAnsi="Times New Roman"/>
          <w:sz w:val="20"/>
        </w:rPr>
        <w:t xml:space="preserve">” means each Employee Plan that is sponsored, maintained, or contributed (or required to be contributed) to by the Company or any of its Subsidiaries for the benefit of one or more current or former employees, officers, directors or other service providers of the Company or any of its Subsidiaries and with respect to which the Company or any of its Subsidiaries has any liability, contingent or otherwise, other than any plan, program, arrangement, agreement or policy mandated by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Preferred Stock</w:t>
      </w:r>
      <w:r>
        <w:rPr>
          <w:rFonts w:ascii="Times New Roman" w:hAnsi="Times New Roman"/>
          <w:sz w:val="20"/>
        </w:rPr>
        <w:t xml:space="preserve">” means, collectively, the Company Series Seed Preferred Stock, the Company Series A-1 Preferred Stock and the Company Series A-2 Preferred Stock.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Company Series Seed Preferred Stock</w:t>
      </w:r>
      <w:r>
        <w:rPr>
          <w:rFonts w:ascii="Times New Roman" w:hAnsi="Times New Roman"/>
          <w:sz w:val="20"/>
        </w:rPr>
        <w:t xml:space="preserve">” means the Series Seed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Company Series A-1 Preferred Stock</w:t>
      </w:r>
      <w:r>
        <w:rPr>
          <w:rFonts w:ascii="Times New Roman" w:hAnsi="Times New Roman"/>
          <w:sz w:val="20"/>
        </w:rPr>
        <w:t xml:space="preserve">” means the Series A-1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Company Series A-2 Preferred Stock</w:t>
      </w:r>
      <w:r>
        <w:rPr>
          <w:rFonts w:ascii="Times New Roman" w:hAnsi="Times New Roman"/>
          <w:sz w:val="20"/>
        </w:rPr>
        <w:t xml:space="preserve">” means the Series A-2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Company Triggering Event</w:t>
      </w:r>
      <w:r>
        <w:rPr>
          <w:rFonts w:ascii="Times New Roman" w:hAnsi="Times New Roman"/>
          <w:sz w:val="20"/>
        </w:rPr>
        <w:t xml:space="preserve">” shall be deemed to have occurred if at any time prior to the adoption of this Agreement by the Company Stockholder Approval: (a) the Company Board shall have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Confidentiality Agreement</w:t>
      </w:r>
      <w:r>
        <w:rPr>
          <w:rFonts w:ascii="Times New Roman" w:hAnsi="Times New Roman"/>
          <w:sz w:val="20"/>
        </w:rPr>
        <w:t xml:space="preserve">” means that certain non-disclosure agreement, dated as of June 23, 2026, between the Company and Parent.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by contract or otherwise.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Disclosure-Only Litigation</w:t>
      </w:r>
      <w:r>
        <w:rPr>
          <w:rFonts w:ascii="Times New Roman" w:hAnsi="Times New Roman"/>
          <w:sz w:val="20"/>
        </w:rPr>
        <w:t xml:space="preserve">” means any Transaction Litigation (a) that asserts solely alleged disclosure deficiencies or inadequacies in the Registration Statement, the Proxy Statement or any other disclosure document filed or to be filed by Parent or the Company in connection with the transactions contemplated by this Agreement (including any claim for breach of fiduciary duty to the extent, and only to the extent, that such claim is based solely on such alleged disclosure deficiencies or inadequacies), and (b) that does not allege, in whole or in part, any breach of the fiduciary duty of care, loyalty or good faith (other than a disclosure-based claim of the type described in clause (a)), any breach of contract, any claim relating to the fairness of the Exchange Ratio or the process leading to the negotiation of this Agreement, or any other substantive claim not of the type described in clause (a).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Employee Plan</w:t>
      </w:r>
      <w:r>
        <w:rPr>
          <w:rFonts w:ascii="Times New Roman" w:hAnsi="Times New Roman"/>
          <w:sz w:val="20"/>
        </w:rPr>
        <w:t xml:space="preserve">” means each “employee benefit plan” (within the meaning of section 3(3) of ERISA, whether or not subject to ERISA), Multiemployer Plans, and all stock purchase, stock option, stock appreciation right, phantom stock or other equity-based plan, severance, employment, change-in-control, fringe benefit, bonus, incentive, deferred compensation, compensation, supplemental retirement, health, life, or disability insurance, dependent care, vacation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formal or informal, written or oral.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HSR Act</w:t>
      </w:r>
      <w:r>
        <w:rPr>
          <w:rFonts w:ascii="Times New Roman" w:hAnsi="Times New Roman"/>
          <w:sz w:val="20"/>
        </w:rPr>
        <w:t xml:space="preserve">” means the U.S. Hart Scott-Rodino Antitrust Improvements Act of 1976, as amended.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means all intellectual property rights of any kind,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derives economic value (actual or potential) from not being generally known to other Persons who can obtain economic value from its disclosure or use, and other confidential information (“</w:t>
      </w:r>
      <w:r>
        <w:rPr>
          <w:rFonts w:ascii="Times New Roman" w:hAnsi="Times New Roman"/>
          <w:sz w:val="20"/>
          <w:u w:val="single"/>
        </w:rPr>
        <w:t>Trade Secrets</w:t>
      </w:r>
      <w:r>
        <w:rPr>
          <w:rFonts w:ascii="Times New Roman" w:hAnsi="Times New Roman"/>
          <w:sz w:val="20"/>
        </w:rPr>
        <w:t xml:space="preserve">”); and (v) any other proprietary or intellectual property rights of any kind or nature.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knowledge</w:t>
      </w:r>
      <w:r>
        <w:rPr>
          <w:rFonts w:ascii="Times New Roman" w:hAnsi="Times New Roman"/>
          <w:sz w:val="20"/>
        </w:rPr>
        <w:t xml:space="preserve">” of any party means (i) the actual knowledge of any executive officer of such party or other officer having primary responsibility for the relevant matter or any employee consultant or interim officer serving similar roles (ii) any fact or matter which any such Person would be expected to discover or otherwise become aware of in the course of conducting a reasonably comprehensive inquiry, consistent with such Person’s title and responsibilities, concerning the existence of the relevant matter.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Multiemployer Plan</w:t>
      </w:r>
      <w:r>
        <w:rPr>
          <w:rFonts w:ascii="Times New Roman" w:hAnsi="Times New Roman"/>
          <w:sz w:val="20"/>
        </w:rPr>
        <w:t xml:space="preserve">” shall have the meaning set forth in Section 3(37) of ERISA.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Nasdaq</w:t>
      </w:r>
      <w:r>
        <w:rPr>
          <w:rFonts w:ascii="Times New Roman" w:hAnsi="Times New Roman"/>
          <w:sz w:val="20"/>
        </w:rPr>
        <w:t xml:space="preserve">” means The Nasdaq Stock Market.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Nasdaq Fees</w:t>
      </w:r>
      <w:r>
        <w:rPr>
          <w:rFonts w:ascii="Times New Roman" w:hAnsi="Times New Roman"/>
          <w:sz w:val="20"/>
        </w:rPr>
        <w:t xml:space="preserve">” means all application fees payable to Nasdaq and associated with any action contemplated by </w:t>
      </w:r>
      <w:r>
        <w:rPr>
          <w:rFonts w:ascii="Times New Roman" w:hAnsi="Times New Roman"/>
          <w:sz w:val="20"/>
          <w:u w:val="single"/>
        </w:rPr>
        <w:t>Section 7.8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Nasdaq Reverse Stock Split</w:t>
      </w:r>
      <w:r>
        <w:rPr>
          <w:rFonts w:ascii="Times New Roman" w:hAnsi="Times New Roman"/>
          <w:sz w:val="20"/>
        </w:rPr>
        <w:t xml:space="preserve">” means a reverse stock split of all outstanding shares of Parent Common Stock at a reverse stock split ratio as mutually agreed to by Parent and the Company that is effectuated by Parent for the purpose of maintaining compliance with Nasdaq listing standards.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Net Cash</w:t>
      </w:r>
      <w:r>
        <w:rPr>
          <w:rFonts w:ascii="Times New Roman" w:hAnsi="Times New Roman"/>
          <w:sz w:val="20"/>
        </w:rPr>
        <w:t xml:space="preserve">” means (i) Parent’s unrestricted cash, cash equivalents and short-term investments, </w:t>
      </w:r>
      <w:r>
        <w:rPr>
          <w:rFonts w:ascii="Times New Roman" w:hAnsi="Times New Roman"/>
          <w:sz w:val="20"/>
          <w:u w:val="single"/>
        </w:rPr>
        <w:t>plus</w:t>
      </w:r>
      <w:r>
        <w:rPr>
          <w:rFonts w:ascii="Times New Roman" w:hAnsi="Times New Roman"/>
          <w:sz w:val="20"/>
        </w:rPr>
        <w:t xml:space="preserve"> (ii), and restricted cash to the extent capable of use by the combined company after the Closing, provided that in no event shall such amounts to be added to “Net Cash” exceed $1,100,000 plus any prepaid expenses and deposits that the parties mutually agree to include minus (iii) the sum of Parent’s short-term and long-term liabilities, including all accounts payable, indebtedness, lease termination costs, all actual and reasonably projected costs and any related prepayment penalties and premiums, and any unpaid Transaction Expenses (including any costs, fees or other liabilities, including Taxes, related to the premiums, commissions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fees paid or payable in connection with obtaining Parent’s D&amp;O tail policy as set forth in </w:t>
      </w:r>
      <w:r>
        <w:rPr>
          <w:rFonts w:ascii="Times New Roman" w:hAnsi="Times New Roman"/>
          <w:sz w:val="20"/>
          <w:u w:val="single"/>
        </w:rPr>
        <w:t>Section 7.5(c)</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(iv) the sum of all notice payments, fines or other payments to be made by Parent in order to terminate, assign or fully perform any Parent Material Contract (other than any Contract set forth on </w:t>
      </w:r>
      <w:r>
        <w:rPr>
          <w:rFonts w:ascii="Times New Roman" w:hAnsi="Times New Roman"/>
          <w:sz w:val="20"/>
          <w:u w:val="single"/>
        </w:rPr>
        <w:t>Section 7.11(b)</w:t>
      </w:r>
      <w:r>
        <w:rPr>
          <w:rFonts w:ascii="Times New Roman" w:hAnsi="Times New Roman"/>
          <w:sz w:val="20"/>
        </w:rPr>
        <w:t xml:space="preserve"> of the Parent Disclosure Letter) and to discharge all other liabilities of Parent contemplated by </w:t>
      </w:r>
      <w:r>
        <w:rPr>
          <w:rFonts w:ascii="Times New Roman" w:hAnsi="Times New Roman"/>
          <w:sz w:val="20"/>
          <w:u w:val="single"/>
        </w:rPr>
        <w:t>Section 6.1(d)</w:t>
      </w:r>
      <w:r>
        <w:rPr>
          <w:rFonts w:ascii="Times New Roman" w:hAnsi="Times New Roman"/>
          <w:sz w:val="20"/>
        </w:rPr>
        <w:t xml:space="preserve"> of the Parent Disclosure Letter (including for avoidance of doubt, the SubSchedule 2 Contracts) and any other costs, fees or expenses associated with the Wind-Down Activities, in each case whether incurred prior to, at or after the Closing but only to the extent unpaid as of the Closing, </w:t>
      </w:r>
      <w:r>
        <w:rPr>
          <w:rFonts w:ascii="Times New Roman" w:hAnsi="Times New Roman"/>
          <w:sz w:val="20"/>
          <w:u w:val="single"/>
        </w:rPr>
        <w:t>minus</w:t>
      </w:r>
      <w:r>
        <w:rPr>
          <w:rFonts w:ascii="Times New Roman" w:hAnsi="Times New Roman"/>
          <w:sz w:val="20"/>
        </w:rPr>
        <w:t xml:space="preserve"> (v) the sum of any and all unpaid liabilities of Parent to its employees or other service providers, including change in control payments (whether payable on a single-trigger or double-trigger basis), severance payments and any payroll or similar Taxes owed in connection with the foregoing or any of Parent’s equity plans, including, for the avoidance of doubt, any employer-side portion of any payroll or similar Taxes owed in connection with the vesting and settlement of the Parent Restricted Stock Unit Awards pursuant to </w:t>
      </w:r>
      <w:r>
        <w:rPr>
          <w:rFonts w:ascii="Times New Roman" w:hAnsi="Times New Roman"/>
          <w:sz w:val="20"/>
          <w:u w:val="single"/>
        </w:rPr>
        <w:t>Section 6.7</w:t>
      </w:r>
      <w:r>
        <w:rPr>
          <w:rFonts w:ascii="Times New Roman" w:hAnsi="Times New Roman"/>
          <w:sz w:val="20"/>
        </w:rPr>
        <w:t xml:space="preserve"> hereof, </w:t>
      </w:r>
      <w:r>
        <w:rPr>
          <w:rFonts w:ascii="Times New Roman" w:hAnsi="Times New Roman"/>
          <w:sz w:val="20"/>
          <w:u w:val="single"/>
        </w:rPr>
        <w:t>minus</w:t>
      </w:r>
      <w:r>
        <w:rPr>
          <w:rFonts w:ascii="Times New Roman" w:hAnsi="Times New Roman"/>
          <w:sz w:val="20"/>
        </w:rPr>
        <w:t xml:space="preserve"> (vi) 50% of the mutually agreed estimated settlement amounts for any Disclosure-Only Litigation existing as of the Closing, provided that in no event shall such amounts to be deducted from “Net Cash” pursuant to this clause (vi) exceed $150,000 in the aggregate, </w:t>
      </w:r>
      <w:r>
        <w:rPr>
          <w:rFonts w:ascii="Times New Roman" w:hAnsi="Times New Roman"/>
          <w:sz w:val="20"/>
          <w:u w:val="single"/>
        </w:rPr>
        <w:t>minus</w:t>
      </w:r>
      <w:r>
        <w:rPr>
          <w:rFonts w:ascii="Times New Roman" w:hAnsi="Times New Roman"/>
          <w:sz w:val="20"/>
        </w:rPr>
        <w:t xml:space="preserve"> (vii) the mutually agreed estimated settlement amounts and related legal and other expenses for any Transaction Litigation existing as of the Closing that is not Disclosure-Only Litigation (other than, to avoid double-counting, any such Transaction Litigation for which the liability has been accrued on Parent’s balance sheet), provided that any Transaction Litigation pursuant to this clause (vii) shall be initiated and shall not include Transaction Litigation that is threatened in writing, and provided further that in no event shall such amounts to be deducted from “Net Cash” pursuant to this clause (vii) exceed $750,000 in the aggregate, plus (viii) the amounts set forth on </w:t>
      </w:r>
      <w:r>
        <w:rPr>
          <w:rFonts w:ascii="Times New Roman" w:hAnsi="Times New Roman"/>
          <w:sz w:val="20"/>
          <w:u w:val="single"/>
        </w:rPr>
        <w:t>Section 1.1(a)(i)</w:t>
      </w:r>
      <w:r>
        <w:rPr>
          <w:rFonts w:ascii="Times New Roman" w:hAnsi="Times New Roman"/>
          <w:sz w:val="20"/>
        </w:rPr>
        <w:t xml:space="preserve"> of the Parent Disclosure Letter. Set forth on </w:t>
      </w:r>
      <w:r>
        <w:rPr>
          <w:rFonts w:ascii="Times New Roman" w:hAnsi="Times New Roman"/>
          <w:sz w:val="20"/>
          <w:u w:val="single"/>
        </w:rPr>
        <w:t>Section 1.1(a)(ii)</w:t>
      </w:r>
      <w:r>
        <w:rPr>
          <w:rFonts w:ascii="Times New Roman" w:hAnsi="Times New Roman"/>
          <w:sz w:val="20"/>
        </w:rPr>
        <w:t xml:space="preserve"> of the Parent Disclosure Letter is an illustrative example of the calculation of Net Cash.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Parent Equity Plans</w:t>
      </w:r>
      <w:r>
        <w:rPr>
          <w:rFonts w:ascii="Times New Roman" w:hAnsi="Times New Roman"/>
          <w:sz w:val="20"/>
        </w:rPr>
        <w:t xml:space="preserve">” means each of Parent’s 2016 Stock Incentive Plan, 2019 Stock Incentive Plan and 2022 Inducement Stock Incentive Plan, in each case, as amended from time to time.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Parent ESPP</w:t>
      </w:r>
      <w:r>
        <w:rPr>
          <w:rFonts w:ascii="Times New Roman" w:hAnsi="Times New Roman"/>
          <w:sz w:val="20"/>
        </w:rPr>
        <w:t xml:space="preserve">” means Parent’s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Parent Fundamental Representations</w:t>
      </w:r>
      <w:r>
        <w:rPr>
          <w:rFonts w:ascii="Times New Roman" w:hAnsi="Times New Roman"/>
          <w:sz w:val="20"/>
        </w:rPr>
        <w:t xml:space="preserve">” means each of the representations and warranties of Parent and Merger Subs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5.27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Parent ITM Option</w:t>
      </w:r>
      <w:r>
        <w:rPr>
          <w:rFonts w:ascii="Times New Roman" w:hAnsi="Times New Roman"/>
          <w:sz w:val="20"/>
        </w:rPr>
        <w:t xml:space="preserve">” means each Parent Option that is not a Parent OTM Option. </w:t>
      </w:r>
    </w:p>
    <w:p>
      <w:pPr>
        <w:pStyle w:val="TextBody"/>
        <w:bidi w:val="0"/>
        <w:spacing w:before="12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Parent Options</w:t>
      </w:r>
      <w:r>
        <w:rPr>
          <w:rFonts w:ascii="Times New Roman" w:hAnsi="Times New Roman"/>
          <w:sz w:val="20"/>
        </w:rPr>
        <w:t xml:space="preserve">” means options to purchase shares of Parent Common Stock issued pursuant to a Parent Equity Plan or otherwise, but, for the avoidance of doubt, excluding the Parent ESPP.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Parent OTM Option</w:t>
      </w:r>
      <w:r>
        <w:rPr>
          <w:rFonts w:ascii="Times New Roman" w:hAnsi="Times New Roman"/>
          <w:sz w:val="20"/>
        </w:rPr>
        <w:t xml:space="preserve">” means Parent Options with an exercise price greater than $7.00, in each case, as adjusted to take into account the Pre-Closing Cash Dividend in accordance with the Parent Equity Plans and the Nasdaq Reverse Stock Split,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Parent Owned IP</w:t>
      </w:r>
      <w:r>
        <w:rPr>
          <w:rFonts w:ascii="Times New Roman" w:hAnsi="Times New Roman"/>
          <w:sz w:val="20"/>
        </w:rPr>
        <w:t xml:space="preserve">” means all Intellectual Property owned by Parent in whole or in part.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Parent Plan</w:t>
      </w:r>
      <w:r>
        <w:rPr>
          <w:rFonts w:ascii="Times New Roman" w:hAnsi="Times New Roman"/>
          <w:sz w:val="20"/>
        </w:rPr>
        <w:t xml:space="preserve">” means each Employee Plan that is sponsored, maintained, or contributed (or required to be contributed) to by Parent or any of its Subsidiaries for the benefit of current or former employees, officers, directors or other service providers of Parent or any of its Subsidiaries or with respect to which Parent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Parent Restricted Stock Unit Awards</w:t>
      </w:r>
      <w:r>
        <w:rPr>
          <w:rFonts w:ascii="Times New Roman" w:hAnsi="Times New Roman"/>
          <w:sz w:val="20"/>
        </w:rPr>
        <w:t xml:space="preserve">” means each award of restricted stock unit awards with respect to shares of Parent Common Stock issued pursuant to a Parent Equity Plan or otherwise.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Parent Triggering Event</w:t>
      </w:r>
      <w:r>
        <w:rPr>
          <w:rFonts w:ascii="Times New Roman" w:hAnsi="Times New Roman"/>
          <w:sz w:val="20"/>
        </w:rPr>
        <w:t xml:space="preserve">” shall be deemed to have occurred if: (a) Parent shall have failed to include in the Proxy Statement the Parent Board Recommendation (as defined below), (b) the Parent Board or any committee thereof shall have made a Parent Board Adverse Recommendation Change or approved, endorsed or recommended any Acquisition Proposal,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(d) a tender offer or exchange offer for outstanding shares of Parent Common Stock is commenced, and the Parent Board (or any committee thereof) recommends that the stockholders of Parent tender their shares in such tender or exchange offer or, within ten (10) Business Days after the commencement of such tender offer or exchange offer, the Parent Board fails to recommend against acceptance of such offer, or (e) Parent shall have failed to issue a press release confirming the Parent Board Recommendation within ten (10) Business Days following the Company’s written request to Parent to issue such press release in response to any other publicly announced Acquisition Proposal with respect to Parent.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trust or other entity or organization, including any Governmental Entity.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Representative</w:t>
      </w:r>
      <w:r>
        <w:rPr>
          <w:rFonts w:ascii="Times New Roman" w:hAnsi="Times New Roman"/>
          <w:sz w:val="20"/>
        </w:rPr>
        <w:t xml:space="preserve">” means a party’s directors, officers, employees, investment bankers, financial advisors, attorneys, accountants or other advisors, agents or representatives.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Sanctioned Country</w:t>
      </w:r>
      <w:r>
        <w:rPr>
          <w:rFonts w:ascii="Times New Roman" w:hAnsi="Times New Roman"/>
          <w:sz w:val="20"/>
        </w:rPr>
        <w:t xml:space="preserve">” means a country or territory that is the subject of a comprehensive embargo and other territory-wide sanctions or with which dealings are otherwise broadly restricted, prohibited or made sanctionable under any Trade Laws, currently including Iran, Syria (prior to July 1, 2025), North Korea, Cuba and the Crimea, the so-called Luhansk People’s Republic, and the so-called Donetsk People’s Republic regions of Ukraine.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as applicable, controlled by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sz w:val="20"/>
          <w:u w:val="single"/>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sz w:val="20"/>
          <w:u w:val="single"/>
        </w:rPr>
        <w:t>Subsidiary</w:t>
      </w:r>
      <w:r>
        <w:rPr>
          <w:rFonts w:ascii="Times New Roman" w:hAnsi="Times New Roman"/>
          <w:sz w:val="20"/>
        </w:rPr>
        <w:t xml:space="preserve">” means, with respect to any Person, any other Person of which stock or other equity interests having ordinary voting power to elect more than 50% of the board of directors or other governing body are owned, directly or indirectly, by such first Person. </w:t>
      </w:r>
    </w:p>
    <w:p>
      <w:pPr>
        <w:pStyle w:val="TextBody"/>
        <w:bidi w:val="0"/>
        <w:spacing w:before="120" w:after="0"/>
        <w:jc w:val="left"/>
        <w:rPr>
          <w:rFonts w:ascii="Times New Roman" w:hAnsi="Times New Roman"/>
          <w:sz w:val="20"/>
        </w:rPr>
      </w:pPr>
      <w:r>
        <w:rPr>
          <w:rFonts w:ascii="Times New Roman" w:hAnsi="Times New Roman"/>
          <w:sz w:val="20"/>
        </w:rPr>
        <w:t>(bbb) “</w:t>
      </w:r>
      <w:r>
        <w:rPr>
          <w:rFonts w:ascii="Times New Roman" w:hAnsi="Times New Roman"/>
          <w:sz w:val="20"/>
          <w:u w:val="single"/>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the Parent’s stockholders or the Company’s stockholders, as applicable, than the terms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sz w:val="20"/>
          <w:u w:val="single"/>
        </w:rPr>
        <w:t>Tax Return</w:t>
      </w:r>
      <w:r>
        <w:rPr>
          <w:rFonts w:ascii="Times New Roman" w:hAnsi="Times New Roman"/>
          <w:sz w:val="20"/>
        </w:rPr>
        <w:t xml:space="preserve">”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sz w:val="20"/>
          <w:u w:val="single"/>
        </w:rPr>
        <w:t>Taxes</w:t>
      </w:r>
      <w:r>
        <w:rPr>
          <w:rFonts w:ascii="Times New Roman" w:hAnsi="Times New Roman"/>
          <w:sz w:val="20"/>
        </w:rPr>
        <w:t xml:space="preserve">” means all U.S. federal, state and local and non-U.S. net income, gross income, gross receipts, sales, use, stock, ad valorem, transfer, transaction, franchise, profits, gains, registration, license, wages, lease, service, service use, employee and other withholding, imputed underpayment, social security, unemployment, welfare, disability, payroll, employment, excise, severance, stamp, occupation, workers’ compensation, premium, real property, personal property, windfall profits, net worth, capital, value-added, alternative or add-on minimum, customs duties, estimated and other taxes, fees, assessments, charges or levies in the nature of a tax (whether imposed, assessed, determined, administered, enforced or collected directly or through withholding and including any amounts resulting from the failure to file any Tax Return), whether disputed or not, together with any interest and any penalties, additions to tax or additional amounts with respect thereto (or attributable to the nonpayment thereof).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sz w:val="20"/>
          <w:u w:val="single"/>
        </w:rPr>
        <w:t>Transaction Expenses</w:t>
      </w:r>
      <w:r>
        <w:rPr>
          <w:rFonts w:ascii="Times New Roman" w:hAnsi="Times New Roman"/>
          <w:sz w:val="20"/>
        </w:rPr>
        <w:t xml:space="preserve">” means the aggregate amount (without duplication) of all costs, fees, Taxes and expenses incurred by Parent and Merger Subs, or for which Parent or Merger Subs are or may become liable in connection with the transactions contemplated hereby and the negotiation, preparation and execution of this Agreement or any other agreement, document, instrument, filing, certificate, schedule, exhibit, letter or other document prepared or executed in connection with the transactions contemplated hereby, including the maximum amount of fees and expenses payable to financial advisors, investment bankers, brokers, consultants, Tax advisors, transfer agents (including the Exchange Agent), proxy solicitor and other advisors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including the employer portion of any payroll or similar Taxes incurred or to be incurred by Parent or Merger Subs with respect to the payment of any item listed in this definition of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Transaction Expenses shall specifically exclude (A) any fees and expenses incurred by the Company in connection with the Concurrent Investment, (B) the value or anticipated value of any settlement or judgment that is entered into or awarded post-Closing relating to Transaction Litigation, (C) 50% of any Nasdaq Fees, and (D) 50% of the filing fees of Parent in connection with the HSR Act.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Currency</w:t>
      </w:r>
      <w:r>
        <w:rPr>
          <w:rFonts w:ascii="Times New Roman" w:hAnsi="Times New Roman"/>
          <w:sz w:val="20"/>
        </w:rPr>
        <w:t xml:space="preserve">. All references to “dollars” or “$” or “US$” in this Agreement refer to United States dollars, which is the currency used for all purposes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Formation of Merger Subs</w:t>
      </w:r>
      <w:r>
        <w:rPr>
          <w:rFonts w:ascii="Times New Roman" w:hAnsi="Times New Roman"/>
          <w:sz w:val="20"/>
        </w:rPr>
        <w:t xml:space="preserve">. Parent has caused each of First Merger Sub and Second Merger Sub to be organized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The Mergers</w:t>
      </w:r>
      <w:r>
        <w:rPr>
          <w:rFonts w:ascii="Times New Roman" w:hAnsi="Times New Roman"/>
          <w:sz w:val="20"/>
        </w:rPr>
        <w:t>. Upon the terms and subject to the conditions set forth in this Agreement and in accordance with the DGCL, at the First Effective Time, First Merger Sub shall be merged with and into the Company. Following the First Merger, the separate corporate existence of First Merger Sub shall cease, and the Company shall continue as the surviving company of the First Merger (the “</w:t>
      </w:r>
      <w:r>
        <w:rPr>
          <w:rFonts w:ascii="Times New Roman" w:hAnsi="Times New Roman"/>
          <w:sz w:val="20"/>
          <w:u w:val="single"/>
        </w:rPr>
        <w:t>First Step Surviving Company</w:t>
      </w:r>
      <w:r>
        <w:rPr>
          <w:rFonts w:ascii="Times New Roman" w:hAnsi="Times New Roman"/>
          <w:sz w:val="20"/>
        </w:rPr>
        <w:t>”) and a wholly owned subsidiary of Parent. Upon the terms and subject to the conditions set forth in this Agreement and in accordance with the DGCL and the DLLCA, at the Second Effective Time, the First Step Surviving Company will merge with and into Second Merger Sub, and the separate existence of the First Step Surviving Company shall cease. As a result of the Second Merger, Second Merger Sub will continue as the surviving entity in the Second Merger (the “</w:t>
      </w:r>
      <w:r>
        <w:rPr>
          <w:rFonts w:ascii="Times New Roman" w:hAnsi="Times New Roman"/>
          <w:sz w:val="20"/>
          <w:u w:val="single"/>
        </w:rPr>
        <w:t>Surviving Entity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Closing</w:t>
      </w:r>
      <w:r>
        <w:rPr>
          <w:rFonts w:ascii="Times New Roman" w:hAnsi="Times New Roman"/>
          <w:sz w:val="20"/>
        </w:rPr>
        <w:t xml:space="preserve">. Unless this Agreement is earlier terminated pursuant to the provisions of </w:t>
      </w:r>
      <w:r>
        <w:rPr>
          <w:rFonts w:ascii="Times New Roman" w:hAnsi="Times New Roman"/>
          <w:sz w:val="20"/>
          <w:u w:val="single"/>
        </w:rPr>
        <w:t>Article IX</w:t>
      </w:r>
      <w:r>
        <w:rPr>
          <w:rFonts w:ascii="Times New Roman" w:hAnsi="Times New Roman"/>
          <w:sz w:val="20"/>
        </w:rPr>
        <w:t xml:space="preserve">, and subject to the satisfaction or waiver of the conditions set forth in </w:t>
      </w:r>
      <w:r>
        <w:rPr>
          <w:rFonts w:ascii="Times New Roman" w:hAnsi="Times New Roman"/>
          <w:sz w:val="20"/>
          <w:u w:val="single"/>
        </w:rPr>
        <w:t>Article VIII</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shall take place remotely by the electronic exchange of documents,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Article VIII</w:t>
      </w:r>
      <w:r>
        <w:rPr>
          <w:rFonts w:ascii="Times New Roman" w:hAnsi="Times New Roman"/>
          <w:sz w:val="20"/>
        </w:rPr>
        <w:t>, other than those conditions that by their nature are to be satisfied at the Closing, but subject to the satisfaction or waiver of each of such conditions), unless another time, date and place is mutually agreed upon by Parent and the Company in writing. The date on which the Closing actually takes place is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First Effective Time; Second Effective Time</w:t>
      </w:r>
      <w:r>
        <w:rPr>
          <w:rFonts w:ascii="Times New Roman" w:hAnsi="Times New Roman"/>
          <w:sz w:val="20"/>
        </w:rPr>
        <w:t xml:space="preserve">. Upon the terms and subject to the provisions of this Agreement, at the Closing, the parties (i) shall cause the First Merger to be consummated by executing and filing a certificate of merger with respect to the First Merger in the form attached hereto as </w:t>
      </w:r>
      <w:r>
        <w:rPr>
          <w:rFonts w:ascii="Times New Roman" w:hAnsi="Times New Roman"/>
          <w:sz w:val="20"/>
          <w:u w:val="single"/>
        </w:rPr>
        <w:t>Exhibit E-1</w:t>
      </w:r>
      <w:r>
        <w:rPr>
          <w:rFonts w:ascii="Times New Roman" w:hAnsi="Times New Roman"/>
          <w:sz w:val="20"/>
        </w:rPr>
        <w:t xml:space="preserve"> hereto (the “</w:t>
      </w:r>
      <w:r>
        <w:rPr>
          <w:rFonts w:ascii="Times New Roman" w:hAnsi="Times New Roman"/>
          <w:sz w:val="20"/>
          <w:u w:val="single"/>
        </w:rPr>
        <w:t>First Certificate of Merger</w:t>
      </w:r>
      <w:r>
        <w:rPr>
          <w:rFonts w:ascii="Times New Roman" w:hAnsi="Times New Roman"/>
          <w:sz w:val="20"/>
        </w:rPr>
        <w:t xml:space="preserve">”) and (ii) shall cause the Second Merger to be consummated by executing and filing a certificate of merger with respect to the Second Merger in the form attached hereto as </w:t>
      </w:r>
      <w:r>
        <w:rPr>
          <w:rFonts w:ascii="Times New Roman" w:hAnsi="Times New Roman"/>
          <w:sz w:val="20"/>
          <w:u w:val="single"/>
        </w:rPr>
        <w:t>Exhibit E-2</w:t>
      </w:r>
      <w:r>
        <w:rPr>
          <w:rFonts w:ascii="Times New Roman" w:hAnsi="Times New Roman"/>
          <w:sz w:val="20"/>
        </w:rPr>
        <w:t xml:space="preserve"> hereto (the “</w:t>
      </w:r>
      <w:r>
        <w:rPr>
          <w:rFonts w:ascii="Times New Roman" w:hAnsi="Times New Roman"/>
          <w:sz w:val="20"/>
          <w:u w:val="single"/>
        </w:rPr>
        <w:t>Second Certificate of Merger</w:t>
      </w:r>
      <w:r>
        <w:rPr>
          <w:rFonts w:ascii="Times New Roman" w:hAnsi="Times New Roman"/>
          <w:sz w:val="20"/>
        </w:rPr>
        <w:t>” and together with the First Certificate of Merger, the “</w:t>
      </w:r>
      <w:r>
        <w:rPr>
          <w:rFonts w:ascii="Times New Roman" w:hAnsi="Times New Roman"/>
          <w:sz w:val="20"/>
          <w:u w:val="single"/>
        </w:rPr>
        <w:t>Certificate of Merger</w:t>
      </w:r>
      <w:r>
        <w:rPr>
          <w:rFonts w:ascii="Times New Roman" w:hAnsi="Times New Roman"/>
          <w:sz w:val="20"/>
        </w:rPr>
        <w:t>”), in each case, with the Secretary of State of the State of Delaware (the “</w:t>
      </w:r>
      <w:r>
        <w:rPr>
          <w:rFonts w:ascii="Times New Roman" w:hAnsi="Times New Roman"/>
          <w:sz w:val="20"/>
          <w:u w:val="single"/>
        </w:rPr>
        <w:t>Delaware Secretary of State</w:t>
      </w:r>
      <w:r>
        <w:rPr>
          <w:rFonts w:ascii="Times New Roman" w:hAnsi="Times New Roman"/>
          <w:sz w:val="20"/>
        </w:rPr>
        <w:t>”), in such form as is required by, and executed in accordance with the relevant provisions of the DGCL and the DLLCA, as the case may be. The First Merger shall become effective at such time as the First Certificate of Merger is duly filed with the Delaware Secretary of State or at such other time as Parent and the Company shall agree in writing and shall specify in the Certificate of Merger (the time the First Merger becomes effective being the “</w:t>
      </w:r>
      <w:r>
        <w:rPr>
          <w:rFonts w:ascii="Times New Roman" w:hAnsi="Times New Roman"/>
          <w:sz w:val="20"/>
          <w:u w:val="single"/>
        </w:rPr>
        <w:t>First 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Effects of the Merger</w:t>
      </w:r>
      <w:r>
        <w:rPr>
          <w:rFonts w:ascii="Times New Roman" w:hAnsi="Times New Roman"/>
          <w:sz w:val="20"/>
        </w:rPr>
        <w:t xml:space="preserve">. At and after the First Effective Time, the First Merger shall have the effects set forth in this Agreement and in the relevant provisions of the DGCL. At and after the Second Effective Time, the Second Merger shall have the effects set forth in this Agreement and in the relevant provisions of the DGCL and the DLLCA. Without limiting the generality of the foregoing, and subject thereto, (i) at the First Effective Time, all the property, rights, privileges, powers and franchises of the Company and First Merger Sub shall vest in the First Step Surviving Company, and all debts, liabilities and duties of the Company and First Merger Sub shall become the debts, liabilities and duties of the First Step Surviving Company, and (ii) at the Second Effective Time, all the property, rights, privileges, powers and franchises of the First Step Surviving Company shall vest in the Surviving Entity, and all debts, liabilities and duties of the First Step Surviving Company shall become the debts, liabilities and duties of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Parent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Certificate of Incorporation</w:t>
      </w:r>
      <w:r>
        <w:rPr>
          <w:rFonts w:ascii="Times New Roman" w:hAnsi="Times New Roman"/>
          <w:sz w:val="20"/>
        </w:rPr>
        <w:t xml:space="preserve">. As of the Second Effective Time, the certificate of incorporation of Parent shall be identical to the certificate of incorporation of Parent immediately prior to the First Effective Time, until thereafter amended in accordance with its terms and as provided by applicable Law;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at the Second Effective Time or at such other time as Parent and the Company shall agree in writing, Parent shall file an amendment to the certificate of incorporation to (i) effect the Nasdaq Reverse Stock Split, (ii) change the name of Parent to “Slate Medicines, Inc.” and (iii) make such other changes as mutually agreeable to Parent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Bylaws</w:t>
      </w:r>
      <w:r>
        <w:rPr>
          <w:rFonts w:ascii="Times New Roman" w:hAnsi="Times New Roman"/>
          <w:sz w:val="20"/>
        </w:rPr>
        <w:t xml:space="preserve">. As of the Second Effective Time, the bylaws of Parent shall be identical to the bylaws of Parent immediately prior to the First Effective Time, until thereafter amended in accordance with their terms and as provided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of Directors</w:t>
      </w:r>
      <w:r>
        <w:rPr>
          <w:rFonts w:ascii="Times New Roman" w:hAnsi="Times New Roman"/>
          <w:sz w:val="20"/>
        </w:rPr>
        <w:t xml:space="preserve">. The parties shall take all action necessary (including, to the extent necessary, procuring the resignation of any directors on the Parent Board immediately prior to the First Effective Time) so that, as of the First Effective Time, the number of directors that comprise the full Board of Directors of Parent shall be five (5), and such Board of Directors shall upon the First Effective Time initially consist of the Persons set forth in </w:t>
      </w:r>
      <w:r>
        <w:rPr>
          <w:rFonts w:ascii="Times New Roman" w:hAnsi="Times New Roman"/>
          <w:sz w:val="20"/>
          <w:u w:val="single"/>
        </w:rPr>
        <w:t>Section 2.6(c)</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Officers</w:t>
      </w:r>
      <w:r>
        <w:rPr>
          <w:rFonts w:ascii="Times New Roman" w:hAnsi="Times New Roman"/>
          <w:sz w:val="20"/>
        </w:rPr>
        <w:t xml:space="preserve">. The parties shall take all action necessary (including, to the extent necessary, procuring the resignation or removal of any officers of Parent immediately prior to the First Effective Time) so that, as of the First Effective Time, the Parent officers shall initially consist of the Persons set forth in </w:t>
      </w:r>
      <w:r>
        <w:rPr>
          <w:rFonts w:ascii="Times New Roman" w:hAnsi="Times New Roman"/>
          <w:sz w:val="20"/>
          <w:u w:val="single"/>
        </w:rPr>
        <w:t>Section 2.6(d)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First Step Surviving Company and Surviving Entity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Step Surviving Company Certificate of Incorporation</w:t>
      </w:r>
      <w:r>
        <w:rPr>
          <w:rFonts w:ascii="Times New Roman" w:hAnsi="Times New Roman"/>
          <w:sz w:val="20"/>
        </w:rPr>
        <w:t xml:space="preserve">. At the First Effective Time, the Certificate of Incorporation of the First Step Surviving Company shall, by virtue of the First Merger and without any further action, be amended and restated to read in its entirety as set forth on Exhibit A to the Certificate of Merger, and, as so amended and restated, shall be the Certificate of Incorporation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 Step Surviving Company Bylaws</w:t>
      </w:r>
      <w:r>
        <w:rPr>
          <w:rFonts w:ascii="Times New Roman" w:hAnsi="Times New Roman"/>
          <w:sz w:val="20"/>
        </w:rPr>
        <w:t xml:space="preserve">. At the First Effective Time, the bylaws of the First Step Surviving Company shall be amended and restated to read in their entirety as the bylaws of First Merger Sub as in effect immediately prior to the First Effective Time (except that references to the name of First Merger Sub shall be replaced with references to the name of the First Step Surviving Company), and, as so amended and restated, shall be the bylaws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First Step Surviving Company Directors</w:t>
      </w:r>
      <w:r>
        <w:rPr>
          <w:rFonts w:ascii="Times New Roman" w:hAnsi="Times New Roman"/>
          <w:sz w:val="20"/>
        </w:rPr>
        <w:t xml:space="preserve">. The directors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First Step Surviving Company Officers</w:t>
      </w:r>
      <w:r>
        <w:rPr>
          <w:rFonts w:ascii="Times New Roman" w:hAnsi="Times New Roman"/>
          <w:sz w:val="20"/>
        </w:rPr>
        <w:t xml:space="preserve">. The officers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ON THE CAPITAL STOCK OF THE CONSTITUENT COMPANIES;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Conversion of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First Effective Time, by virtue of the Merger and without any action on the part of Parent, Merger Subs, the Company or the holders of any shares of capital stock of the Parent, Merger Subs or the Company: </w:t>
      </w:r>
    </w:p>
    <w:p>
      <w:pPr>
        <w:pStyle w:val="TextBody"/>
        <w:bidi w:val="0"/>
        <w:spacing w:before="120" w:after="0"/>
        <w:jc w:val="left"/>
        <w:rPr>
          <w:rFonts w:ascii="Times New Roman" w:hAnsi="Times New Roman"/>
          <w:sz w:val="20"/>
        </w:rPr>
      </w:pPr>
      <w:r>
        <w:rPr>
          <w:rFonts w:ascii="Times New Roman" w:hAnsi="Times New Roman"/>
          <w:sz w:val="20"/>
        </w:rPr>
        <w:t>(i) Subject to 3.4(g), each share of Company Capital Stock issued and outstanding immediately prior to the First Effective Time (other than any Excluded Shares and any Dissenting Shares) shall be converted into and become exchangeable for the right to receive, a number of shares of Parent Capital Stock equal to the Exchange Ratio (the “</w:t>
      </w:r>
      <w:r>
        <w:rPr>
          <w:rFonts w:ascii="Times New Roman" w:hAnsi="Times New Roman"/>
          <w:sz w:val="20"/>
          <w:u w:val="single"/>
        </w:rPr>
        <w:t>Merger Consideration</w:t>
      </w:r>
      <w:r>
        <w:rPr>
          <w:rFonts w:ascii="Times New Roman" w:hAnsi="Times New Roman"/>
          <w:sz w:val="20"/>
        </w:rPr>
        <w:t>”). As of the First Effective Time, all such shares of Company Capital Stock shall no longer be outstanding and shall automatically be cancelled and shall cease to exist, and shall thereafter only represent the right to receive the Merger Consideration. For purposes of this Agreement, the “</w:t>
      </w:r>
      <w:r>
        <w:rPr>
          <w:rFonts w:ascii="Times New Roman" w:hAnsi="Times New Roman"/>
          <w:sz w:val="20"/>
          <w:u w:val="single"/>
        </w:rPr>
        <w:t>Exchange Ratio</w:t>
      </w:r>
      <w:r>
        <w:rPr>
          <w:rFonts w:ascii="Times New Roman" w:hAnsi="Times New Roman"/>
          <w:sz w:val="20"/>
        </w:rPr>
        <w:t xml:space="preserve">” shall mean the ratio (rounded to four decimal places) equal to (a) the Company Value Per Share divided by (b) the Parent Value Per Share, in which: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Outstanding Shares</w:t>
      </w:r>
      <w:r>
        <w:rPr>
          <w:rFonts w:ascii="Times New Roman" w:hAnsi="Times New Roman"/>
          <w:sz w:val="20"/>
        </w:rPr>
        <w:t xml:space="preserve">” means the total number of shares of Company Common Stock and Company Preferred Stock (determined on an as-converted to Company Common Stock basis) outstanding immediately prior to the First Effective Time (after giving effect to the Concurrent Investment and the UK Exchange), assuming the exercise, conversion and exchange of all options, warrants, conversion rights, exchange rights or any other rights to receive shares of Company Capital Stock which are outstanding immediately prior to the First Effective Time, including for the avoidance of doubt all outstanding Company Options and Company Warrants.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Valuation</w:t>
      </w:r>
      <w:r>
        <w:rPr>
          <w:rFonts w:ascii="Times New Roman" w:hAnsi="Times New Roman"/>
          <w:sz w:val="20"/>
        </w:rPr>
        <w:t>” means the sum of (i) $350,000,000 and (ii) the Concurrent Investment Amount; provided, however, that if the Company’s valuation on a pre-money basis implied by the pricing of the Concurrent Investment is other than $350,000,000 as agreed by the investors in the Concurrent Investment, prong (i) of the “</w:t>
      </w:r>
      <w:r>
        <w:rPr>
          <w:rFonts w:ascii="Times New Roman" w:hAnsi="Times New Roman"/>
          <w:sz w:val="20"/>
          <w:u w:val="single"/>
        </w:rPr>
        <w:t>Company Valuation</w:t>
      </w:r>
      <w:r>
        <w:rPr>
          <w:rFonts w:ascii="Times New Roman" w:hAnsi="Times New Roman"/>
          <w:sz w:val="20"/>
        </w:rPr>
        <w:t xml:space="preserve">” will be adjusted on a dollar-for-dollar basis to match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Value Per Share</w:t>
      </w:r>
      <w:r>
        <w:rPr>
          <w:rFonts w:ascii="Times New Roman" w:hAnsi="Times New Roman"/>
          <w:sz w:val="20"/>
        </w:rPr>
        <w:t xml:space="preserve">” equals the Company Valuation divided by the number of Company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Parent Outstanding Shares</w:t>
      </w:r>
      <w:r>
        <w:rPr>
          <w:rFonts w:ascii="Times New Roman" w:hAnsi="Times New Roman"/>
          <w:sz w:val="20"/>
        </w:rPr>
        <w:t xml:space="preserve">” means the total number of shares of Parent Common Stock outstanding immediately prior to the First Effective Time (after giving effect to the Nasdaq Reverse Stock Split), calculated assuming the exercise, conversion or exchange of all options (other than any Parent OTM Options cancelled pursuant to </w:t>
      </w:r>
      <w:r>
        <w:rPr>
          <w:rFonts w:ascii="Times New Roman" w:hAnsi="Times New Roman"/>
          <w:sz w:val="20"/>
          <w:u w:val="single"/>
        </w:rPr>
        <w:t>Section 6.6(a)</w:t>
      </w:r>
      <w:r>
        <w:rPr>
          <w:rFonts w:ascii="Times New Roman" w:hAnsi="Times New Roman"/>
          <w:sz w:val="20"/>
        </w:rPr>
        <w:t xml:space="preserve">), warrants, conversion rights, exchange rights or any other rights to receive shares of Parent Common Stock which exist immediately prior to the First Effective Time, including for the avoidance of doubt all outstanding Parent ITM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Parent Valuation</w:t>
      </w:r>
      <w:r>
        <w:rPr>
          <w:rFonts w:ascii="Times New Roman" w:hAnsi="Times New Roman"/>
          <w:sz w:val="20"/>
        </w:rPr>
        <w:t>” means $31,300,000, assuming Net Cash at Closing of $20,300,000 (the “</w:t>
      </w:r>
      <w:r>
        <w:rPr>
          <w:rFonts w:ascii="Times New Roman" w:hAnsi="Times New Roman"/>
          <w:sz w:val="20"/>
          <w:u w:val="single"/>
        </w:rPr>
        <w:t>Target Net Cash</w:t>
      </w:r>
      <w:r>
        <w:rPr>
          <w:rFonts w:ascii="Times New Roman" w:hAnsi="Times New Roman"/>
          <w:sz w:val="20"/>
        </w:rPr>
        <w:t xml:space="preserve">”) after giving effect to the Pre-Closing Cash Dividend;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Net Cash at Closing after giving effect to the Pre-Closing Cash Dividend is less than the Target Net Cash, the Parent Valuation shall be adjusted down on a dollar-for-dollar basis by the amount of such shortfall below the Target Net Cash. For the avoidance of doubt, in no event shall the Parent Valuation exceed $31,300,000.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Parent Value Per Share</w:t>
      </w:r>
      <w:r>
        <w:rPr>
          <w:rFonts w:ascii="Times New Roman" w:hAnsi="Times New Roman"/>
          <w:sz w:val="20"/>
        </w:rPr>
        <w:t xml:space="preserve">” equals the Parent Valuation divided by the number of Parent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for illustrative purposes only, sample “Exchange Ratio” and “Parent Valuation” calculations are set forth on </w:t>
      </w:r>
      <w:r>
        <w:rPr>
          <w:rFonts w:ascii="Times New Roman" w:hAnsi="Times New Roman"/>
          <w:sz w:val="20"/>
          <w:u w:val="single"/>
        </w:rPr>
        <w:t>Schedule 3.1(a)(i)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First Effective Time, each share of Parent Common Stock issued and outstanding immediately prior to the First Effective Time shall remain outstanding. </w:t>
      </w:r>
    </w:p>
    <w:p>
      <w:pPr>
        <w:pStyle w:val="TextBody"/>
        <w:bidi w:val="0"/>
        <w:spacing w:before="120" w:after="0"/>
        <w:jc w:val="left"/>
        <w:rPr>
          <w:rFonts w:ascii="Times New Roman" w:hAnsi="Times New Roman"/>
          <w:sz w:val="20"/>
        </w:rPr>
      </w:pPr>
      <w:r>
        <w:rPr>
          <w:rFonts w:ascii="Times New Roman" w:hAnsi="Times New Roman"/>
          <w:sz w:val="20"/>
        </w:rPr>
        <w:t>(iii) Each share of Company Capital Stock held in the treasury of the Company or owned, directly or indirectly, by Parent or Merger Subs immediately prior to the First Effective Time (collectively, “</w:t>
      </w:r>
      <w:r>
        <w:rPr>
          <w:rFonts w:ascii="Times New Roman" w:hAnsi="Times New Roman"/>
          <w:sz w:val="20"/>
          <w:u w:val="single"/>
        </w:rPr>
        <w:t>Excluded Shares</w:t>
      </w:r>
      <w:r>
        <w:rPr>
          <w:rFonts w:ascii="Times New Roman" w:hAnsi="Times New Roman"/>
          <w:sz w:val="20"/>
        </w:rPr>
        <w:t xml:space="preserve">” shall automatically be cancelled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(iv) Each share of common stock, par value $0.001 per share, of First Merger Sub issued and outstanding immediately prior to the First Effective Time shall be converted into and become one validly issued, fully paid and non-assessable share of common stock, par value $0.001 per share, of the First Step Surviving Company. </w:t>
      </w:r>
    </w:p>
    <w:p>
      <w:pPr>
        <w:pStyle w:val="TextBody"/>
        <w:bidi w:val="0"/>
        <w:spacing w:before="120" w:after="0"/>
        <w:jc w:val="left"/>
        <w:rPr>
          <w:rFonts w:ascii="Times New Roman" w:hAnsi="Times New Roman"/>
          <w:sz w:val="20"/>
        </w:rPr>
      </w:pPr>
      <w:r>
        <w:rPr>
          <w:rFonts w:ascii="Times New Roman" w:hAnsi="Times New Roman"/>
          <w:sz w:val="20"/>
        </w:rPr>
        <w:t>(b) Immediately prior to the First Effective Time and in connection with an exchange pursuant to that certain Share Exchange Agreement, dated as of February 17, 2026, by and among the Company, Slate Medicines UK Limited (“</w:t>
      </w:r>
      <w:r>
        <w:rPr>
          <w:rFonts w:ascii="Times New Roman" w:hAnsi="Times New Roman"/>
          <w:sz w:val="20"/>
          <w:u w:val="single"/>
        </w:rPr>
        <w:t>Slate UK</w:t>
      </w:r>
      <w:r>
        <w:rPr>
          <w:rFonts w:ascii="Times New Roman" w:hAnsi="Times New Roman"/>
          <w:sz w:val="20"/>
        </w:rPr>
        <w:t>”) and certain stockholders of the Company (collectively, the “</w:t>
      </w:r>
      <w:r>
        <w:rPr>
          <w:rFonts w:ascii="Times New Roman" w:hAnsi="Times New Roman"/>
          <w:sz w:val="20"/>
          <w:u w:val="single"/>
        </w:rPr>
        <w:t>Specified Holders</w:t>
      </w:r>
      <w:r>
        <w:rPr>
          <w:rFonts w:ascii="Times New Roman" w:hAnsi="Times New Roman"/>
          <w:sz w:val="20"/>
        </w:rPr>
        <w:t>”) holding B ordinary shares of Slate UK (“</w:t>
      </w:r>
      <w:r>
        <w:rPr>
          <w:rFonts w:ascii="Times New Roman" w:hAnsi="Times New Roman"/>
          <w:sz w:val="20"/>
          <w:u w:val="single"/>
        </w:rPr>
        <w:t>B Ordinary Shares</w:t>
      </w:r>
      <w:r>
        <w:rPr>
          <w:rFonts w:ascii="Times New Roman" w:hAnsi="Times New Roman"/>
          <w:sz w:val="20"/>
        </w:rPr>
        <w:t>”), (i) each outstanding B Ordinary Share held by the Specified Holders shall be exchanged with the Company for one share of Company Series A-1 Preferred Stock, and (ii) each outstanding share of Company Series A-2 Preferred Stock shall be automatically transferred to the Company for no consideration and retired in accordance with, and pursuant to the terms and conditions of, the Company Charter (collectively, the “</w:t>
      </w:r>
      <w:r>
        <w:rPr>
          <w:rFonts w:ascii="Times New Roman" w:hAnsi="Times New Roman"/>
          <w:sz w:val="20"/>
          <w:u w:val="single"/>
        </w:rPr>
        <w:t>UK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Treatment of Company Options</w:t>
      </w:r>
      <w:r>
        <w:rPr>
          <w:rFonts w:ascii="Times New Roman" w:hAnsi="Times New Roman"/>
          <w:sz w:val="20"/>
        </w:rPr>
        <w:t>. Each Company Option outstanding immediately prior to the First Effective Time shall automatically without any further action on the part of Parent, Merger Subs, Company or any holder of a Company Option, be converted, at the First Effective Time, into an option (an “</w:t>
      </w:r>
      <w:r>
        <w:rPr>
          <w:rFonts w:ascii="Times New Roman" w:hAnsi="Times New Roman"/>
          <w:sz w:val="20"/>
          <w:u w:val="single"/>
        </w:rPr>
        <w:t>Assumed Option</w:t>
      </w:r>
      <w:r>
        <w:rPr>
          <w:rFonts w:ascii="Times New Roman" w:hAnsi="Times New Roman"/>
          <w:sz w:val="20"/>
        </w:rPr>
        <w:t xml:space="preserve">”) to acquire, on the same terms and conditions (including the same vesting and exercisability terms and conditions) as were applicable under the Company Equity Plan and option agreement applicable to such Company Option immediately prior to the First Effective Time, the number of shares of Parent Common Stock determined by multiplying the number of shares of Company Common Stock subject to such Company Option immediately prior to the First Effective Time by the Exchange Ratio, rounding down to the nearest whole number of shares, at a per share exercise price determined by dividing the per share exercise price of such Company Option immediately prior to the First Effective Time by the Exchange Ratio, rounding up to the nearest whole cent; </w:t>
      </w:r>
      <w:r>
        <w:rPr>
          <w:rFonts w:ascii="Times New Roman" w:hAnsi="Times New Roman"/>
          <w:sz w:val="20"/>
          <w:u w:val="single"/>
        </w:rPr>
        <w:t>provided</w:t>
      </w:r>
      <w:r>
        <w:rPr>
          <w:rFonts w:ascii="Times New Roman" w:hAnsi="Times New Roman"/>
          <w:sz w:val="20"/>
        </w:rPr>
        <w:t>, that the conversion of the Company Options will be made in a manner consistent with Treasury Regulations Section 1.424-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such that the conversion will not constitute a “modification” of such Company Options for purposes of Section 409A or Section 424 of the Code. As of the First Effective Time, Parent will assume the Company Equity Plan, with the number of shares available for issuance thereunder being determined by multiplying the number of shares of Company Common Stock available for issuance thereunder prior to the First Effective Time by the Exchange Ratio. For the avoidance of doubt, stockholders and equityholders of the Company,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Treatment of Company Warrants</w:t>
      </w:r>
      <w:r>
        <w:rPr>
          <w:rFonts w:ascii="Times New Roman" w:hAnsi="Times New Roman"/>
          <w:sz w:val="20"/>
        </w:rPr>
        <w:t xml:space="preserve">. Each Company Warrant outstanding immediately prior to the First Effective Time shall automatically, without any further action on the part of Parent, Merger Subs, the Company or any holder of a Company Warrant, be assumed and converted, at the First Effective Time, into a warrant (an “Assumed Warrant”) to acquire, on the same terms and conditions (including the same expiration date and other terms) as were applicable under the applicable warrant agreement or instrument governing such Company Warrant immediately prior to the First Effective Time, the number of shares of Parent Common Stock determined by multiplying the number of shares of Company Common Stock subject to such Company Warrant immediately prior to the First Effective Time by the Exchange Ratio, rounding down to the nearest whole number of shares, at a per share exercise price determined by dividing the per share exercise price of such Company Warrant immediately prior to the First Effective Time by the Exchange Ratio, rounding up to the nearest whole cent. As of the First Effective Time, Parent shall assume each Company Warrant and the obligations of the Company thereunder in accordance with its terms, as adjusted pursuant to this Section 3.3. For the avoidance of doubt, holders of Company Warrants,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Exchange and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issue and deposit (or cause to be deposited) with a bank or trust company designated by Parent (the “</w:t>
      </w:r>
      <w:r>
        <w:rPr>
          <w:rFonts w:ascii="Times New Roman" w:hAnsi="Times New Roman"/>
          <w:sz w:val="20"/>
          <w:u w:val="single"/>
        </w:rPr>
        <w:t>Exchange Agent</w:t>
      </w:r>
      <w:r>
        <w:rPr>
          <w:rFonts w:ascii="Times New Roman" w:hAnsi="Times New Roman"/>
          <w:sz w:val="20"/>
        </w:rPr>
        <w:t xml:space="preserve">”), in trust for the benefit of holders of shares of Company Capital Stock immediately prior to the First Effective Time (other than holders to the extent they hold Excluded Shares or Dissenting Shares), book-entry shares (or certificates if requested) representing the shares of Parent Common Stock issuable pursuant to </w:t>
      </w:r>
      <w:r>
        <w:rPr>
          <w:rFonts w:ascii="Times New Roman" w:hAnsi="Times New Roman"/>
          <w:sz w:val="20"/>
          <w:u w:val="single"/>
        </w:rPr>
        <w:t>Section 3.1(a)(i)</w:t>
      </w:r>
      <w:r>
        <w:rPr>
          <w:rFonts w:ascii="Times New Roman" w:hAnsi="Times New Roman"/>
          <w:sz w:val="20"/>
        </w:rPr>
        <w:t xml:space="preserve">. In addition, Parent shall make available by depositing with the Exchange Agent, as necessary from time to time after the Effective Time any dividends or other distributions payable pursuant to </w:t>
      </w:r>
      <w:r>
        <w:rPr>
          <w:rFonts w:ascii="Times New Roman" w:hAnsi="Times New Roman"/>
          <w:sz w:val="20"/>
          <w:u w:val="single"/>
        </w:rPr>
        <w:t>Section 3.4(e)</w:t>
      </w:r>
      <w:r>
        <w:rPr>
          <w:rFonts w:ascii="Times New Roman" w:hAnsi="Times New Roman"/>
          <w:sz w:val="20"/>
        </w:rPr>
        <w:t xml:space="preserve"> (which for clarity shall not include the Pre-Closing Cash Dividend). All certificates representing shares of Parent Common Stock, and any dividends, distributions and cash deposited with the Exchange Agent are hereinafter referred to as the “</w:t>
      </w:r>
      <w:r>
        <w:rPr>
          <w:rFonts w:ascii="Times New Roman" w:hAnsi="Times New Roman"/>
          <w:sz w:val="20"/>
          <w:u w:val="single"/>
        </w:rPr>
        <w:t>Exchange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As soon as reasonably practicable after the First Effective Time and in any event not later than the tenth (10th) Business Day prior to the anticipated Closing Date, the parties shall cause the Exchange Agent to mail to each holder of record of a certificate that immediately prior to the First Effective Time represented outstanding shares of Company Common Stock (collectively, the “</w:t>
      </w:r>
      <w:r>
        <w:rPr>
          <w:rFonts w:ascii="Times New Roman" w:hAnsi="Times New Roman"/>
          <w:sz w:val="20"/>
          <w:u w:val="single"/>
        </w:rPr>
        <w:t>Certificates</w:t>
      </w:r>
      <w:r>
        <w:rPr>
          <w:rFonts w:ascii="Times New Roman" w:hAnsi="Times New Roman"/>
          <w:sz w:val="20"/>
        </w:rPr>
        <w:t>”) and to each holder of record of uncertificated shares of Company Common Stock represented by book entry (“</w:t>
      </w:r>
      <w:r>
        <w:rPr>
          <w:rFonts w:ascii="Times New Roman" w:hAnsi="Times New Roman"/>
          <w:sz w:val="20"/>
          <w:u w:val="single"/>
        </w:rPr>
        <w:t>Book-Entry Shares</w:t>
      </w:r>
      <w:r>
        <w:rPr>
          <w:rFonts w:ascii="Times New Roman" w:hAnsi="Times New Roman"/>
          <w:sz w:val="20"/>
        </w:rPr>
        <w:t xml:space="preserve">”) that were converted into the right to receive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(i) a form of letter of transmittal (which shall specify that delivery shall be effected, and risk of loss and title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Certificates held by such Person shall pass, only upon proper delivery of such Certificates, if any, and identification of the Book-Entry Shares, if any, to the Exchange Agent, and which letter shall be in customary form and contain such other provisions as Parent or the Exchange Agent may reasonably specify) and (ii) instructions for use in effecting the surrender of any such Certificates and identifying such Book-Entry Shares in exchange for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Upon surrender of a Certificate and identification of the Book-Entry Shares, as applicable, to the Exchange Agent, together with such letter of transmittal, duly completed and validly executed in accordance with the instructions thereto, and such other documents as the Exchange Agent may reasonably require, the holder of such Certificate or Book-Entry Share shall be entitled to receive in exchange for the shares of Company Common Stock formerly represented by such Certificate or Book-Entry Share (other than Excluded Shares or Dissenting Shares) (A) that number of whole shares of Parent Common Stock (after taking into account all shares of Company Common Stock then held by such holder under all Certificates so surrendered and Book-Entry Shares so identified) to which such holder of Company Common Stock shall have become entitled pursuant to </w:t>
      </w:r>
      <w:r>
        <w:rPr>
          <w:rFonts w:ascii="Times New Roman" w:hAnsi="Times New Roman"/>
          <w:sz w:val="20"/>
          <w:u w:val="single"/>
        </w:rPr>
        <w:t>Section 3.1(a)(i)</w:t>
      </w:r>
      <w:r>
        <w:rPr>
          <w:rFonts w:ascii="Times New Roman" w:hAnsi="Times New Roman"/>
          <w:sz w:val="20"/>
        </w:rPr>
        <w:t xml:space="preserve"> (which shall be in uncertificated book-entry form unless a physical certificate is requested), and (B)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and any Certificate so surrendered, together with any Book-Entry Shares, shall forthwith be cancelled. No interest will be paid or accrued on any unpaid dividends and distributions, if any, payable to holders of Certificates or Book-Entry Shares. Until surrendered as contemplated by this </w:t>
      </w:r>
      <w:r>
        <w:rPr>
          <w:rFonts w:ascii="Times New Roman" w:hAnsi="Times New Roman"/>
          <w:sz w:val="20"/>
          <w:u w:val="single"/>
        </w:rPr>
        <w:t>Section 3.4</w:t>
      </w:r>
      <w:r>
        <w:rPr>
          <w:rFonts w:ascii="Times New Roman" w:hAnsi="Times New Roman"/>
          <w:sz w:val="20"/>
        </w:rPr>
        <w:t xml:space="preserve">, each Certificate or Book-Entry Share shall be deemed after the First Effective Time to represent only the right to receive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before="120" w:after="0"/>
        <w:jc w:val="left"/>
        <w:rPr>
          <w:rFonts w:ascii="Times New Roman" w:hAnsi="Times New Roman"/>
          <w:sz w:val="20"/>
        </w:rPr>
      </w:pPr>
      <w:r>
        <w:rPr>
          <w:rFonts w:ascii="Times New Roman" w:hAnsi="Times New Roman"/>
          <w:sz w:val="20"/>
        </w:rPr>
        <w:t xml:space="preserve">(d) Holders of Company Capital Stock, in their capacities as such, shall not be entitled to any portion of the Pre-Closing Cash Dividend, and the Certificates and Book-Entry Shares shall not represent any right to any portion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(e) (i) No dividends or other distributions with respect to Parent Common Stock with a record date after the First Effective Time shall be paid to the holder of any unsurrendered Certificate with respect to the shares of Parent Common Stock that the holder thereof has the right to receive upon the surrender thereof until the holder thereof shall surrender such Certificate in accordance with this </w:t>
      </w:r>
      <w:r>
        <w:rPr>
          <w:rFonts w:ascii="Times New Roman" w:hAnsi="Times New Roman"/>
          <w:sz w:val="20"/>
          <w:u w:val="single"/>
        </w:rPr>
        <w:t>Article III</w:t>
      </w:r>
      <w:r>
        <w:rPr>
          <w:rFonts w:ascii="Times New Roman" w:hAnsi="Times New Roman"/>
          <w:sz w:val="20"/>
        </w:rPr>
        <w:t xml:space="preserve">. Following the surrender of a Certificate in accordance with this </w:t>
      </w:r>
      <w:r>
        <w:rPr>
          <w:rFonts w:ascii="Times New Roman" w:hAnsi="Times New Roman"/>
          <w:sz w:val="20"/>
          <w:u w:val="single"/>
        </w:rPr>
        <w:t>Article III</w:t>
      </w:r>
      <w:r>
        <w:rPr>
          <w:rFonts w:ascii="Times New Roman" w:hAnsi="Times New Roman"/>
          <w:sz w:val="20"/>
        </w:rPr>
        <w:t xml:space="preserve">, there shall be paid to the record holder thereof, without interest, (A) promptly after such surrender, the amount of any dividends or other distributions with a record date after the First Effective Time theretofore paid with respect to such whole shares of Parent Common Stock, and (B) at the appropriate payment date, the amount of dividends or other distributions with a record date after the First Effective Time but prior to such surrender and a payment date subsequent to such surrender payable with respect to such whole shares of Parent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Holders of Book-Entry Shares who are entitled to receive shares of Parent Common Stock under this </w:t>
      </w:r>
      <w:r>
        <w:rPr>
          <w:rFonts w:ascii="Times New Roman" w:hAnsi="Times New Roman"/>
          <w:sz w:val="20"/>
          <w:u w:val="single"/>
        </w:rPr>
        <w:t>Article III</w:t>
      </w:r>
      <w:r>
        <w:rPr>
          <w:rFonts w:ascii="Times New Roman" w:hAnsi="Times New Roman"/>
          <w:sz w:val="20"/>
        </w:rPr>
        <w:t xml:space="preserve"> shall be paid (A) at the time of payment of such Parent Common Stock by the Exchange Agent under </w:t>
      </w:r>
      <w:r>
        <w:rPr>
          <w:rFonts w:ascii="Times New Roman" w:hAnsi="Times New Roman"/>
          <w:sz w:val="20"/>
          <w:u w:val="single"/>
        </w:rPr>
        <w:t>Section 3.4(b)</w:t>
      </w:r>
      <w:r>
        <w:rPr>
          <w:rFonts w:ascii="Times New Roman" w:hAnsi="Times New Roman"/>
          <w:sz w:val="20"/>
        </w:rPr>
        <w:t xml:space="preserve">, the amount of dividends or other distributions (other than the Pre-Closing Cash Dividend) with a record date after the Effective Time theretofore paid with respect to such whole shares of Parent Common Stock, and (B) First at the appropriate payment date, the amount of dividends or other distributions with a record date after the Effective Time but prior to the time of such payment by the Exchange Agent under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3.4(b)</w:t>
      </w:r>
      <w:r>
        <w:rPr>
          <w:rFonts w:ascii="Times New Roman" w:hAnsi="Times New Roman"/>
          <w:sz w:val="20"/>
        </w:rPr>
        <w:t xml:space="preserve"> and a payment date subsequent to the time of such payment by the Exchange Agent under </w:t>
      </w:r>
      <w:r>
        <w:rPr>
          <w:rFonts w:ascii="Times New Roman" w:hAnsi="Times New Roman"/>
          <w:sz w:val="20"/>
          <w:u w:val="single"/>
        </w:rPr>
        <w:t>Section 3.4(b)</w:t>
      </w:r>
      <w:r>
        <w:rPr>
          <w:rFonts w:ascii="Times New Roman" w:hAnsi="Times New Roman"/>
          <w:sz w:val="20"/>
        </w:rPr>
        <w:t xml:space="preserve">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(f) The Merger Consideration (together with any dividends or other distributions payable pursuant to </w:t>
      </w:r>
      <w:r>
        <w:rPr>
          <w:rFonts w:ascii="Times New Roman" w:hAnsi="Times New Roman"/>
          <w:sz w:val="20"/>
          <w:u w:val="single"/>
        </w:rPr>
        <w:t>Section 3.3(e)</w:t>
      </w:r>
      <w:r>
        <w:rPr>
          <w:rFonts w:ascii="Times New Roman" w:hAnsi="Times New Roman"/>
          <w:sz w:val="20"/>
        </w:rPr>
        <w:t xml:space="preserve">, but not the Pre-Closing Cash Dividend)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 fractional shares of Parent Common Stock shall be issued in connection with the Merger, and no certificates or scrip for any such fractional shares shall be issued. All fractional shares of Parent Common Stock that a holder of shares of Company Capital Stock would otherwise be entitled to receive as a result of the Merger shall be aggregated, and each such holder shall receive a number of whole shares of Parent Common Stock resulting from such aggregation rounded up to the nearest whole share, with no cash being paid for any fractional share eliminated by such rounding. </w:t>
      </w:r>
    </w:p>
    <w:p>
      <w:pPr>
        <w:pStyle w:val="TextBody"/>
        <w:bidi w:val="0"/>
        <w:spacing w:before="120" w:after="0"/>
        <w:jc w:val="left"/>
        <w:rPr>
          <w:rFonts w:ascii="Times New Roman" w:hAnsi="Times New Roman"/>
          <w:sz w:val="20"/>
        </w:rPr>
      </w:pPr>
      <w:r>
        <w:rPr>
          <w:rFonts w:ascii="Times New Roman" w:hAnsi="Times New Roman"/>
          <w:sz w:val="20"/>
        </w:rPr>
        <w:t xml:space="preserve">(h) Any portion of the Exchange Fund that remains undistributed to the holders of Certificates or Book-Entry Shares six months after the First Effective Time shall be delivered to the Surviving Entity, upon demand, and any remaining holders of Certificates or Book-Entry Shares (except to the extent representing Excluded Shares or Dissenting Shares) shall thereafter look only to the Surviving Entity, as general creditors thereof, for payment of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(subject to abandoned property, escheat or other similar laws),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(i) None of Parent, the Surviving Entity, the Exchange Agent or any other Person shall be liable to any Person in respect of shares of Parent Common Stock, dividends or other distributions with respect thereto properly delivered to a public official pursuant to any applicable abandoned property, escheat or similar Law. If any Certificates or Book-Entry Shares shall not have been exchanged prior to two years after the First Effective Time (or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such earlier date on which the related Merger Consideration (and all dividends or other distributions with respect to shares of Parent Common Stock) would otherwise escheat to or become the property of any Governmental Entity), any such Merger Consideration (and such dividends, distributions and cash) in respect thereof shall, to the extent permitted by applicable Law, become the property of the Surviving Entity,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Entity with respect to such Certificate, then the Exchange Agent will deliver in exchange for such lost, stolen or destroyed Certificate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Withholding Rights</w:t>
      </w:r>
      <w:r>
        <w:rPr>
          <w:rFonts w:ascii="Times New Roman" w:hAnsi="Times New Roman"/>
          <w:sz w:val="20"/>
        </w:rPr>
        <w:t>. Parent, the Surviving Entity and the Exchange Agent (each, a “</w:t>
      </w:r>
      <w:r>
        <w:rPr>
          <w:rFonts w:ascii="Times New Roman" w:hAnsi="Times New Roman"/>
          <w:sz w:val="20"/>
          <w:u w:val="single"/>
        </w:rPr>
        <w:t>Withholding Agent</w:t>
      </w:r>
      <w:r>
        <w:rPr>
          <w:rFonts w:ascii="Times New Roman" w:hAnsi="Times New Roman"/>
          <w:sz w:val="20"/>
        </w:rPr>
        <w:t xml:space="preserve">”) shall each be entitled to deduct and withhold, or cause to be deducted and withheld, from the consideration otherwise payable pursuant to this Agreement such amounts as any Withholding Agent is required to deduct and withhold under applicable Law. To the extent that amounts are so deducted and withheld by a Withholding Agent and remitted to the appropriate Governmental Entity, such amounts shall be treated for all purposes of this Agreement as having been paid to the Person in respect of whom such deduction and withholding was made. Except in connection with payments under this Agreement in respect of shares of Company Capital Stock that were issued in connection with the performance of services, that remain subject to a substantial risk of forfeiture within the meaning of Section 83 of the Code and the Treasury Regulations thereunder as of the First Effective Time, and for which an election under Section 83(b) of the Code has not been filed, the Withholding Agent shall use commercially reasonable efforts to (i) notify each holder of Company Capital Stock at least five (5) Business Days prior to deducting or withholding any amounts of its intent to deduct and withhold and (ii) cooperate with such holder to minimize any such deductions and withholding.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Dissenters Rights</w:t>
      </w:r>
      <w:r>
        <w:rPr>
          <w:rFonts w:ascii="Times New Roman" w:hAnsi="Times New Roman"/>
          <w:sz w:val="20"/>
        </w:rPr>
        <w:t>. Notwithstanding anything in this Agreement to the contrary, each share of the Company Common Stock (other than Excluded Shares) outstanding immediately prior to the First Effective Time and held by a holder who is entitled to demand and has properly demanded appraisal for such shares of the Company Common Stock in accordance with Section 262 of the DGCL and, as of the First Effective Time, have neither effectively withdrawn nor lost their rights to such appraisal and payment under the DGCL (“</w:t>
      </w:r>
      <w:r>
        <w:rPr>
          <w:rFonts w:ascii="Times New Roman" w:hAnsi="Times New Roman"/>
          <w:sz w:val="20"/>
          <w:u w:val="single"/>
        </w:rPr>
        <w:t>Dissenting Shares</w:t>
      </w:r>
      <w:r>
        <w:rPr>
          <w:rFonts w:ascii="Times New Roman" w:hAnsi="Times New Roman"/>
          <w:sz w:val="20"/>
        </w:rPr>
        <w:t xml:space="preserve">”), shall not be converted into or be exchangeable for the right to receive a portion of the Merger Consideration but shall be entitled only to such rights as are granted by Section 262 of the DGCL, unless and until such holder fails to perfect or withdraws or otherwise loses such holder’s right to appraisal and payment under the DGCL. If, after the First Effective Time, any such holder fails to perfect or withdraws or loses such holder’s right to appraisal, such Dissenting Shares shall thereupon be treated as if they had been converted as of the First Effective Time into the right to receive the portion of the Merger Consideration, if any, to which such holder is entitled pursuant to </w:t>
      </w:r>
      <w:r>
        <w:rPr>
          <w:rFonts w:ascii="Times New Roman" w:hAnsi="Times New Roman"/>
          <w:sz w:val="20"/>
          <w:u w:val="single"/>
        </w:rPr>
        <w:t>Section 3.1(a)(i)</w:t>
      </w:r>
      <w:r>
        <w:rPr>
          <w:rFonts w:ascii="Times New Roman" w:hAnsi="Times New Roman"/>
          <w:sz w:val="20"/>
        </w:rPr>
        <w:t xml:space="preserve">, without interest. The Company shall give Parent (a) prompt notice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demands received by the Company for appraisal of any shares of the Company Common Stock issued and outstanding immediately prior to the First Effective Time, attempted written withdrawals of such demands, and any other instruments served pursuant to the DGCL and received by the Company relating to stockholders’ rights to appraisal with respect to the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Calculation of Net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 less than ten (10) Business Days prior to the anticipated date for the Parent Stockholder Meeting as mutually agreed in good faith by Parent and the Company (the “</w:t>
      </w:r>
      <w:r>
        <w:rPr>
          <w:rFonts w:ascii="Times New Roman" w:hAnsi="Times New Roman"/>
          <w:sz w:val="20"/>
          <w:u w:val="single"/>
        </w:rPr>
        <w:t>Anticipated Meeting Date</w:t>
      </w:r>
      <w:r>
        <w:rPr>
          <w:rFonts w:ascii="Times New Roman" w:hAnsi="Times New Roman"/>
          <w:sz w:val="20"/>
        </w:rPr>
        <w:t>”), Parent will deliver to the Company a certificate signed by an officer of Parent in the form reasonably acceptable to the Company setting forth a schedule (the “</w:t>
      </w:r>
      <w:r>
        <w:rPr>
          <w:rFonts w:ascii="Times New Roman" w:hAnsi="Times New Roman"/>
          <w:sz w:val="20"/>
          <w:u w:val="single"/>
        </w:rPr>
        <w:t>Parent Net Cash Schedule</w:t>
      </w:r>
      <w:r>
        <w:rPr>
          <w:rFonts w:ascii="Times New Roman" w:hAnsi="Times New Roman"/>
          <w:sz w:val="20"/>
        </w:rPr>
        <w:t>”, and the date of delivery of the Parent Net Cash Schedule, the “</w:t>
      </w:r>
      <w:r>
        <w:rPr>
          <w:rFonts w:ascii="Times New Roman" w:hAnsi="Times New Roman"/>
          <w:sz w:val="20"/>
          <w:u w:val="single"/>
        </w:rPr>
        <w:t>Delivery Date</w:t>
      </w:r>
      <w:r>
        <w:rPr>
          <w:rFonts w:ascii="Times New Roman" w:hAnsi="Times New Roman"/>
          <w:sz w:val="20"/>
        </w:rPr>
        <w:t>”) setting forth, in reasonable detail, Parent’s good faith, estimated calculation of Net Cash (the “</w:t>
      </w:r>
      <w:r>
        <w:rPr>
          <w:rFonts w:ascii="Times New Roman" w:hAnsi="Times New Roman"/>
          <w:sz w:val="20"/>
          <w:u w:val="single"/>
        </w:rPr>
        <w:t>Parent Net Cash Calculation</w:t>
      </w:r>
      <w:r>
        <w:rPr>
          <w:rFonts w:ascii="Times New Roman" w:hAnsi="Times New Roman"/>
          <w:sz w:val="20"/>
        </w:rPr>
        <w:t>”) as of the close of business on the Closing Date (the “</w:t>
      </w:r>
      <w:r>
        <w:rPr>
          <w:rFonts w:ascii="Times New Roman" w:hAnsi="Times New Roman"/>
          <w:sz w:val="20"/>
          <w:u w:val="single"/>
        </w:rPr>
        <w:t>Cash Determination Time</w:t>
      </w:r>
      <w:r>
        <w:rPr>
          <w:rFonts w:ascii="Times New Roman" w:hAnsi="Times New Roman"/>
          <w:sz w:val="20"/>
        </w:rPr>
        <w:t xml:space="preserve">”) prepared and certified by Parent’s chief financial officer (or if there is no chief financial officer at such time, the principal financial and accounting officer for Parent). Parent shall make available (electronically and concurrently with the Parent Net Cash Schedule) to the Company the work papers and back-up materials (including all relevant invoices and similar evidence of outstanding obligations), in each case, to the extent not previously provided, used or useful in preparing the Parent Net Cash Schedule and shall make available, if reasonably requested by the Company, Parent’s finance personnel, accountants and counsel at reasonable times and upon reasonable notice. </w:t>
      </w:r>
    </w:p>
    <w:p>
      <w:pPr>
        <w:pStyle w:val="TextBody"/>
        <w:bidi w:val="0"/>
        <w:spacing w:before="120" w:after="0"/>
        <w:jc w:val="left"/>
        <w:rPr>
          <w:rFonts w:ascii="Times New Roman" w:hAnsi="Times New Roman"/>
          <w:sz w:val="20"/>
        </w:rPr>
      </w:pPr>
      <w:r>
        <w:rPr>
          <w:rFonts w:ascii="Times New Roman" w:hAnsi="Times New Roman"/>
          <w:sz w:val="20"/>
        </w:rPr>
        <w:t>(b) Within two (2) Business Days after the Delivery Date (the last day of such period, the “</w:t>
      </w:r>
      <w:r>
        <w:rPr>
          <w:rFonts w:ascii="Times New Roman" w:hAnsi="Times New Roman"/>
          <w:sz w:val="20"/>
          <w:u w:val="single"/>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sz w:val="20"/>
          <w:u w:val="single"/>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w:t>
      </w:r>
    </w:p>
    <w:p>
      <w:pPr>
        <w:pStyle w:val="TextBody"/>
        <w:bidi w:val="0"/>
        <w:spacing w:before="120" w:after="0"/>
        <w:jc w:val="left"/>
        <w:rPr>
          <w:rFonts w:ascii="Times New Roman" w:hAnsi="Times New Roman"/>
          <w:sz w:val="20"/>
        </w:rPr>
      </w:pPr>
      <w:r>
        <w:rPr>
          <w:rFonts w:ascii="Times New Roman" w:hAnsi="Times New Roman"/>
          <w:sz w:val="20"/>
        </w:rPr>
        <w:t xml:space="preserve">(c) If, on or prior to the Response Date, the Company notifies Parent in writing that it has no objections to the Parent Net Cash Calculation or, if prior to 11:59 p.m. (New York City time) on the Response Date, the Company has failed to deliver a Dispute Notice as provided in </w:t>
      </w:r>
      <w:r>
        <w:rPr>
          <w:rFonts w:ascii="Times New Roman" w:hAnsi="Times New Roman"/>
          <w:sz w:val="20"/>
          <w:u w:val="single"/>
        </w:rPr>
        <w:t>Section 3.7(b)</w:t>
      </w:r>
      <w:r>
        <w:rPr>
          <w:rFonts w:ascii="Times New Roman" w:hAnsi="Times New Roman"/>
          <w:sz w:val="20"/>
        </w:rPr>
        <w:t>, then the Parent Net Cash Calculation as set forth in the Parent Net Cash Schedule shall be deemed to have been finally determined for purposes of this Agreement and to represent the Parent Net Cash at the Cash Determination Time (the “</w:t>
      </w:r>
      <w:r>
        <w:rPr>
          <w:rFonts w:ascii="Times New Roman" w:hAnsi="Times New Roman"/>
          <w:sz w:val="20"/>
          <w:u w:val="single"/>
        </w:rPr>
        <w:t>Final Parent Net Cash</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delivers a Dispute Notice on or prior to 11:59 p.m. (New York City time) on the Response Date, then Representatives of Parent and the Company shall promptly, and in no event later than one calendar day after the Response Date, communicate and attempt in good faith to resolve the disputed item(s) and negotiate an agreed-upon determination of Net Cash, which agreed upon Net Cash amount (if so resolved) shall be deemed to have been finally determined for purposes of this Agreement and to represent the Final Parent Net Cash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Representatives of Parent and the Company are unable to resolve the disputed items pursuant to </w:t>
      </w:r>
      <w:r>
        <w:rPr>
          <w:rFonts w:ascii="Times New Roman" w:hAnsi="Times New Roman"/>
          <w:sz w:val="20"/>
          <w:u w:val="single"/>
        </w:rPr>
        <w:t>Section 3.7(d)</w:t>
      </w:r>
      <w:r>
        <w:rPr>
          <w:rFonts w:ascii="Times New Roman" w:hAnsi="Times New Roman"/>
          <w:sz w:val="20"/>
        </w:rPr>
        <w:t xml:space="preserve"> within three calendar days after delivery of the Dispute Notice (or such other period as Parent and the Company may mutually agree upon), then any remaining disagreements as to the calculation of Net Cash shall be referred to an independent auditor of recognized national standing jointly selected by Parent and the Company or another independent auditor of recognized national standing mutually agreed upon by Parent and the Company (the “</w:t>
      </w:r>
      <w:r>
        <w:rPr>
          <w:rFonts w:ascii="Times New Roman" w:hAnsi="Times New Roman"/>
          <w:sz w:val="20"/>
          <w:u w:val="single"/>
        </w:rPr>
        <w:t>Accounting Firm</w:t>
      </w:r>
      <w:r>
        <w:rPr>
          <w:rFonts w:ascii="Times New Roman" w:hAnsi="Times New Roman"/>
          <w:sz w:val="20"/>
        </w:rPr>
        <w:t xml:space="preserve">”). Parent shall promptly deliver to the Accounting Firm all work papers and back-up materials used in preparing the Parent Net Cash Schedule, and Parent and the Company shall use commercially reasonable efforts to cause the Accounting Firm to make its determination within five calendar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Net Cash made by the Accounting Firm shall be made in writing delivered to each of Parent and the Company, shall be final and binding on Parent and the Company and shall be deemed to have been finally determined for purposes of this Agreement and to represent the Final Parent Net Cash for purposes of this Agreement. The parties shall delay the Closing until the resolution of the matters described in this </w:t>
      </w:r>
      <w:r>
        <w:rPr>
          <w:rFonts w:ascii="Times New Roman" w:hAnsi="Times New Roman"/>
          <w:sz w:val="20"/>
          <w:u w:val="single"/>
        </w:rPr>
        <w:t>Section 3.7(e)</w:t>
      </w:r>
      <w:r>
        <w:rPr>
          <w:rFonts w:ascii="Times New Roman" w:hAnsi="Times New Roman"/>
          <w:sz w:val="20"/>
        </w:rPr>
        <w:t xml:space="preserve">. The fees and expenses of the Accounting Firm shall be allocated between Parent and the Company in the same proportion that the disputed amount of the Net Cash that was unsuccessfully disputed amount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Anticipated Meeting Date in connection with the procedures set forth in this </w:t>
      </w:r>
      <w:r>
        <w:rPr>
          <w:rFonts w:ascii="Times New Roman" w:hAnsi="Times New Roman"/>
          <w:sz w:val="20"/>
          <w:u w:val="single"/>
        </w:rPr>
        <w:t>Section 3.7(e)</w:t>
      </w:r>
      <w:r>
        <w:rPr>
          <w:rFonts w:ascii="Times New Roman" w:hAnsi="Times New Roman"/>
          <w:sz w:val="20"/>
        </w:rPr>
        <w:t xml:space="preserve"> shall be deducted from the final determination of the amount of Net Cash, to the extent of available amounts. If this </w:t>
      </w:r>
      <w:r>
        <w:rPr>
          <w:rFonts w:ascii="Times New Roman" w:hAnsi="Times New Roman"/>
          <w:sz w:val="20"/>
          <w:u w:val="single"/>
        </w:rPr>
        <w:t>Section 3.7(e)</w:t>
      </w:r>
      <w:r>
        <w:rPr>
          <w:rFonts w:ascii="Times New Roman" w:hAnsi="Times New Roman"/>
          <w:sz w:val="20"/>
        </w:rPr>
        <w:t xml:space="preserve"> applies as to the determination of the Final Parent Net Cash described in </w:t>
      </w:r>
      <w:r>
        <w:rPr>
          <w:rFonts w:ascii="Times New Roman" w:hAnsi="Times New Roman"/>
          <w:sz w:val="20"/>
          <w:u w:val="single"/>
        </w:rPr>
        <w:t>Section 3.7(a)</w:t>
      </w:r>
      <w:r>
        <w:rPr>
          <w:rFonts w:ascii="Times New Roman" w:hAnsi="Times New Roman"/>
          <w:sz w:val="20"/>
        </w:rPr>
        <w:t xml:space="preserve">, upon resolution of the matter in accordance with this </w:t>
      </w:r>
      <w:r>
        <w:rPr>
          <w:rFonts w:ascii="Times New Roman" w:hAnsi="Times New Roman"/>
          <w:sz w:val="20"/>
          <w:u w:val="single"/>
        </w:rPr>
        <w:t>Section 3.7(e)</w:t>
      </w:r>
      <w:r>
        <w:rPr>
          <w:rFonts w:ascii="Times New Roman" w:hAnsi="Times New Roman"/>
          <w:sz w:val="20"/>
        </w:rPr>
        <w:t xml:space="preserve">, the parties shall not be required to determine the Net Cash again even though the Closing Date may occur later than the Anticipated Meeting Date, except that either Parent and the Company may require a redetermination of the Final Parent Net Cash if the Closing Date is more than ten calendar days after the Anticipated Meeting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 or subsection of the disclosure letter delivered by the Company to Parent (the “</w:t>
      </w:r>
      <w:r>
        <w:rPr>
          <w:rFonts w:ascii="Times New Roman" w:hAnsi="Times New Roman"/>
          <w:sz w:val="20"/>
          <w:u w:val="single"/>
        </w:rPr>
        <w:t>Company Disclosure Letter</w:t>
      </w:r>
      <w:r>
        <w:rPr>
          <w:rFonts w:ascii="Times New Roman" w:hAnsi="Times New Roman"/>
          <w:sz w:val="20"/>
        </w:rPr>
        <w:t xml:space="preserve">”)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and Merger Subs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(i) is an entity duly organized, validly existing and in good standing under the Laws of the jurisdiction of its incorporation,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For purposes of this Agreement, “</w:t>
      </w:r>
      <w:r>
        <w:rPr>
          <w:rFonts w:ascii="Times New Roman" w:hAnsi="Times New Roman"/>
          <w:sz w:val="20"/>
          <w:u w:val="single"/>
        </w:rPr>
        <w:t>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the Company and its Subsidiaries, taken as a whole, or (B) materially impairs the ability of the Company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Material Adverse Effect shall not include any event, change, circumstance, occurrence, effect or state of facts to the extent resulting from (1) changes or conditions generally affecting the industries in which the Company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the Company at or with the express written consent of Parent;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the Company and its Subsidiaries as compared to other participants in the industries in which the Company and its Subsidiaries operate. </w:t>
      </w:r>
    </w:p>
    <w:p>
      <w:pPr>
        <w:pStyle w:val="TextBody"/>
        <w:bidi w:val="0"/>
        <w:spacing w:before="120" w:after="0"/>
        <w:jc w:val="left"/>
        <w:rPr>
          <w:rFonts w:ascii="Times New Roman" w:hAnsi="Times New Roman"/>
          <w:sz w:val="20"/>
        </w:rPr>
      </w:pPr>
      <w:r>
        <w:rPr>
          <w:rFonts w:ascii="Times New Roman" w:hAnsi="Times New Roman"/>
          <w:sz w:val="20"/>
        </w:rPr>
        <w:t>(b) The Company has previously made available to Parent true and complete copies of the Company’s Certificate of Incorporation (the “</w:t>
      </w:r>
      <w:r>
        <w:rPr>
          <w:rFonts w:ascii="Times New Roman" w:hAnsi="Times New Roman"/>
          <w:sz w:val="20"/>
          <w:u w:val="single"/>
        </w:rPr>
        <w:t>Company Charter</w:t>
      </w:r>
      <w:r>
        <w:rPr>
          <w:rFonts w:ascii="Times New Roman" w:hAnsi="Times New Roman"/>
          <w:sz w:val="20"/>
        </w:rPr>
        <w:t>”) and bylaws (the “</w:t>
      </w:r>
      <w:r>
        <w:rPr>
          <w:rFonts w:ascii="Times New Roman" w:hAnsi="Times New Roman"/>
          <w:sz w:val="20"/>
          <w:u w:val="single"/>
        </w:rPr>
        <w:t>Company Bylaws</w:t>
      </w:r>
      <w:r>
        <w:rPr>
          <w:rFonts w:ascii="Times New Roman" w:hAnsi="Times New Roman"/>
          <w:sz w:val="20"/>
        </w:rPr>
        <w:t xml:space="preserve">”) and the Certificate of Incorporation and bylaws of each other Subsidiary of the Company, in each case as amended to the date of this Agreement, and each as so delivered is in full force and effect. None of the Company or any of its Subsidiaries is in violation of any provision of its Certificate of Incorporation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capital stock of the Company consists of 40,000,000 shares of Company Common Stock and 32,378,552 shares of Company Preferred Stock, of which 3,000,000 shares are designated Company Series Seed Preferred Stock, 29,378,526 shares are designated Company Series A-1 Preferred Stock and 26 shares are designated Company Series A-2 Preferred Stock. As of the date hereof, (i) 385,592 shares of Company Common Stock (excluding treasury shares) were issued and outstanding, (ii) 3,000,000 shares of Company Series Seed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were issued and outstanding, (iii) 21,468,922 shares of Company Series A-1 Preferred Stock were issued and outstanding, (iv) 26 shares of Company Series A-2 Preferred Stock were issued and outstanding, and (v) no shares of Company Common Stock were held by the Company in its treasury. All outstanding shares of capital stock of the Company and any of its Subsidiaries are duly authorized, validly issued, fully paid and nonassessable and not subject to any preemptive rights. Neither the Company nor any of its Subsidiaries has any outstanding bonds, debentures, notes or other obligations having the right to vote (or convertible into, or exchangeable or exercisable for, securities having the right to vote) with the stockholders of the Company or any of its Subsidiaries on any matter. Except as set forth above in this </w:t>
      </w:r>
      <w:r>
        <w:rPr>
          <w:rFonts w:ascii="Times New Roman" w:hAnsi="Times New Roman"/>
          <w:sz w:val="20"/>
          <w:u w:val="single"/>
        </w:rPr>
        <w:t>Section 4.2(a)</w:t>
      </w:r>
      <w:r>
        <w:rPr>
          <w:rFonts w:ascii="Times New Roman" w:hAnsi="Times New Roman"/>
          <w:sz w:val="20"/>
        </w:rPr>
        <w:t xml:space="preserve">, neither the Company nor any of its Subsidiaries has any outstanding (A) shares of capital stock or other voting securities or equity interests of the Company or any of its Subsidiaries, (B) securities of the Company or any of its Subsidiaries convertible into or exchangeable or exercisable for shares of capital stock of the Company or any of its Subsidiaries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or (E) obligations of the Company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Letter sets forth a true and complete list of all holders, as of the date hereof, of rights to purchase or receive shares of Company Common Stock or similar rights granted under the Company Stock Plan or otherwise (collectively, “</w:t>
      </w:r>
      <w:r>
        <w:rPr>
          <w:rFonts w:ascii="Times New Roman" w:hAnsi="Times New Roman"/>
          <w:sz w:val="20"/>
          <w:u w:val="single"/>
        </w:rPr>
        <w:t>Company Stock Awards</w:t>
      </w:r>
      <w:r>
        <w:rPr>
          <w:rFonts w:ascii="Times New Roman" w:hAnsi="Times New Roman"/>
          <w:sz w:val="20"/>
        </w:rPr>
        <w:t xml:space="preserve">”), indicating as applicable, with respect to each Company Stock Award then outstanding, the type of award granted, the number of shares of Company Common Stock subject to such Company Stock Award, the name of the agreement under which such Company Stock Award was granted, the date of grant, exercise or purchase price, vesting schedule, payment schedule (if different from the vesting schedule) and expiration thereof, whether the Company Stock Award is a non-statutory stock option or qualifies as an “incentive stock option” as defined in Section 422 of the Code and whether (and to what extent) the vesting of such Company Stock Award will be accelerated or otherwise adjusted in any way or any other terms will be triggered or otherwise adjusted in a way by the consummation of the Merger and the other transactions contemplated by this Agreement or by the termination of employment or engagement or change in position of any holder thereof following or in connection with the Merger. The Company has made available to Parent true and complete copies of all forms of award agreements evidencing outstanding Company Stock Awards. Neither the Company nor any of its Subsidiaries is under any obligation to issue shares of Company Common Stock or any capital stock of any of its Subsidiaries pursuant to any employee or director stock option, stock purchase or equity compensation plan or arrangement other than the ones issued under the Company Stock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of the Company Disclosure Letter sets forth a true and complete list of each Subsidiary of the Company, including is jurisdiction of incorporation or formation. Each of the Company’s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Except as set forth in </w:t>
      </w:r>
      <w:r>
        <w:rPr>
          <w:rFonts w:ascii="Times New Roman" w:hAnsi="Times New Roman"/>
          <w:sz w:val="20"/>
          <w:u w:val="single"/>
        </w:rPr>
        <w:t>Section 4.3</w:t>
      </w:r>
      <w:r>
        <w:rPr>
          <w:rFonts w:ascii="Times New Roman" w:hAnsi="Times New Roman"/>
          <w:sz w:val="20"/>
        </w:rPr>
        <w:t xml:space="preserve"> of the Company Disclosure Letter, all outstanding shares of capital stock and other voting securities or equity interests of each such Subsidiary are owned directly by the Company, free and clear of all Liens.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authorized by all necessary corporate action on the part of the Company and no other corporate proceedings on the part of the Company are necessary to approve this Agreement or to consummate the Merger and the other transactions contemplated hereby, subject, in the case of the consummation of the Merger, to receipt of the Company Stockholder Approval. This Agreement has been duly executed and delivered by the Company and, assuming the due authorization, execution and delivery by Parent and Merger Subs,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Company Board, at a meeting duly called and held at which all directors of the Company were present, duly and unanimously adopted resolutions (i) determining that the terms of this Agreement, the Company Support Agreements, the Merger, the Concurrent Investment and the other transactions contemplated hereby are fair to, advisable and in the best interests of the Company’s stockholders, (ii) approving and declaring advisable this Agreement and the transactions contemplated hereby, including the Merger, (iii) directing that this Agreement be submitted to the stockholders of the Company for adoption, and (iv) resolving to recommend that the Company’s stockholders vote in favor of the adoption of this Agreement and the transactions contemplated hereby, including the Merger, which resolutions have not been subsequently rescinded, modified or withdrawn in any 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Stockholder Approval is the only vote of the holders of any class or series of the Company Capital Stock or other securities required in connection with the consummation of the Merger. Other than the Company Stockholder Approval (and except with respect to the Concurrent Investment), no vote of the holders of any class or series of the Company’s capital stock or other securities is required in connection with the consummation of any of the transactions contemplated hereby to be consummated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4.5(a)</w:t>
      </w:r>
      <w:r>
        <w:rPr>
          <w:rFonts w:ascii="Times New Roman" w:hAnsi="Times New Roman"/>
          <w:sz w:val="20"/>
        </w:rPr>
        <w:t xml:space="preserve"> of the Company Disclosure Letter, the execution, delivery and performance of this Agreement by the Company does not, and the consummation of the Merger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hAnsi="Times New Roman"/>
          <w:sz w:val="20"/>
          <w:u w:val="single"/>
        </w:rPr>
        <w:t>Liens</w:t>
      </w:r>
      <w:r>
        <w:rPr>
          <w:rFonts w:ascii="Times New Roman" w:hAnsi="Times New Roman"/>
          <w:sz w:val="20"/>
        </w:rPr>
        <w:t>”)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material bond, debenture, note, mortgage, indenture, guarantee, license, lease, purchase or sale order or other contract, commitment, agreement, instrument, obligation, arrangement, understanding, undertaking, permit, concession or franchise, whether oral or written (each, including all amendments thereto, a “</w:t>
      </w:r>
      <w:r>
        <w:rPr>
          <w:rFonts w:ascii="Times New Roman" w:hAnsi="Times New Roman"/>
          <w:sz w:val="20"/>
          <w:u w:val="single"/>
        </w:rPr>
        <w:t>Contract</w:t>
      </w:r>
      <w:r>
        <w:rPr>
          <w:rFonts w:ascii="Times New Roman" w:hAnsi="Times New Roman"/>
          <w:sz w:val="20"/>
        </w:rPr>
        <w:t xml:space="preserve">”) to which the Company is a party or by which the Company or any of its properties or assets may be bound or (iii) subject to the governmental filings and other matters referred to in </w:t>
      </w:r>
      <w:r>
        <w:rPr>
          <w:rFonts w:ascii="Times New Roman" w:hAnsi="Times New Roman"/>
          <w:sz w:val="20"/>
          <w:u w:val="single"/>
        </w:rPr>
        <w:t>Section 4.5(b)</w:t>
      </w:r>
      <w:r>
        <w:rPr>
          <w:rFonts w:ascii="Times New Roman" w:hAnsi="Times New Roman"/>
          <w:sz w:val="20"/>
        </w:rPr>
        <w:t>, any federal, state, local or foreign law (including common law), statute, ordinance, rule, code, regulation, order, judgment, injunction, decree or other legally enforceable requirement (“</w:t>
      </w:r>
      <w:r>
        <w:rPr>
          <w:rFonts w:ascii="Times New Roman" w:hAnsi="Times New Roman"/>
          <w:sz w:val="20"/>
          <w:u w:val="single"/>
        </w:rPr>
        <w:t>Law</w:t>
      </w:r>
      <w:r>
        <w:rPr>
          <w:rFonts w:ascii="Times New Roman" w:hAnsi="Times New Roman"/>
          <w:sz w:val="20"/>
        </w:rPr>
        <w:t xml:space="preserve">”) applicable to the Company or by which the Company or any of its properties or assets may be bound, except as, in the case of clauses (ii) and (iii), as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(b) No consent, approval, order or authorization of, or registration, declaration, filing with or notice to, any federal, state, or local government or subdivision thereof or any other governmental, administrative, judicial, arbitral, legislative, executive, regulatory or self-regulatory authority, instrumentality, agency, commission or body (each, a “</w:t>
      </w:r>
      <w:r>
        <w:rPr>
          <w:rFonts w:ascii="Times New Roman" w:hAnsi="Times New Roman"/>
          <w:sz w:val="20"/>
          <w:u w:val="single"/>
        </w:rPr>
        <w:t>Governmental Entity</w:t>
      </w:r>
      <w:r>
        <w:rPr>
          <w:rFonts w:ascii="Times New Roman" w:hAnsi="Times New Roman"/>
          <w:sz w:val="20"/>
        </w:rPr>
        <w:t>”) is required by or with respect to the Company in connection with the execution, delivery and performance of this Agreement by the Company or the consummation by the Company of the Merger and the other transactions contemplated hereby or compliance with the provisions hereof, except for (i) the filing of the pre-merger notification report under the HSR Act, (ii) the filing with the SEC of such reports under Section 13(a) or 15(d) of the Securities Exchange Act of 1934, as amended (the “</w:t>
      </w:r>
      <w:r>
        <w:rPr>
          <w:rFonts w:ascii="Times New Roman" w:hAnsi="Times New Roman"/>
          <w:sz w:val="20"/>
          <w:u w:val="single"/>
        </w:rPr>
        <w:t>Exchange Act</w:t>
      </w:r>
      <w:r>
        <w:rPr>
          <w:rFonts w:ascii="Times New Roman" w:hAnsi="Times New Roman"/>
          <w:sz w:val="20"/>
        </w:rPr>
        <w:t xml:space="preserve">”), as may be required in connection with this Agreement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transactions contemplated hereby, (iii) such other filings and reports as may be required pursuant to the applicable requirements of the Securities Act of 1933, as amended (the “</w:t>
      </w:r>
      <w:r>
        <w:rPr>
          <w:rFonts w:ascii="Times New Roman" w:hAnsi="Times New Roman"/>
          <w:sz w:val="20"/>
          <w:u w:val="single"/>
        </w:rPr>
        <w:t>Securities Act</w:t>
      </w:r>
      <w:r>
        <w:rPr>
          <w:rFonts w:ascii="Times New Roman" w:hAnsi="Times New Roman"/>
          <w:sz w:val="20"/>
        </w:rPr>
        <w:t xml:space="preserve">”), the Exchange Act and any other applicable state or federal securities, takeover and “blue sky” laws, (iv) the filing of the Certificate of Merger with the Delaware Secretary of State as required by the DGCL, and (v)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True and complete copies of the audited balance sheet of the Company as at December 31, 2025 and December 31, 2024, and the related audited statements of operations and comprehensive loss, convertible preferred stock and stockholders’ deficit and cash flows, together with all related notes and schedules thereto (collectively referred to as the “</w:t>
      </w:r>
      <w:r>
        <w:rPr>
          <w:rFonts w:ascii="Times New Roman" w:hAnsi="Times New Roman"/>
          <w:sz w:val="20"/>
          <w:u w:val="single"/>
        </w:rPr>
        <w:t>Company Financial Statements</w:t>
      </w:r>
      <w:r>
        <w:rPr>
          <w:rFonts w:ascii="Times New Roman" w:hAnsi="Times New Roman"/>
          <w:sz w:val="20"/>
        </w:rPr>
        <w:t>”) and the unaudited balance sheet of the Company as at June 30, 2026 (the “</w:t>
      </w:r>
      <w:r>
        <w:rPr>
          <w:rFonts w:ascii="Times New Roman" w:hAnsi="Times New Roman"/>
          <w:sz w:val="20"/>
          <w:u w:val="single"/>
        </w:rPr>
        <w:t>Company Balance Sheet</w:t>
      </w:r>
      <w:r>
        <w:rPr>
          <w:rFonts w:ascii="Times New Roman" w:hAnsi="Times New Roman"/>
          <w:sz w:val="20"/>
        </w:rPr>
        <w:t>”), and the related consolidated statements of operations and comprehensive loss, convertible preferred stock and stockholders’ deficit and cash flows for the six months ended June 30, 2026, together with all related notes and schedules thereto (collectively referred to as the “</w:t>
      </w:r>
      <w:r>
        <w:rPr>
          <w:rFonts w:ascii="Times New Roman" w:hAnsi="Times New Roman"/>
          <w:sz w:val="20"/>
          <w:u w:val="single"/>
        </w:rPr>
        <w:t>Company Interim Financial Statements</w:t>
      </w:r>
      <w:r>
        <w:rPr>
          <w:rFonts w:ascii="Times New Roman" w:hAnsi="Times New Roman"/>
          <w:sz w:val="20"/>
        </w:rPr>
        <w:t xml:space="preserve">”), are attached hereto as </w:t>
      </w:r>
      <w:r>
        <w:rPr>
          <w:rFonts w:ascii="Times New Roman" w:hAnsi="Times New Roman"/>
          <w:sz w:val="20"/>
          <w:u w:val="single"/>
        </w:rPr>
        <w:t>Section 4.6(a)</w:t>
      </w:r>
      <w:r>
        <w:rPr>
          <w:rFonts w:ascii="Times New Roman" w:hAnsi="Times New Roman"/>
          <w:sz w:val="20"/>
        </w:rPr>
        <w:t xml:space="preserve"> of the Company Disclosure Letter. Each of the Company Financial Statements and the Company Interim Financial Statements (i) are correct and complete in all material respects and have been prepared in accordance with the books and records of the Company; (ii)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throughout the periods indicated (except as may be indicated in the notes thereto); and (iii) fairly present, in all material respects, the financial position, results of operations and cash flows of the Company as at the respective dates thereof and for the respective periods indicated therein, except as otherwise noted therein and subject, in the case of the Company Interim Financial Statements, to normal and recurring year-end adjustments that will not, individually or in the aggregate, be material. </w:t>
      </w:r>
    </w:p>
    <w:p>
      <w:pPr>
        <w:pStyle w:val="TextBody"/>
        <w:bidi w:val="0"/>
        <w:spacing w:before="120" w:after="0"/>
        <w:jc w:val="left"/>
        <w:rPr>
          <w:rFonts w:ascii="Times New Roman" w:hAnsi="Times New Roman"/>
          <w:sz w:val="20"/>
        </w:rPr>
      </w:pPr>
      <w:r>
        <w:rPr>
          <w:rFonts w:ascii="Times New Roman" w:hAnsi="Times New Roman"/>
          <w:sz w:val="20"/>
        </w:rPr>
        <w:t>(b) Except as and to the extent adequately accrued or reserved against in the audited consolidated balance sheet of the Company as at December 31, 2025 (such balance sheet, together with all related notes and schedules thereto, the “</w:t>
      </w:r>
      <w:r>
        <w:rPr>
          <w:rFonts w:ascii="Times New Roman" w:hAnsi="Times New Roman"/>
          <w:sz w:val="20"/>
          <w:u w:val="single"/>
        </w:rPr>
        <w:t>Company Balance Sheet</w:t>
      </w:r>
      <w:r>
        <w:rPr>
          <w:rFonts w:ascii="Times New Roman" w:hAnsi="Times New Roman"/>
          <w:sz w:val="20"/>
        </w:rPr>
        <w:t xml:space="preserve">”), the Company does not have any liability or obligation of any nature, whether accrued, absolute, contingent or otherwise, whether known or unknown and whether or not required by GAAP to be reflected in a balance sheet of the Company or disclosed in the notes thereto, except for liabilities and obligations, incurred in the ordinary course of business consistent with past practice since the date of the Company Balance Sheet, that are not, individually or in the aggregate,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books of account and financial records of the Company and its Subsidiaries are true and correct and have been prepared and are maintained in accordance with sound accounting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2025,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No Undisclosed Liabilities</w:t>
      </w:r>
      <w:r>
        <w:rPr>
          <w:rFonts w:ascii="Times New Roman" w:hAnsi="Times New Roman"/>
          <w:sz w:val="20"/>
        </w:rPr>
        <w:t xml:space="preserve">.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Company Balance Sheet and (b) for liabilities and obligations incurred in the ordinary course of business consistent with past practice (none of which is a liability for a breach or default under any contract, breach of warranty, tort, infringement, misappropriation or violation of law) since the date of the Company Balance Sheet that are not individually or in the aggregate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4.8</w:t>
      </w:r>
      <w:r>
        <w:rPr>
          <w:rFonts w:ascii="Times New Roman" w:hAnsi="Times New Roman"/>
          <w:sz w:val="20"/>
        </w:rPr>
        <w:t xml:space="preserve"> of the Company Disclosure Letter, since the date of the Company Balance Sheet: (i) except in connection with the execution of this Agreement and the consummation of the transactions contemplated hereby, the Company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the Company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Litigation</w:t>
      </w:r>
      <w:r>
        <w:rPr>
          <w:rFonts w:ascii="Times New Roman" w:hAnsi="Times New Roman"/>
          <w:sz w:val="20"/>
        </w:rPr>
        <w:t>. There is no action, suit, claim, arbitration, investigation, inquiry, grievance or other proceeding (each, an “</w:t>
      </w:r>
      <w:r>
        <w:rPr>
          <w:rFonts w:ascii="Times New Roman" w:hAnsi="Times New Roman"/>
          <w:sz w:val="20"/>
          <w:u w:val="single"/>
        </w:rPr>
        <w:t>Action</w:t>
      </w:r>
      <w:r>
        <w:rPr>
          <w:rFonts w:ascii="Times New Roman" w:hAnsi="Times New Roman"/>
          <w:sz w:val="20"/>
        </w:rPr>
        <w:t xml:space="preserve">”) (or basis therefor) pending or, to the knowledge of the Company, threatened against or affecting the Company or any of its Subsidiaries, its properties or assets, or any present or former officer, director or employee of the Company or any of its Subsidiaries in such individual’s capacity as such, other than any Action that (a) does not involve an amount in controversy in excess of $100,000 and (b) does not seek injunctive or other non-monetary relief. Neither the Company nor any of its Subsidiaries nor any of their respective properties or assets is subject to any outstanding judgment, order, injunction, rule or decree of any Governmental Entity. There is no Action pending or, to the knowledge of the Company,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The Company and each of its Subsidiaries are and have been in compliance in all material respects with all Laws applicable to their businesses, operations, properties or assets. Neither the Company nor any of its Subsidiaries has received, since January 1, 2023, a notice or other written communication alleging or relating to a possible material violation of any Law applicable to their businesses, operations, properties, assets or Company Products (as defined below). The Company and each of its Subsidiaries have in effect all material permits, licenses, variances, exemptions, applications, approvals, clearances, authorizations, registrations, formulary listings, consents, operating certificates, franchises, orders and approvals (collectively, “</w:t>
      </w:r>
      <w:r>
        <w:rPr>
          <w:rFonts w:ascii="Times New Roman" w:hAnsi="Times New Roman"/>
          <w:sz w:val="20"/>
          <w:u w:val="single"/>
        </w:rPr>
        <w:t>Permits</w:t>
      </w:r>
      <w:r>
        <w:rPr>
          <w:rFonts w:ascii="Times New Roman" w:hAnsi="Times New Roman"/>
          <w:sz w:val="20"/>
        </w:rPr>
        <w:t xml:space="preserve">”) of all Governmental Entities necessary or advisable for them to own, lease or operate its properties and assets and to carry on its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4.11</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(a) The Company, and to the knowledge of the Company, each of its directors, officers, management employees, and agents (while acting in such capacity) is, and since January 1, 2023, has been, in material compliance with all Health Care Laws to the extent applicable to the Company or any of its products or activities. For purposes of this Agreement, “</w:t>
      </w:r>
      <w:r>
        <w:rPr>
          <w:rFonts w:ascii="Times New Roman" w:hAnsi="Times New Roman"/>
          <w:sz w:val="20"/>
          <w:u w:val="single"/>
        </w:rPr>
        <w:t>Health Care Laws</w:t>
      </w:r>
      <w:r>
        <w:rPr>
          <w:rFonts w:ascii="Times New Roman" w:hAnsi="Times New Roman"/>
          <w:sz w:val="20"/>
        </w:rPr>
        <w:t xml:space="preserve">” means all applicable federal, state, and local laws, statutes, rules, regulations, guidance documents, and requirements of any Governmental Entity relating to the research, nonclinical or clinical development, testing, manufacturing, processing, labeling, or investigational use of pharmaceutical, biological, or medical device products, and to the human subjects protection, quality, safety, privacy, or security obligations arising in connection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foregoing, including but not limited to the Federal Food, Drug, and Cosmetic Act; the Public Health Service Act; the Federal Policy for the Protection of Human Subjects (the Common Rule); the Health Insurance Portability and Accountability Act of 1996 as amended by the Health Information Technology for Economic and Clinical Health Act; the federal Anti-Kickback Statute; the civil monetary penalties law; the civil False Claims Act; the administrative False Claims Law; the Criminal Health Care Fraud Statute; the Medicare statute (Title XVIII of the Social Security Act); and the Medicaid statute (Title XIX of the Social Security Act), in each case as amended and including any successor statutes and implementing regulations, in each case to the extent applicable to the business of the Company or any of its Subsidiaries as currently conducted, including with respect to any Company Product. To the knowledge of the Company,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the Company nor any of its Subsidiaries is a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Times New Roman" w:hAnsi="Times New Roman"/>
          <w:sz w:val="20"/>
          <w:u w:val="single"/>
        </w:rPr>
        <w:t>FDA</w:t>
      </w:r>
      <w:r>
        <w:rPr>
          <w:rFonts w:ascii="Times New Roman" w:hAnsi="Times New Roman"/>
          <w:sz w:val="20"/>
        </w:rPr>
        <w:t>”) or other Governmental Entity relating to products that are regulated as drugs, medical devices, or other healthcare products under Health Care Laws, including drugs or medical devices, compounds or products being researched, tested, stored, developed, labeled, manufactured, packed, imported, exported and/or distributed by the Company or any of its Subsidiaries (“</w:t>
      </w:r>
      <w:r>
        <w:rPr>
          <w:rFonts w:ascii="Times New Roman" w:hAnsi="Times New Roman"/>
          <w:sz w:val="20"/>
          <w:u w:val="single"/>
        </w:rPr>
        <w:t>Company Products</w:t>
      </w:r>
      <w:r>
        <w:rPr>
          <w:rFonts w:ascii="Times New Roman" w:hAnsi="Times New Roman"/>
          <w:sz w:val="20"/>
        </w:rPr>
        <w:t xml:space="preserve">”), including, without limitation, investigational new drug applications and investigational device exemptions,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under Health Care Laws or of any application for marketing approval currently pending before the FDA or other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the Company, on behalf of the Company have been, and if still pending are being, conducted in compliance in all material respects with research protocols and all applicable Health Care Laws, including, but not limited to, the FDCA and its applicable implementing regulations at 21 C.F.R. Parts 50, 54, 56, 58, 312, 314, 320 and 812. No clinical trial conducted by or on behalf of the Company has been conducted using any clinical investigators who have been disqualified. No clinical trial conducted by or on behalf of the Company has been terminated or suspended prior to completion, and no Governmental Entity, clinical investigator that has participated or is participating in, or institutional review board that has or has had jurisdiction over, a clinical trial conducted by or on behalf of the Company has placed a clinical hold order on, or otherwise terminated, delayed or suspended, such a Company clinical trial at a clinical research site based on an actual or alleged lack of safety or efficacy of any Company Product or a failure to conduct such clinical trial in compliance with applicable Health 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manufacturing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for drug products at 21 C.F.R. Parts 210 and 211, the Quality Management System (QMS) regulations at 21 C.F.R. Part 820 and all comparable regulatory requirements of any applicable foreign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The Company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the FDA or other Governmental Entities listed in </w:t>
      </w:r>
      <w:r>
        <w:rPr>
          <w:rFonts w:ascii="Times New Roman" w:hAnsi="Times New Roman"/>
          <w:sz w:val="20"/>
          <w:u w:val="single"/>
        </w:rPr>
        <w:t>Section 4.11(f)</w:t>
      </w:r>
      <w:r>
        <w:rPr>
          <w:rFonts w:ascii="Times New Roman" w:hAnsi="Times New Roman"/>
          <w:sz w:val="20"/>
        </w:rPr>
        <w:t xml:space="preserve"> of the Company Disclosure Letter have been resolved to the satisfaction of the applicable Governmental Entity or if not resolved, the current status of such proceeding(s) is described in </w:t>
      </w:r>
      <w:r>
        <w:rPr>
          <w:rFonts w:ascii="Times New Roman" w:hAnsi="Times New Roman"/>
          <w:sz w:val="20"/>
          <w:u w:val="single"/>
        </w:rPr>
        <w:t>Section 4.11(f)</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(g) There have been no seizures, withdrawals, recalls, detentions, or suspensions of manufacturing, testing, or distribution relating to the Company Products required or requested by a Governmental Entity, or other notice of action relating to an alleged lack of safety, efficacy, or regulatory compliance of the Company Products, or any adverse experiences relating to the Company Products that have been reported to FDA or other Governmental Entity (“</w:t>
      </w:r>
      <w:r>
        <w:rPr>
          <w:rFonts w:ascii="Times New Roman" w:hAnsi="Times New Roman"/>
          <w:sz w:val="20"/>
          <w:u w:val="single"/>
        </w:rPr>
        <w:t>Safety Notices</w:t>
      </w:r>
      <w:r>
        <w:rPr>
          <w:rFonts w:ascii="Times New Roman" w:hAnsi="Times New Roman"/>
          <w:sz w:val="20"/>
        </w:rPr>
        <w:t xml:space="preserve">”). All Safety Notices listed in </w:t>
      </w:r>
      <w:r>
        <w:rPr>
          <w:rFonts w:ascii="Times New Roman" w:hAnsi="Times New Roman"/>
          <w:sz w:val="20"/>
          <w:u w:val="single"/>
        </w:rPr>
        <w:t>Section 4.11(g)</w:t>
      </w:r>
      <w:r>
        <w:rPr>
          <w:rFonts w:ascii="Times New Roman" w:hAnsi="Times New Roman"/>
          <w:sz w:val="20"/>
        </w:rPr>
        <w:t xml:space="preserve"> of the Company Disclosure Letter have been resolved to the satisfaction of the applicable Governmental Entity, or if not resolved, the current status of such Safety Notice(s) is described in </w:t>
      </w:r>
      <w:r>
        <w:rPr>
          <w:rFonts w:ascii="Times New Roman" w:hAnsi="Times New Roman"/>
          <w:sz w:val="20"/>
          <w:u w:val="single"/>
        </w:rPr>
        <w:t>Section 4.11(g)</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4.11(g)</w:t>
      </w:r>
      <w:r>
        <w:rPr>
          <w:rFonts w:ascii="Times New Roman" w:hAnsi="Times New Roman"/>
          <w:sz w:val="20"/>
        </w:rPr>
        <w:t xml:space="preserve"> of the Company Disclosure Letter, there are no unresolved Safety Notices, and to the knowledge the Company, there are no facts or circumstances that would be reasonably likely to result in a Safety Notice with respect to the Company Products or a termination or suspension of developing and testing of any of the Company Products. </w:t>
      </w:r>
    </w:p>
    <w:p>
      <w:pPr>
        <w:pStyle w:val="TextBody"/>
        <w:bidi w:val="0"/>
        <w:spacing w:before="120" w:after="0"/>
        <w:jc w:val="left"/>
        <w:rPr>
          <w:rFonts w:ascii="Times New Roman" w:hAnsi="Times New Roman"/>
          <w:sz w:val="20"/>
        </w:rPr>
      </w:pPr>
      <w:r>
        <w:rPr>
          <w:rFonts w:ascii="Times New Roman" w:hAnsi="Times New Roman"/>
          <w:sz w:val="20"/>
        </w:rPr>
        <w:t>(i) Neither the Company, nor, to the knowledge of the Company, any officer, director, employee, or agent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regarding “Fraud, Untrue Statements of Material Facts, Bribery, and Illegal Gratuities” Final Policy set forth in 56 Fed. Reg. 46191 (September 10, 1991) and any amendments thereto (the “</w:t>
      </w:r>
      <w:r>
        <w:rPr>
          <w:rFonts w:ascii="Times New Roman" w:hAnsi="Times New Roman"/>
          <w:sz w:val="20"/>
          <w:u w:val="single"/>
        </w:rPr>
        <w:t>FDA Ethics Policy</w:t>
      </w:r>
      <w:r>
        <w:rPr>
          <w:rFonts w:ascii="Times New Roman" w:hAnsi="Times New Roman"/>
          <w:sz w:val="20"/>
        </w:rPr>
        <w:t xml:space="preserve">”).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other Governmental Entity by the Company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to the knowledge of the Company, any officer, director, employee, or agent of the Company has been convicted of any crime or engaged in any conduct that has resulted, or would reasonably be expected to result, in debarment under applicable Law, including, without limitation, 21 U.S.C. § 335a, or exclusion under 42 U.S.C. § 1320a-7, or any other statutory provision. Neither the Company nor, to the knowledge of the Company, any officer, director, employee, or agent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Company Disclosure Letter contains a true, correct and complete list of each material Company Plan. </w:t>
      </w:r>
    </w:p>
    <w:p>
      <w:pPr>
        <w:pStyle w:val="TextBody"/>
        <w:bidi w:val="0"/>
        <w:spacing w:before="120" w:after="0"/>
        <w:jc w:val="left"/>
        <w:rPr>
          <w:rFonts w:ascii="Times New Roman" w:hAnsi="Times New Roman"/>
          <w:sz w:val="20"/>
        </w:rPr>
      </w:pPr>
      <w:r>
        <w:rPr>
          <w:rFonts w:ascii="Times New Roman" w:hAnsi="Times New Roman"/>
          <w:sz w:val="20"/>
        </w:rPr>
        <w:t>(b) The Company has provided or made available to Parent a current, accurate and complete copy of each material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all documents embodying or governing such Company Plan and any related trust agreement or other funding instrument, (ii) the most recent determination letter of the Internal Revenue Service (the “</w:t>
      </w:r>
      <w:r>
        <w:rPr>
          <w:rFonts w:ascii="Times New Roman" w:hAnsi="Times New Roman"/>
          <w:sz w:val="20"/>
          <w:u w:val="single"/>
        </w:rPr>
        <w:t>IRS</w:t>
      </w:r>
      <w:r>
        <w:rPr>
          <w:rFonts w:ascii="Times New Roman" w:hAnsi="Times New Roman"/>
          <w:sz w:val="20"/>
        </w:rPr>
        <w:t xml:space="preserve">”), (iii) any summary plan description, summary of material modifications, and other similar material written communications (or a written description of any material oral communications) to the employees of the Company or its Subsidiaries concerning the extent of the benefits provided under a Company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(c) Neither the Company, its Subsidiaries or any member of their “</w:t>
      </w:r>
      <w:r>
        <w:rPr>
          <w:rFonts w:ascii="Times New Roman" w:hAnsi="Times New Roman"/>
          <w:sz w:val="20"/>
          <w:u w:val="single"/>
        </w:rPr>
        <w:t>Controlled Group</w:t>
      </w:r>
      <w:r>
        <w:rPr>
          <w:rFonts w:ascii="Times New Roman" w:hAnsi="Times New Roman"/>
          <w:sz w:val="20"/>
        </w:rPr>
        <w:t xml:space="preserve">” (defined as any organization which is, or at any applicable time was, a member of a controlled, affiliated or otherwise related group of entities within the meaning of Sections 414(b), (c), (m) or (o) of the Code or Section 4001(b)(1) of ERISA)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the Company nor any of its Subsidiaries or any member of their Controlled Group has ever incurred any liability under Title IV of ERISA that has not been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With respect to the Company Plans: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no Company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Plan intended to be qualified under Section 401(a) of the Code has received a favorable determination, advisory and/or opinion letter, as applicable, from the IRS that it is so qualified and nothing has occurred to the knowledge of the Company since the date of such letter that would reasonably be expected to cause the loss of the sponsor’s ability to rely upon such letter, and nothing has occurred to the knowledge of the Company that would reasonably be expected to result in the loss of the qualified status of such Company Plan; </w:t>
      </w:r>
    </w:p>
    <w:p>
      <w:pPr>
        <w:pStyle w:val="TextBody"/>
        <w:bidi w:val="0"/>
        <w:spacing w:before="120" w:after="0"/>
        <w:jc w:val="left"/>
        <w:rPr>
          <w:rFonts w:ascii="Times New Roman" w:hAnsi="Times New Roman"/>
          <w:sz w:val="20"/>
        </w:rPr>
      </w:pPr>
      <w:r>
        <w:rPr>
          <w:rFonts w:ascii="Times New Roman" w:hAnsi="Times New Roman"/>
          <w:sz w:val="20"/>
        </w:rPr>
        <w:t>(iv) there is no material Action (including any investigation, audit or other administrative proceeding) by the Department of Labor, the Pension Benefit Guaranty Corporation (the “</w:t>
      </w:r>
      <w:r>
        <w:rPr>
          <w:rFonts w:ascii="Times New Roman" w:hAnsi="Times New Roman"/>
          <w:sz w:val="20"/>
          <w:u w:val="single"/>
        </w:rPr>
        <w:t>PBGC</w:t>
      </w:r>
      <w:r>
        <w:rPr>
          <w:rFonts w:ascii="Times New Roman" w:hAnsi="Times New Roman"/>
          <w:sz w:val="20"/>
        </w:rPr>
        <w:t xml:space="preserve">”),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Company Plans currently provides, or reflects or represents any liability to provide post-termination or retiree welfare benefits to any person for any reason, except as may be required by Section 601, </w:t>
      </w:r>
      <w:r>
        <w:rPr>
          <w:rFonts w:ascii="Times New Roman" w:hAnsi="Times New Roman"/>
          <w:i/>
          <w:sz w:val="20"/>
        </w:rPr>
        <w:t>et seq.</w:t>
      </w:r>
      <w:r>
        <w:rPr>
          <w:rFonts w:ascii="Times New Roman" w:hAnsi="Times New Roman"/>
          <w:sz w:val="20"/>
        </w:rPr>
        <w:t xml:space="preserve"> of ERISA and Section 4980B(b) of the Code or other applicable similar law regarding health care coverage continuation (collectively “</w:t>
      </w:r>
      <w:r>
        <w:rPr>
          <w:rFonts w:ascii="Times New Roman" w:hAnsi="Times New Roman"/>
          <w:sz w:val="20"/>
          <w:u w:val="single"/>
        </w:rPr>
        <w:t>COBRA</w:t>
      </w:r>
      <w:r>
        <w:rPr>
          <w:rFonts w:ascii="Times New Roman" w:hAnsi="Times New Roman"/>
          <w:sz w:val="20"/>
        </w:rPr>
        <w:t xml:space="preserve">”), and none of the Company, its Subsidiaries or any members of their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Company Plans either have been made or have been accrued in accordance with the terms of the applicable Company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Company Stockholder Approval, and the consummation of the Merger will not, either alone or in combination with any other event, (A) entitle any current or former employee, officer, director or consultant of the Company or any Subsidiary to severance pay, unemployment compensation or any other similar termination payment, (B) accelerate the time of payment or vesting, or increase the amount of or otherwise enhance any benefit due any such employee, officer, director or consultant, or (C) trigger the forgiveness of any indebtedness of any such employee, officer, director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Neither the Company nor any of its Subsidiaries is a party to any agreement, contract, arrangement or plan (including any Company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the Company or any Subsidiary is a party or by which the Company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Company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Company Plan) so that no amount paid or payable pursuant to any such Company Plan is subject to any additional Tax or interest under Section 409A of the Code (or any comparable or similar provision of state, local, or foreign Law). The per share exercise price of each Company Option is no less than the fair market value of a share of Company Common Stock on the date of grant of such Company Option, determined in a manner consistent with Section 409A of the Code, and no payment to be made under any Company Plan is, or to the knowledge of the Company,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Company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or any of its Subsidiaries by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employee of the Company or any of its Subsidiaries is, or since January 1, 2023 has been, covered by a collective bargaining agreement or similar labor agreement. To the knowledge of the Company, there has not been any activity on behalf of any labor union, labor organization or similar representative group to organize any employees of the Company or any of its Subsidiaries. There are no, and since January 1, 2023 there has not been any: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representations, claims, or petitions pending before the National Labor Relations Board or any other labor tribunal or (iii) grievances or pending arbitration proceedings against the Company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(c) Since January 1, 2025, (i) neither the Company nor any of its Subsidiaries has effectuated a “plant closing” (as defined in the Worker Adjustment Retraining and Notification Act of 1988, as amended (the “</w:t>
      </w:r>
      <w:r>
        <w:rPr>
          <w:rFonts w:ascii="Times New Roman" w:hAnsi="Times New Roman"/>
          <w:sz w:val="20"/>
          <w:u w:val="single"/>
        </w:rPr>
        <w:t>WARN Act</w:t>
      </w:r>
      <w:r>
        <w:rPr>
          <w:rFonts w:ascii="Times New Roman" w:hAnsi="Times New Roman"/>
          <w:sz w:val="20"/>
        </w:rPr>
        <w:t xml:space="preserve">”))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Section 4.13(d)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service provider of the Company,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the Company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Section 4.13(e) of the Company Disclosure Letter or with respect to any Company Plan (which subject is addressed in </w:t>
      </w:r>
      <w:r>
        <w:rPr>
          <w:rFonts w:ascii="Times New Roman" w:hAnsi="Times New Roman"/>
          <w:sz w:val="20"/>
          <w:u w:val="single"/>
        </w:rPr>
        <w:t>Section 4.12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the Company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the Company, threatened against or involving the Company or any of its Subsidiaries or any of their respective current directors or officers and (ii) the Company has not entered into any settlement agreement related to allegations of such harassment, discrimination or retaliation by any of their directors, officers or employees described in clause (i) hereof or any independent contractor.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All employees of the Company are employed “at-will” or require no more than 30 days’ notice to terminate.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Material Adverse Effect, (i) the Company and its Subsidiaries have conducted their respective businesses in compliance with all, and have not violated any, applicable Environmental Laws; (ii) the Company and its Subsidiaries have obtained all Permits of all Governmental Entities and any other Person that are required under any Environmental Law; (iii) there has been no release of any Hazardous Substance by the Company or any of its Subsidiaries or any other Person in any manner that has given or would reasonably be expected to give rise to any remedial or investigative obligation, corrective action requirement or liability of the Company or any its Subsidiaries under applicable Environmental Laws; (iv) the Company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and (vi) neither the Company nor any of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12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Environmental Law</w:t>
      </w:r>
      <w:r>
        <w:rPr>
          <w:rFonts w:ascii="Times New Roman" w:hAnsi="Times New Roman"/>
          <w:sz w:val="20"/>
        </w:rPr>
        <w:t xml:space="preserve">”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 </w:t>
      </w:r>
    </w:p>
    <w:p>
      <w:pPr>
        <w:pStyle w:val="TextBody"/>
        <w:bidi w:val="0"/>
        <w:spacing w:before="12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Hazardous Substance</w:t>
      </w:r>
      <w:r>
        <w:rPr>
          <w:rFonts w:ascii="Times New Roman" w:hAnsi="Times New Roman"/>
          <w:sz w:val="20"/>
        </w:rPr>
        <w:t xml:space="preserve">” means any substance listed, defined, designated, classified or regulated as a waste, pollutant or contaminant or as hazardous, toxic, radioactive or dangerous or any other term of similar import under any Environmental Law, including but not limited to petroleum.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the Company as of the date of the Company Balance Sheet have been, in all respects, properly accrued in accordance with GAAP on the Company Balance Sheet, and the Company Balance Sheet reflects an adequate reserve (in accordance with GAAP) for all material Taxes accrued but unpaid by the Company through the date of the Company Balance Sheet. Since the date of the Company Balance Sheet, neither the Company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(d) No material audits or other investigations, proceedings, claims, assessments or examinations by any Governmental Entity (each, a “</w:t>
      </w:r>
      <w:r>
        <w:rPr>
          <w:rFonts w:ascii="Times New Roman" w:hAnsi="Times New Roman"/>
          <w:sz w:val="20"/>
          <w:u w:val="single"/>
        </w:rPr>
        <w:t>Tax Action</w:t>
      </w:r>
      <w:r>
        <w:rPr>
          <w:rFonts w:ascii="Times New Roman" w:hAnsi="Times New Roman"/>
          <w:sz w:val="20"/>
        </w:rPr>
        <w:t xml:space="preserve">”) with respect to Taxes or any Tax Return of the Company or any of its Subsidiaries are presently in progress or have been asserted, threatened or proposed in writing and have not been satisfied by payment in full, settled or withdrawn, and to the knowledge of the Company, no such Tax Action is being contemplated. No deficiencies or claims for a material amount of Taxes have been claimed, proposed, assessed or asserted in writing against the Company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the Company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(g) Neither the Company nor any of its Subsidiaries (i) is a party to or bound by, or has any liability pursuant to, any Tax sharing, allocation, indemnification or similar agreement or obligation, other than any such agreement or obligation which is a customary commercial agreement obligation entered into in the ordinary course of business with vendors, lessors, lenders or the like the primary purpose of which is unrelated to Taxes (each, an “</w:t>
      </w:r>
      <w:r>
        <w:rPr>
          <w:rFonts w:ascii="Times New Roman" w:hAnsi="Times New Roman"/>
          <w:sz w:val="20"/>
          <w:u w:val="single"/>
        </w:rPr>
        <w:t>Ordinary Course Agreement</w:t>
      </w:r>
      <w:r>
        <w:rPr>
          <w:rFonts w:ascii="Times New Roman" w:hAnsi="Times New Roman"/>
          <w:sz w:val="20"/>
        </w:rPr>
        <w:t xml:space="preserve">”); (ii) is or has been a member of a group (other than a group the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of which is the Company) filing a consolidated, combined, affiliated, unitary or similar income Tax Return; (iii) has any liability for the Taxes of any Person (other than the Company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12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the Company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the Company’s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the Company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the Company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the Company or any of its Subsidiaries does not currently file a Tax Return of a certain type or pay Taxes of a certain type that the Company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Company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To the Company’s knowledge, neither the Company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the Company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4.15</w:t>
      </w:r>
      <w:r>
        <w:rPr>
          <w:rFonts w:ascii="Times New Roman" w:hAnsi="Times New Roman"/>
          <w:sz w:val="20"/>
        </w:rPr>
        <w:t xml:space="preserve">, where the context permits, each reference to the Company shall include a reference to any person for whose Taxes the Company is liable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sets forth each contract that, as of the date of this Agreement, that would constitute a “material contract” (as such term is defined in Item 601(b)(10) of Regulation S-K under the Securities Act), with respect to the Company (assuming the Company were subject to the requirements of the Exchange Act) (all such contracts, in addition to those set forth in </w:t>
      </w:r>
      <w:r>
        <w:rPr>
          <w:rFonts w:ascii="Times New Roman" w:hAnsi="Times New Roman"/>
          <w:sz w:val="20"/>
          <w:u w:val="single"/>
        </w:rPr>
        <w:t>Section 4.16(b)</w:t>
      </w:r>
      <w:r>
        <w:rPr>
          <w:rFonts w:ascii="Times New Roman" w:hAnsi="Times New Roman"/>
          <w:sz w:val="20"/>
        </w:rPr>
        <w:t xml:space="preserve"> of the Company Disclosure Letter, but excluding any Company Plans,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4.16(b)</w:t>
      </w:r>
      <w:r>
        <w:rPr>
          <w:rFonts w:ascii="Times New Roman" w:hAnsi="Times New Roman"/>
          <w:sz w:val="20"/>
        </w:rPr>
        <w:t xml:space="preserve"> of the Company Disclosure Letter lists the following contracts, in effect as of the date of this Agreement, which involve payment or receipt by the Company in excess of $500,000 in the aggregate, which for the purposes of this Agreement shall be considered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containing (A) any covenant prohibiting the Company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the Company, in the case of the foregoing clause (D), which are material to the Company,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Company or any loans or debt obligations with officers or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 any Contract involving supply or distribution (identifying any that contain exclusivity provisions), (B) any Contract involving provision of services or products with respect to any pre-clinical or clinical development activities of the Company, (C) any Contract involving a dealer, distributor, joint marketing, alliance, joint venture, cooperation, development or other Contract currently in force under which the Company has continuing obligations to develop or market any product, technology or service, or any Contract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Company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Company in connection with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Company directly or indirectly holds a valid leasehold interest as well as any other real estate that is in the possession of or leased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(i) Each Material Contract is valid and binding on the Company, and to the knowledge of the Company, each other party thereto, and is in full force and effect and enforceable in accordance with its terms; and (ii) as of the date of this Agreement, the Company has not receive any written notice of any material default under any Material Contract by the Company or of any event or condition that has occurred that constitutes, or, after notice or lapse of time or both, would constitute, a material default on the part of the Company. The Company has made available to Parent true and complete copies of all Material Contracts, including all amendments thereto. Except as set forth in </w:t>
      </w:r>
      <w:r>
        <w:rPr>
          <w:rFonts w:ascii="Times New Roman" w:hAnsi="Times New Roman"/>
          <w:sz w:val="20"/>
          <w:u w:val="single"/>
        </w:rPr>
        <w:t>Section 4.16</w:t>
      </w:r>
      <w:r>
        <w:rPr>
          <w:rFonts w:ascii="Times New Roman" w:hAnsi="Times New Roman"/>
          <w:sz w:val="20"/>
        </w:rPr>
        <w:t xml:space="preserve"> of the Company Disclosure Letter, there are no Material Contracts that are not in written form.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Insurance</w:t>
      </w:r>
      <w:r>
        <w:rPr>
          <w:rFonts w:ascii="Times New Roman" w:hAnsi="Times New Roman"/>
          <w:sz w:val="20"/>
        </w:rPr>
        <w:t xml:space="preserve">. Each of the Company and its Subsidiaries is covered by valid and currently effective insurance policies issued in favor of the Company or its Subsidiaries that are customary and adequate for companies of similar size in the industries and locations in which the Company and its Subsidiaries operate. </w:t>
      </w:r>
      <w:r>
        <w:rPr>
          <w:rFonts w:ascii="Times New Roman" w:hAnsi="Times New Roman"/>
          <w:sz w:val="20"/>
          <w:u w:val="single"/>
        </w:rPr>
        <w:t>Section 4.17</w:t>
      </w:r>
      <w:r>
        <w:rPr>
          <w:rFonts w:ascii="Times New Roman" w:hAnsi="Times New Roman"/>
          <w:sz w:val="20"/>
        </w:rPr>
        <w:t xml:space="preserve">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With respect to each such insurance policy, (a) such policy is in full force and effect and all premiums due thereon have been paid, (b) neither the Company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or one of its Subsidiaries has good and valid title to, or in the case of leased property and leased tangible assets, a valid leasehold interest in, all of its real properties and tangible assets that are necessary for the Company and its Subsidiaries to conduct their respective businesses as currently conducted, free and clear of all Liens other than (i) Liens for Taxes and assessments not yet due and payable or the amount or validity of which is being contested in good faith by appropriate proceedings, (ii) mechanics’, workmen’s, repairmen’s, warehousemen’s and carriers’ Liens arising in the ordinary course of business of the Company and its Subsidiaries consistent with past practice and (iii) any such matters of record, Liens and other imperfections of title that do not, individually or in the aggregate, materially impair the continued ownership, use and operation of the assets to which they relate in the business of the Company and its Subsidiaries as currently conducted (“</w:t>
      </w:r>
      <w:r>
        <w:rPr>
          <w:rFonts w:ascii="Times New Roman" w:hAnsi="Times New Roman"/>
          <w:sz w:val="20"/>
          <w:u w:val="single"/>
        </w:rPr>
        <w:t>Permitted Liens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Except as has not had and would not reasonably be expected to have, individually or in the aggregate, a Material Adverse Effect, the tangible personal property currently used in the operation of the business of the Company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Each of the Company and its Subsidiaries enjoys peaceful and undisturbed possession under all such leases, except for any such failure to do so that,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4.18(c)</w:t>
      </w:r>
      <w:r>
        <w:rPr>
          <w:rFonts w:ascii="Times New Roman" w:hAnsi="Times New Roman"/>
          <w:sz w:val="20"/>
        </w:rPr>
        <w:t xml:space="preserve"> of the Company Disclosure Letter sets forth a true and complete list of (i) all real property owned by the Company or any of its Subsidiaries and (ii) all real property leased for the benefit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4.18</w:t>
      </w:r>
      <w:r>
        <w:rPr>
          <w:rFonts w:ascii="Times New Roman" w:hAnsi="Times New Roman"/>
          <w:sz w:val="20"/>
        </w:rPr>
        <w:t xml:space="preserve"> does not relate to intellectual property, which is the subject of </w:t>
      </w:r>
      <w:r>
        <w:rPr>
          <w:rFonts w:ascii="Times New Roman" w:hAnsi="Times New Roman"/>
          <w:sz w:val="20"/>
          <w:u w:val="single"/>
        </w:rPr>
        <w:t>Section 4.19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Intellectual Property; Privacy and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4.19(a)</w:t>
      </w:r>
      <w:r>
        <w:rPr>
          <w:rFonts w:ascii="Times New Roman" w:hAnsi="Times New Roman"/>
          <w:sz w:val="20"/>
        </w:rPr>
        <w:t xml:space="preserve"> of the Company Disclosure Letter accurately identifies (i) all contracts pursuant to which any Intellectual Property is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products and services of the Company or any of its Subsidiaries, (B) any Intellectual Property licensed on a nonexclusive basis ancillary to the purchase or use of equipment, reagents or other materials, (C) any confidential information provided under confidentiality agreements and (D) agreements between the Company or any of its Subsidiaries and its employees in the Company’s standard form thereof), (ii) whether such contract involves the Company Registered IP licensed to the Company or any of its Subsidiaries and (iii) whether the license or licenses granted to the Company or any of its Subsidiaries are exclusive or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4.19(b)</w:t>
      </w:r>
      <w:r>
        <w:rPr>
          <w:rFonts w:ascii="Times New Roman" w:hAnsi="Times New Roman"/>
          <w:sz w:val="20"/>
        </w:rPr>
        <w:t xml:space="preserve"> if the Company Disclosure Letter accurately identifies each of the Company’s contracts pursuant to which any Person has been granted any license or covenant not sue under, or otherwise has received or acquired any right (whether or not currently exercisable) or interest in, any Company Registered IP (other than (i) any confidential information provided under confidentiality agreements and (ii) any Company Registered IP nonexclusively licensed to academic collaborators, suppliers, distributors, manufacturers, service providers or the like for the sole purpose of enabling such academic collaborator, supplier, manufacturer or service provider to provide services for the Company’s benefit).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the Company Registered IP constitutes all Intellectual Property necessary for the Company to conduct its business as currently conducted;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representation is not a representation with respect to non-infringement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have taken commercially reasonable measures to maintain the confidentiality of all information that constitutes or constituted a material Trade Secret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Except as, individually or in the aggregate, has not had and would not reasonably be expected to have a Material Adverse Effect, (i) to the knowledge of the Company, the conduct of the businesses of the Company and its Subsidiaries, including the manufacture, marketing, offering for sale, sale, importation, use or intended use or other disposal of any product as currently sold or under development by Company or any of its Subsidiaries, has not infringed, misappropriated or diluted, and does not infringe, misappropriate or dilute, any Intellectual Property of any Person, (ii) neither the Company nor any of its Subsidiaries have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w:t>
      </w:r>
    </w:p>
    <w:p>
      <w:pPr>
        <w:pStyle w:val="TextBody"/>
        <w:bidi w:val="0"/>
        <w:spacing w:before="120" w:after="0"/>
        <w:jc w:val="left"/>
        <w:rPr>
          <w:rFonts w:ascii="Times New Roman" w:hAnsi="Times New Roman"/>
          <w:sz w:val="20"/>
        </w:rPr>
      </w:pPr>
      <w:r>
        <w:rPr>
          <w:rFonts w:ascii="Times New Roman" w:hAnsi="Times New Roman"/>
          <w:sz w:val="20"/>
        </w:rPr>
        <w:t>(f) The Company and its Subsidiaries have taken commercially reasonable steps designed to protect the security of the computer and information technology systems used or held for use by the Company or any of its Subsidiaries in the operation of its business as currently conducted (the “</w:t>
      </w:r>
      <w:r>
        <w:rPr>
          <w:rFonts w:ascii="Times New Roman" w:hAnsi="Times New Roman"/>
          <w:sz w:val="20"/>
          <w:u w:val="single"/>
        </w:rPr>
        <w:t>IT Systems</w:t>
      </w:r>
      <w:r>
        <w:rPr>
          <w:rFonts w:ascii="Times New Roman" w:hAnsi="Times New Roman"/>
          <w:sz w:val="20"/>
        </w:rPr>
        <w:t xml:space="preserve">”), and protect the confidentiality and security of the information stored or contained therein or transmitted thereby. The IT Systems are adequate for, and operate and perform in all material respects as required in connection with, the operation of the businesses of the Company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IT Systems. Except as would not reasonably be expected to result in a Material Adverse Effect, the Company and its Subsidiaries maintain commercially reasonable backup, business continuity and disaster recovery plans and procedures with respect to the IT Systems, and neither the Company nor any of its Subsidiaries has paid any ransom or made any other payment to any threat actor in connection with any actual or threatened ransomware or cyber-extortion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To the knowledge of Company, the Company and its Subsidiaries have since January 1, 2023 complied in all material respects with all applicable Laws, published privacy policies and contractual obligations relating to privacy, data protection, and the collection, retention, protection, security and use of information that alone or in combination with other information can be used to identify an individual, household or device, or that otherwise constitutes “personal data,” “personal information,” “personally identifiable information,” or any similar term under any applicable Law (“</w:t>
      </w:r>
      <w:r>
        <w:rPr>
          <w:rFonts w:ascii="Times New Roman" w:hAnsi="Times New Roman"/>
          <w:sz w:val="20"/>
          <w:u w:val="single"/>
        </w:rPr>
        <w:t>Personal Information</w:t>
      </w:r>
      <w:r>
        <w:rPr>
          <w:rFonts w:ascii="Times New Roman" w:hAnsi="Times New Roman"/>
          <w:sz w:val="20"/>
        </w:rPr>
        <w:t>”) collected, used, or held for use by the Company or any of its Subsidiaries (collectively, “</w:t>
      </w:r>
      <w:r>
        <w:rPr>
          <w:rFonts w:ascii="Times New Roman" w:hAnsi="Times New Roman"/>
          <w:sz w:val="20"/>
          <w:u w:val="single"/>
        </w:rPr>
        <w:t>Privacy Laws</w:t>
      </w:r>
      <w:r>
        <w:rPr>
          <w:rFonts w:ascii="Times New Roman" w:hAnsi="Times New Roman"/>
          <w:sz w:val="20"/>
        </w:rPr>
        <w:t>”). Since January 1, 2023, no material claims have been asserted or, to the knowledge of the Company, threatened in writing against the Company or any of its Subsidiaries alleging a violation of any Person’s privacy or Personal Information. Neither this Agreement nor the consummation of the transactions contemplated hereby will materially breach or otherwise violate any Privacy Laws. The Company and its Subsidiaries have taken commercially reasonable steps designed to protect the Personal Information collected, used or held for use by the Company or any of its Subsidiaries against loss and unauthorized access, use, modification or disclosure, or other misuse. The Company and its Subsidiaries have contractually obligated all vendors, processors, service providers and other Persons, in each case, that collects, uses or otherwise processes Personal Information by or for the Company or any of its Subsidiaries (“</w:t>
      </w:r>
      <w:r>
        <w:rPr>
          <w:rFonts w:ascii="Times New Roman" w:hAnsi="Times New Roman"/>
          <w:sz w:val="20"/>
          <w:u w:val="single"/>
        </w:rPr>
        <w:t>Data Processors</w:t>
      </w:r>
      <w:r>
        <w:rPr>
          <w:rFonts w:ascii="Times New Roman" w:hAnsi="Times New Roman"/>
          <w:sz w:val="20"/>
        </w:rPr>
        <w:t xml:space="preserve">”) to comply with applicable Privacy Laws and to take reasonable measures to protect Personal Information from unauthorized, access, use or disclosure. To the knowledge of the Company, no Data Processors have failed to comply with Privacy Laws with respect to the Personal Information processed on behalf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(h) Since January 1, 2023, to the knowledge of the Company, neither Company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the Company or any of its Subsidiaries or the Company’s or any of its Subsidiaries’ compliance with any Privacy Law. For purposes of this Agreement, “</w:t>
      </w:r>
      <w:r>
        <w:rPr>
          <w:rFonts w:ascii="Times New Roman" w:hAnsi="Times New Roman"/>
          <w:sz w:val="20"/>
          <w:u w:val="single"/>
        </w:rPr>
        <w:t>Security Incident</w:t>
      </w:r>
      <w:r>
        <w:rPr>
          <w:rFonts w:ascii="Times New Roman" w:hAnsi="Times New Roman"/>
          <w:sz w:val="20"/>
        </w:rPr>
        <w:t xml:space="preserve">” means any unauthorized, accidental or unlawful access to, or acquisition, use, loss, destruction, modification, corruption or disclosure of, any Personal Information or any other confidential information or confidential data stored or contained in, or transmitted by, the IT Systems, or the Company IT Systems, as applicable, including any ransomware or cyber-extortion event. The Company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the Company and its Subsidiaries, and no such consent, authorization or permission has been withdrawn in a manner that would materially impair the conduct of the businesses of the Company and its Subsidiaries. To the knowledge of the Company, all transfers of Personal Information by or on behalf of the Company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the knowledge of the Company, no government funding, facilities or resources of a university, college, other educational institution or research center or funding from third parties was used in the development of Company Owned IP or any Intellectual Property, exclusively licensed to the Company or any of its Subsidiaries, and no Governmental Entity, university, college, other educational institution or research center has, to the knowledge of the Company, any claim or right in or to such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(j) Except as set forth on </w:t>
      </w:r>
      <w:r>
        <w:rPr>
          <w:rFonts w:ascii="Times New Roman" w:hAnsi="Times New Roman"/>
          <w:sz w:val="20"/>
          <w:u w:val="single"/>
        </w:rPr>
        <w:t>Section 4.19(j)</w:t>
      </w:r>
      <w:r>
        <w:rPr>
          <w:rFonts w:ascii="Times New Roman" w:hAnsi="Times New Roman"/>
          <w:sz w:val="20"/>
        </w:rPr>
        <w:t xml:space="preserve"> of the Company Disclosure Letter, the execution, delivery and performance by the Company of this Agreement, and the consummation of the transactions contemplated hereby, will not result in the loss of, or give rise to any right of any third party to terminate or modify any of the rights or obligations of the Company or any of its Subsidiaries under any agreement under which the Company or any of its Subsidiaries grants to any Person, or any Person grants to the Company or any of its Subsidiaries, a license or right under or with respect to any Intellectual Property that is material to any of the businesses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State Takeover Statutes</w:t>
      </w:r>
      <w:r>
        <w:rPr>
          <w:rFonts w:ascii="Times New Roman" w:hAnsi="Times New Roman"/>
          <w:sz w:val="20"/>
        </w:rPr>
        <w:t>. As of the date hereof and at all times on or prior to the First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transactions contemplated hereby and will not restrict, impair or delay the ability of Parent or Merger Subs, after the First Effective Time, to vote or otherwise exercise all rights as a stockholder of the Company. No other “moratorium,” “fair price,” “business combination,” “control share acquisition” or similar provision of any state anti-takeover Law (collectively, “</w:t>
      </w:r>
      <w:r>
        <w:rPr>
          <w:rFonts w:ascii="Times New Roman" w:hAnsi="Times New Roman"/>
          <w:sz w:val="20"/>
          <w:u w:val="single"/>
        </w:rPr>
        <w:t>Takeover Laws</w:t>
      </w:r>
      <w:r>
        <w:rPr>
          <w:rFonts w:ascii="Times New Roman" w:hAnsi="Times New Roman"/>
          <w:sz w:val="20"/>
        </w:rPr>
        <w:t xml:space="preserve">”) or any similar anti-takeover provision in the Company Charter or Company Bylaws is, or at the First Effective Time will be, applicable to this Agreement, the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No Rights Plan</w:t>
      </w:r>
      <w:r>
        <w:rPr>
          <w:rFonts w:ascii="Times New Roman" w:hAnsi="Times New Roman"/>
          <w:sz w:val="20"/>
        </w:rPr>
        <w:t xml:space="preserve">. There is no stockholder rights plan, “poison pill” anti-takeover plan or other similar device in effect to which the Company or any of its Subsidiaries is a party or is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Related Party Transactions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Company Disclosure Letter, since January 1, 2024 through the date of this Agreement, there have been no transactions, agreements, arrangements or understandings between the Company or any of its Subsidiaries, on the one hand, and the Affiliates of the Company or any of its Subsidiaries, on the other hand that would be required to be disclosed under Item 404 of Regulation S-K under the Securities Act (assuming the Company and its Subsidiaries were subject to the requirements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4.23 </w:t>
      </w:r>
      <w:r>
        <w:rPr>
          <w:rFonts w:ascii="Times New Roman" w:hAnsi="Times New Roman"/>
          <w:sz w:val="20"/>
          <w:u w:val="single"/>
        </w:rPr>
        <w:t>Certain Payments</w:t>
      </w:r>
      <w:r>
        <w:rPr>
          <w:rFonts w:ascii="Times New Roman" w:hAnsi="Times New Roman"/>
          <w:sz w:val="20"/>
        </w:rPr>
        <w:t>. For the five (5) years immediately preceding the date hereof, neither the Company nor any of its Subsidiaries nor any of their respective directors, executives or employees, or to the knowledge of the Company, representatives or agents (in each case, while acting for or on behalf of the Company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Foreign Corrupt Practices Act of 1977, as amended (“</w:t>
      </w:r>
      <w:r>
        <w:rPr>
          <w:rFonts w:ascii="Times New Roman" w:hAnsi="Times New Roman"/>
          <w:sz w:val="20"/>
          <w:u w:val="single"/>
        </w:rPr>
        <w:t>FCPA</w:t>
      </w:r>
      <w:r>
        <w:rPr>
          <w:rFonts w:ascii="Times New Roman" w:hAnsi="Times New Roman"/>
          <w:sz w:val="20"/>
        </w:rPr>
        <w:t xml:space="preserve">”), (d) has established or maintained, or is maintaining, any unlawful fund of corporate monies or other properties, or (e) has made any bribe, unlawful rebate, payoff, influence payment, kickback or other unlawful payment of any nature. To the Company’s knowledge, neither the Company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applicable anti-corruption or anti-bribery Law. </w:t>
      </w:r>
    </w:p>
    <w:p>
      <w:pPr>
        <w:pStyle w:val="TextBody"/>
        <w:bidi w:val="0"/>
        <w:spacing w:before="240" w:after="0"/>
        <w:jc w:val="left"/>
        <w:rPr>
          <w:rFonts w:ascii="Times New Roman" w:hAnsi="Times New Roman"/>
          <w:sz w:val="20"/>
        </w:rPr>
      </w:pPr>
      <w:r>
        <w:rPr>
          <w:rFonts w:ascii="Times New Roman" w:hAnsi="Times New Roman"/>
          <w:sz w:val="20"/>
        </w:rPr>
        <w:t xml:space="preserve">Section 4.24 </w:t>
      </w:r>
      <w:r>
        <w:rPr>
          <w:rFonts w:ascii="Times New Roman" w:hAnsi="Times New Roman"/>
          <w:sz w:val="20"/>
          <w:u w:val="single"/>
        </w:rPr>
        <w:t>Trade Laws</w:t>
      </w:r>
      <w:r>
        <w:rPr>
          <w:rFonts w:ascii="Times New Roman" w:hAnsi="Times New Roman"/>
          <w:sz w:val="20"/>
        </w:rPr>
        <w:t>. Neither the Company nor any of its Subsidiaries nor any of their respective directors, executives, employees, or to the knowledge of the Company, representatives or agents is a Sanctioned Person. Since April 24, 2019, the Company and its Subsidiaries are and have been in compliance with all applicable import, export control, anti-boycott and economic and trade sanctions Laws, including the Export Administration Regulations, the International Traffic in Arms Regulations, the regulations administered by U.S. Customs and Border Protection, the sanctions regulations administered by the Office of Foreign Assets Control of the U.S. Department of the Treasury and the U.S. Department of State (the “</w:t>
      </w:r>
      <w:r>
        <w:rPr>
          <w:rFonts w:ascii="Times New Roman" w:hAnsi="Times New Roman"/>
          <w:sz w:val="20"/>
          <w:u w:val="single"/>
        </w:rPr>
        <w:t>Trade Laws</w:t>
      </w:r>
      <w:r>
        <w:rPr>
          <w:rFonts w:ascii="Times New Roman" w:hAnsi="Times New Roman"/>
          <w:sz w:val="20"/>
        </w:rPr>
        <w:t>”) and have obtained, satisfied the requirements of or are otherwise qualified to rely upon all necessary import and export licenses, consents, notices, waivers, approvals, orders, registrations, declarations or other authorizations, and made any filings with any Governmental Entity, in each case required for (i) the import, export, reexport or transfer of products, services, software or technologies and (ii) releases of technology or software to foreign nationals (the “</w:t>
      </w:r>
      <w:r>
        <w:rPr>
          <w:rFonts w:ascii="Times New Roman" w:hAnsi="Times New Roman"/>
          <w:sz w:val="20"/>
          <w:u w:val="single"/>
        </w:rPr>
        <w:t>Trade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4.25 </w:t>
      </w:r>
      <w:r>
        <w:rPr>
          <w:rFonts w:ascii="Times New Roman" w:hAnsi="Times New Roman"/>
          <w:sz w:val="20"/>
          <w:u w:val="single"/>
        </w:rPr>
        <w:t>CFIUS</w:t>
      </w:r>
      <w:r>
        <w:rPr>
          <w:rFonts w:ascii="Times New Roman" w:hAnsi="Times New Roman"/>
          <w:sz w:val="20"/>
        </w:rPr>
        <w:t xml:space="preserve">. Company is not a “foreign person” within the meaning of the Defense Production Act of 1950, as amended, including all implementing regulations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4.26 </w:t>
      </w:r>
      <w:r>
        <w:rPr>
          <w:rFonts w:ascii="Times New Roman" w:hAnsi="Times New Roman"/>
          <w:sz w:val="20"/>
          <w:u w:val="single"/>
        </w:rPr>
        <w:t>Outbound Investment</w:t>
      </w:r>
      <w:r>
        <w:rPr>
          <w:rFonts w:ascii="Times New Roman" w:hAnsi="Times New Roman"/>
          <w:sz w:val="20"/>
        </w:rPr>
        <w:t>. The Company either is (i) not a “person of a country of concern”; or (ii) not engaged in any “covered activity,” as these terms are defined in 31 C.F.R. Part 850, as implemented or revised from time to time (the “</w:t>
      </w:r>
      <w:r>
        <w:rPr>
          <w:rFonts w:ascii="Times New Roman" w:hAnsi="Times New Roman"/>
          <w:sz w:val="20"/>
          <w:u w:val="single"/>
        </w:rPr>
        <w:t>Outbound Investment Security Program</w:t>
      </w:r>
      <w:r>
        <w:rPr>
          <w:rFonts w:ascii="Times New Roman" w:hAnsi="Times New Roman"/>
          <w:sz w:val="20"/>
        </w:rPr>
        <w:t xml:space="preserve">”). The Company has no current intention of becoming a “person of a country of concern” that engages in any “covered activity.” The Company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4.27 </w:t>
      </w:r>
      <w:r>
        <w:rPr>
          <w:rFonts w:ascii="Times New Roman" w:hAnsi="Times New Roman"/>
          <w:sz w:val="20"/>
          <w:u w:val="single"/>
        </w:rPr>
        <w:t>Data Security Program</w:t>
      </w:r>
      <w:r>
        <w:rPr>
          <w:rFonts w:ascii="Times New Roman" w:hAnsi="Times New Roman"/>
          <w:sz w:val="20"/>
        </w:rPr>
        <w:t>. The Company is not a “covered person” as that term is defined in Executive Order 14117 and rules and regulations issued thereunder, including 28 C.F.R. Part 202, as implemented or amended from time to time (the “</w:t>
      </w:r>
      <w:r>
        <w:rPr>
          <w:rFonts w:ascii="Times New Roman" w:hAnsi="Times New Roman"/>
          <w:sz w:val="20"/>
          <w:u w:val="single"/>
        </w:rPr>
        <w:t>DSP</w:t>
      </w:r>
      <w:r>
        <w:rPr>
          <w:rFonts w:ascii="Times New Roman" w:hAnsi="Times New Roman"/>
          <w:sz w:val="20"/>
        </w:rPr>
        <w:t xml:space="preserve">”). Since April 8, 2025, the Company has not engaged in or directed any “covered data transaction,” as that term is defined in the DSP, except in full compliance with the DSP.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4.28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as set forth on </w:t>
      </w:r>
      <w:r>
        <w:rPr>
          <w:rFonts w:ascii="Times New Roman" w:hAnsi="Times New Roman"/>
          <w:sz w:val="20"/>
          <w:u w:val="single"/>
        </w:rPr>
        <w:t>Section 4.28</w:t>
      </w:r>
      <w:r>
        <w:rPr>
          <w:rFonts w:ascii="Times New Roman" w:hAnsi="Times New Roman"/>
          <w:sz w:val="20"/>
        </w:rPr>
        <w:t xml:space="preserve"> of the Company Disclosure Letter, the fees and expenses of which will be paid by the Company or any of its Subsidiaries, or following the First Effective Time, Parent is entitled to any broker’s, finder’s, financial advisor’s or other similar fee or commission in connection with the transactions contemplated by this Agreement based upon arrangements made by or on behalf of the Company, any of its Subsidiaries or any of its Affiliates. The Company has furnished to Parent a true and complete copy of any Contract between the Company or any of its Subsidiaries and any Person identified on </w:t>
      </w:r>
      <w:r>
        <w:rPr>
          <w:rFonts w:ascii="Times New Roman" w:hAnsi="Times New Roman"/>
          <w:sz w:val="20"/>
          <w:u w:val="single"/>
        </w:rPr>
        <w:t>Section 4.28</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4.29 </w:t>
      </w:r>
      <w:r>
        <w:rPr>
          <w:rFonts w:ascii="Times New Roman" w:hAnsi="Times New Roman"/>
          <w:sz w:val="20"/>
          <w:u w:val="single"/>
        </w:rPr>
        <w:t>Subscription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delivered to Parent and Merger Subs, correct and complete copies of all definitive agreements related to the Concurrent Investment, including the Subscription Agreement. The Subscription Agreement has not been amended or modified prior to the date of this Agreement and as of the date hereof, the respective obligations and commitments contained in the Subscription Agreement have not been withdrawn or rescinded in any respect.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of the Concurrent Investment Investors. There are no conditions precedent or other contingencies related to the funding of the full amount of the Concurrent Investment,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Concurrent Investment Investor under the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4.30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V</w:t>
      </w:r>
      <w:r>
        <w:rPr>
          <w:rFonts w:ascii="Times New Roman" w:hAnsi="Times New Roman"/>
          <w:sz w:val="20"/>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transactions contemplated by this Agreement), and the Company has not relied on any such information or any representation or warranty not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forward-looking in nature); or (b) as set forth in the corresponding section or subsection of the disclosure letter delivered by Parent to the Company (the “</w:t>
      </w:r>
      <w:r>
        <w:rPr>
          <w:rFonts w:ascii="Times New Roman" w:hAnsi="Times New Roman"/>
          <w:sz w:val="20"/>
          <w:u w:val="single"/>
        </w:rPr>
        <w:t>Parent Disclosure Letter</w:t>
      </w:r>
      <w:r>
        <w:rPr>
          <w:rFonts w:ascii="Times New Roman" w:hAnsi="Times New Roman"/>
          <w:sz w:val="20"/>
        </w:rPr>
        <w:t xml:space="preserve">”)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each of Parent and Merger Sub represent and warrant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is a corporation duly organized, validly existing and in good standing under the Laws of the jurisdiction of its incorporation. Each of Parent and Merger Sub (x) has all requisite corporate or similar power and authority to own, lease and operate its properties and to carry on its business as now being conducted and (y) is duly qualified or licensed to do business and is in good standing in each jurisdiction in which the nature of its business or the ownership, leasing or operation of its properties makes such qualification or licensing necessary, except in the case of clause (y), where the failure to be so qualified or licensed or in good standing, individually or in the aggregate, has not had and would not reasonably be expected to have a Parent Material Adverse Effect. For purposes of this Agreement, “</w:t>
      </w:r>
      <w:r>
        <w:rPr>
          <w:rFonts w:ascii="Times New Roman" w:hAnsi="Times New Roman"/>
          <w:sz w:val="20"/>
          <w:u w:val="single"/>
        </w:rPr>
        <w:t>Parent 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Parent and its Subsidiaries, taken as a whole, or (B) materially impairs the ability of Parent or Merger Sub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Parent Material Adverse Effect shall not include any event, change, circumstance, occurrence, effect or state of facts to the extent resulting from (1) changes or conditions generally affecting the industries in which Parent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Parent at or with the express written consent of the Company;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Parent and its Subsidiaries, as compared to other participants in the industries in which Parent and its Subsidiaries operate.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previously made available to the Company true and complete copies of the Certificate of Incorporation and bylaws of each of Parent, each of its Subsidiaries, and Merger Sub, in each case, as amended to the date of this Agreement, and each as so delivered is in full force and effect. None of Parent, its Subsidiaries, or Merger Sub is in violation of any provision of their respective Certificate of Incorporation or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Parent consists of 200,000,000 shares of Parent Common Stock and 5,000,000 shares of preferred stock, par value $0.0001 per share, of Parent (the “</w:t>
      </w:r>
      <w:r>
        <w:rPr>
          <w:rFonts w:ascii="Times New Roman" w:hAnsi="Times New Roman"/>
          <w:sz w:val="20"/>
          <w:u w:val="single"/>
        </w:rPr>
        <w:t>Parent Preferred Stock</w:t>
      </w:r>
      <w:r>
        <w:rPr>
          <w:rFonts w:ascii="Times New Roman" w:hAnsi="Times New Roman"/>
          <w:sz w:val="20"/>
        </w:rPr>
        <w:t>”). As of the close of business on August 13, 2026 (the “</w:t>
      </w:r>
      <w:r>
        <w:rPr>
          <w:rFonts w:ascii="Times New Roman" w:hAnsi="Times New Roman"/>
          <w:sz w:val="20"/>
          <w:u w:val="single"/>
        </w:rPr>
        <w:t>Measurement Date</w:t>
      </w:r>
      <w:r>
        <w:rPr>
          <w:rFonts w:ascii="Times New Roman" w:hAnsi="Times New Roman"/>
          <w:sz w:val="20"/>
        </w:rPr>
        <w:t xml:space="preserve">”), (i) 76,297,257 shares of Parent Common Stock (excluding treasury shares) were issued and outstanding, all of which were validly issued, fully paid and nonassessable (which term means that no further sums are required to be paid by the holders thereof in connection with the issue of such shares) and were free of preemptive rights, (ii) no shares of Parent Common Stock were held in treasury, (iii) an aggregate of 11,063,949 shares of Parent Common Stock were subject to the exercise of outstanding Parent Options, (iv) 17,523 shares of Parent Common Stock were subject to outstanding Parent Restricted Stock Unit Awards, and (v) no shares of Parent Preferred Stock were issued and outstanding or held in treasury. Except as set forth above in this </w:t>
      </w:r>
      <w:r>
        <w:rPr>
          <w:rFonts w:ascii="Times New Roman" w:hAnsi="Times New Roman"/>
          <w:sz w:val="20"/>
          <w:u w:val="single"/>
        </w:rPr>
        <w:t>Section 5.2(a)</w:t>
      </w:r>
      <w:r>
        <w:rPr>
          <w:rFonts w:ascii="Times New Roman" w:hAnsi="Times New Roman"/>
          <w:sz w:val="20"/>
        </w:rPr>
        <w:t xml:space="preserve">, Parent does not have any outstanding bonds, debentures, notes or other obligations having the right to vote (or convertible into, or exchangeable or exercisable for, securities having the right to vote) with the stockholders of Parent or any of its Subsidiaries on any matter. Except as set forth above in this </w:t>
      </w:r>
      <w:r>
        <w:rPr>
          <w:rFonts w:ascii="Times New Roman" w:hAnsi="Times New Roman"/>
          <w:sz w:val="20"/>
          <w:u w:val="single"/>
        </w:rPr>
        <w:t>Section 5.2(a)</w:t>
      </w:r>
      <w:r>
        <w:rPr>
          <w:rFonts w:ascii="Times New Roman" w:hAnsi="Times New Roman"/>
          <w:sz w:val="20"/>
        </w:rPr>
        <w:t xml:space="preserve"> and except for changes since the close of business on the Measurement Date resulting from the exercise of any options as described above, as of the Measurement Date, there are no outstanding (A) shares of capital stock or other voting securities or equity interests of Parent or any of its Subsidiaries, (B) securities of Parent or any of its Subsidiaries convertible into or exchangeable or exercisable for shares of capital stock of Parent or any of its Subsidiaries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The authorized capital stock of First Merger Sub consists of 1,000 shares of common stock, par value $0.001 per share, of which 1,000 shares are issued and outstanding, all of which shares are beneficially owned by Parent. </w:t>
      </w:r>
    </w:p>
    <w:p>
      <w:pPr>
        <w:pStyle w:val="TextBody"/>
        <w:bidi w:val="0"/>
        <w:spacing w:before="120" w:after="0"/>
        <w:jc w:val="left"/>
        <w:rPr>
          <w:rFonts w:ascii="Times New Roman" w:hAnsi="Times New Roman"/>
          <w:sz w:val="20"/>
        </w:rPr>
      </w:pPr>
      <w:r>
        <w:rPr>
          <w:rFonts w:ascii="Times New Roman" w:hAnsi="Times New Roman"/>
          <w:sz w:val="20"/>
        </w:rPr>
        <w:t xml:space="preserve">(c) (b) The authorized limited liability company interests of Second Merger Sub consist of 1,000 common units, of which 1,000 common units are issued and outstanding, all of which are beneficially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shares of Parent Common Stock to be issued pursuant to the Merger will be duly authorized, validly issued, fully paid and nonassessable and not subject to any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of the Parent Disclosure Letter sets forth a true and complete list of each Subsidiary of Parent, including is jurisdiction of incorporation or formation. Each of Parent’s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by Parent, free and clear of all Liens.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Merger Sub was formed solely for the purpose of engaging in the Merger and the other transactions contemplated hereby and has engaged in no business other than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has all necessary corporate power and authority to execute, deliver and perform its obligations under this Agreement and to consummate the Merger and the other transactions contemplated hereby, including the issuance of the shares of Parent Common Stock to the holders of Company capital stock as Merger Consideration (the “</w:t>
      </w:r>
      <w:r>
        <w:rPr>
          <w:rFonts w:ascii="Times New Roman" w:hAnsi="Times New Roman"/>
          <w:sz w:val="20"/>
          <w:u w:val="single"/>
        </w:rPr>
        <w:t>Parent Common Stock Issuance</w:t>
      </w:r>
      <w:r>
        <w:rPr>
          <w:rFonts w:ascii="Times New Roman" w:hAnsi="Times New Roman"/>
          <w:sz w:val="20"/>
        </w:rPr>
        <w:t>”). The execution, delivery and performance of this Agreement by Parent and Merger Sub and the consummation by Parent and Merger Sub of the Merger and the other transactions contemplated hereby have been duly authorized by all necessary corporate action on the part of Parent and Merger Sub and no other corporate proceedings on the part of Parent or Merger Sub are necessary to approve this Agreement or to consummate the Merger and the other transactions contemplated hereby, subject to (i) obtaining the approval of the Nasdaq Issuance Proposal and the Reverse Stock Split Proposal by the holders of a majority of the votes cast for such proposals (collectively, the “</w:t>
      </w:r>
      <w:r>
        <w:rPr>
          <w:rFonts w:ascii="Times New Roman" w:hAnsi="Times New Roman"/>
          <w:sz w:val="20"/>
          <w:u w:val="single"/>
        </w:rPr>
        <w:t>Parent Stockholder Approval</w:t>
      </w:r>
      <w:r>
        <w:rPr>
          <w:rFonts w:ascii="Times New Roman" w:hAnsi="Times New Roman"/>
          <w:sz w:val="20"/>
        </w:rPr>
        <w:t xml:space="preserve">”) and (ii) the approval of this Agreement by Parent as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Parent Board, at a meeting duly called and held at which all directors of Parent were present, duly adopted resolutions unanimously (i) determining that the terms of this Agreement, the Merger and the other transactions contemplated hereby are fair to, advisable and in the best interests of Parent and its stockholders, (ii) approving and declaring advisable this Agreement and the transactions contemplated hereby, including the Merger, the issuance of shares of Parent Common Stock to the stockholders of the Company pursuant to the terms of this Agreement, the Concurrent Investment, the Pre-Closing Cash Dividend and the Parent Support Agreements, (iii) determining to submit the Parent Board Recommendation to the stockholders of Parent, and (iv) determining to approve and recommend the Parent Stockholder Proposal to the stockholders of Parent as promptly as practicable after the form of the Reverse Stock Split Proposal is mutually agreed to by Parent and the Company. The board of directors of Merger Sub (by unanimous written consent) has unanimously: (x) determined that the transactions contemplated hereby are fair to, advisable, and in the best interests of Merger Sub and its sole stockholder, (y) deemed advisable and approved this Agreement and the transactions contemplated hereby and (z) determined to recommend, upon the terms and subject to the conditions set forth in this Agreement, that the stockholder of Merger Sub vote to adopt this Agreement and thereby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(c) The Parent Stockholder Approval is the only vote of the holders of any class or series of the Parent Common Stock or other securities required in connection with the consummation of the Merger and the other transactions contemplated hereby, including the Parent Common Stock Issuance. Other than the Parent Stockholder Approval, no vote of the holders of any class or series of the Parent Common Stock or other securities is required in connection with the consummation of any of the transactions contemplated hereby to be consummated by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5.5(a)</w:t>
      </w:r>
      <w:r>
        <w:rPr>
          <w:rFonts w:ascii="Times New Roman" w:hAnsi="Times New Roman"/>
          <w:sz w:val="20"/>
        </w:rPr>
        <w:t xml:space="preserve"> of the Parent Disclosure Letter, the execution, delivery and performance of this Agreement by each of Parent and Merger Sub does not, and the consummation of the Merger and the other transactions contemplated hereby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hAnsi="Times New Roman"/>
          <w:sz w:val="20"/>
          <w:u w:val="single"/>
        </w:rPr>
        <w:t>Section 5.5(b)</w:t>
      </w:r>
      <w:r>
        <w:rPr>
          <w:rFonts w:ascii="Times New Roman" w:hAnsi="Times New Roman"/>
          <w:sz w:val="20"/>
        </w:rPr>
        <w:t xml:space="preserve">,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consent, approval, order or authorization of, or registration, declaration, filing with or notice to, any Governmental Entity is required by or with respect to Parent or Merger Sub in connection with the execution, delivery and performance of this Agreement by Parent or Merger Sub or the consummation by Parent or Merger Sub of the Merger and the other transactions contemplated hereby or compliance with the provisions hereof, except for (i) the filing of the pre-merger notification report under the HSR Act, (ii) the filing with the SEC of such reports under Section 13(a) or 15(d) of the Exchange Act, as may be required in connection with this Agreement and the transactions contemplated hereby, (iii) such other filings and reports as may be required pursuant to the applicable requirements of the Securities Act, the Exchange Act and any other applicable state or federal securities, takeover and “blue sky” laws, (iv) the filing of the Certificate of Merger with the Delaware Secretary of State as required by the DGCL, (v) any filings required under the rules and regulations of Nasdaq and (vi) such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has filed with or furnished to the SEC on a timely basis true and complete copies of all forms, reports, schedules, statements and other documents required to be filed with or furnished to the SEC by Parent since January 1, 2026 (all such documents, together with all exhibits and schedules to the foregoing materials and all information incorporated therein by reference, the “</w:t>
      </w:r>
      <w:r>
        <w:rPr>
          <w:rFonts w:ascii="Times New Roman" w:hAnsi="Times New Roman"/>
          <w:sz w:val="20"/>
          <w:u w:val="single"/>
        </w:rPr>
        <w:t>Parent SEC Documents</w:t>
      </w:r>
      <w:r>
        <w:rPr>
          <w:rFonts w:ascii="Times New Roman" w:hAnsi="Times New Roman"/>
          <w:sz w:val="20"/>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financial statements (including the related notes and schedules thereto) included (or incorporated by reference) in the Parent SEC Documents (i) have been prepared in a manner consistent with the books and records of Parent,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2026, Parent has not made any change in the accounting practices or policies applied in the preparation of its financial statements, except as required by GAAP, SEC rule or policy or applicable Law. The books and records of Parent have been, and are being, maintained in all material respects in accordance with GAAP (to the extent applicable) and any other applicable legal and accounting requirements and reflect only actual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has established and maintains disclosure controls and procedures (as defined in Rules 13a-15(e) and 15d-15(e) under the Exchange Act). Such disclosure controls and procedures are designed to ensure that information relating to Parent required to be disclosed in Parent’s periodic and current reports under the Exchange Act, is made known to Parent’s principal executive officer and principal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w:t>
      </w:r>
    </w:p>
    <w:p>
      <w:pPr>
        <w:pStyle w:val="TextBody"/>
        <w:bidi w:val="0"/>
        <w:spacing w:before="120" w:after="0"/>
        <w:jc w:val="left"/>
        <w:rPr>
          <w:rFonts w:ascii="Times New Roman" w:hAnsi="Times New Roman"/>
          <w:sz w:val="20"/>
        </w:rPr>
      </w:pPr>
      <w:r>
        <w:rPr>
          <w:rFonts w:ascii="Times New Roman" w:hAnsi="Times New Roman"/>
          <w:sz w:val="20"/>
        </w:rPr>
        <w:t xml:space="preserve">(d) Parent has established and maintains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hAnsi="Times New Roman"/>
          <w:sz w:val="20"/>
          <w:u w:val="single"/>
        </w:rPr>
        <w:t>Section 5.6(d)</w:t>
      </w:r>
      <w:r>
        <w:rPr>
          <w:rFonts w:ascii="Times New Roman" w:hAnsi="Times New Roman"/>
          <w:sz w:val="20"/>
        </w:rPr>
        <w:t xml:space="preserve"> of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2026,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and (ii) no attorney representing Parent, whether or not employed by Parent, has reported evidence of a material violation of securities Laws, breach of fiduciary duty or similar violation by Parent or any of its officers, directors, employees or agents to the Parent Board or any committee thereof or to any director or officer of Parent. </w:t>
      </w:r>
    </w:p>
    <w:p>
      <w:pPr>
        <w:pStyle w:val="TextBody"/>
        <w:bidi w:val="0"/>
        <w:spacing w:before="120" w:after="0"/>
        <w:jc w:val="left"/>
        <w:rPr>
          <w:rFonts w:ascii="Times New Roman" w:hAnsi="Times New Roman"/>
          <w:sz w:val="20"/>
        </w:rPr>
      </w:pPr>
      <w:r>
        <w:rPr>
          <w:rFonts w:ascii="Times New Roman" w:hAnsi="Times New Roman"/>
          <w:sz w:val="20"/>
        </w:rPr>
        <w:t xml:space="preserve">(f)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(g) Parent is not a party to, or has any commitment to become a party to, any joint venture, off balance sheet partnership or any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 balance sheet arrangements” (as defined in Item 303(a) of Regulation S K under the Exchange Act)), where the result, purpose or intended effect of such Contract is to avoid disclosure of any material transaction involving, or material liabilities of, Parent in Parent’s published financial statements or other Parent SEC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Parent is in compliance in all material respects with (i) the provisions of the Sarbanes-Oxley Act and (ii) the rules and regulations of Nasdaq, in each case, that are applicable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No Undisclosed Liabilities</w:t>
      </w:r>
      <w:r>
        <w:rPr>
          <w:rFonts w:ascii="Times New Roman" w:hAnsi="Times New Roman"/>
          <w:sz w:val="20"/>
        </w:rPr>
        <w:t xml:space="preserve">.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unaudited balance sheet of Parent as at June 30, 2026 included in the -Parent SEC Documents (without giving effect to any amendment thereto filed on or after the date hereof) and (b) for liabilities and obligations incurred in the ordinary course of business consistent with past practice (none of which is a liability for a breach or default under any contract, breach of warranty, tort, infringement, misappropriation or violation of law) since June 30, 2026 that are not individually or in the aggregate material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5.8</w:t>
      </w:r>
      <w:r>
        <w:rPr>
          <w:rFonts w:ascii="Times New Roman" w:hAnsi="Times New Roman"/>
          <w:sz w:val="20"/>
        </w:rPr>
        <w:t xml:space="preserve"> of the Parent Disclosure Letter, since December 31, 2025, (i) except in connection with the execution of this Agreement and the consummation of the transactions contemplated hereby, Parent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Parent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other than the Pre-Closing Cash Dividend, (ii) purchased, redeemed or otherwise acquired shares of capital stock or other equity interests of Parent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Litigation</w:t>
      </w:r>
      <w:r>
        <w:rPr>
          <w:rFonts w:ascii="Times New Roman" w:hAnsi="Times New Roman"/>
          <w:sz w:val="20"/>
        </w:rPr>
        <w:t xml:space="preserve">. There is no Action (or basis therefor) pending or, to the knowledge of Parent, threatened against or affecting Parent or any of its Subsidiaries, any of its properties or assets, or any present or former officer, director or employee of Parent or any of its Subsidiaries in such individual’s capacity as such, other than any Action that (a) does not involve an amount in controversy in excess of $100,000 and (b) does not seek injunctive or other non-monetary relief. Neither Parent nor any of its Subsidiaries nor any of their respective properties or assets is subject to any outstanding judgment, order, injunction, rule or decree of any Governmental Entity. There is no Action pending or, to the knowledge of Parent,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Compliance with Law</w:t>
      </w:r>
      <w:r>
        <w:rPr>
          <w:rFonts w:ascii="Times New Roman" w:hAnsi="Times New Roman"/>
          <w:sz w:val="20"/>
        </w:rPr>
        <w:t xml:space="preserve">. Parent and each of its Subsidiaries are and have been in compliance in all material respects with all Laws applicable to its businesses, operations, properties or assets. Neither Parent nor any of its Subsidiaries has received, since January 1, 2023, a notice or other written communication alleging or relating to a possible material violation of any Law applicable to its business, operations, properties, assets or Parent Products (as defined below). Parent and each of its Subsidiaries have in effect all material Permits of all Governmental Entities necessary or advisable for it to own, lease or operate its properties and assets and to carry on its business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5.11</w:t>
      </w:r>
      <w:r>
        <w:rPr>
          <w:rFonts w:ascii="Times New Roman" w:hAnsi="Times New Roman"/>
          <w:sz w:val="20"/>
        </w:rPr>
        <w:t xml:space="preserve"> of the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(a) Parent, and to the knowledge of Parent, each of its directors, officers, management employees, and agents (while acting in such capacity) is, and at all times prior hereto was, in material compliance with all Health Care Laws to the extent applicable to Parent or any of its products or activities. To the knowledge of Parent,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Parent nor any of its Subsidiaries is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FDA or other Governmental Entity relating to products that are regulated under Health Care Laws, including biological candidates, compounds or products being researched, tested, stored, developed, labeled, manufactured, packed, imported, exported and/or distributed by Parent or any of its Subsidiaries (“</w:t>
      </w:r>
      <w:r>
        <w:rPr>
          <w:rFonts w:ascii="Times New Roman" w:hAnsi="Times New Roman"/>
          <w:sz w:val="20"/>
          <w:u w:val="single"/>
        </w:rPr>
        <w:t>Parent Products</w:t>
      </w:r>
      <w:r>
        <w:rPr>
          <w:rFonts w:ascii="Times New Roman" w:hAnsi="Times New Roman"/>
          <w:sz w:val="20"/>
        </w:rPr>
        <w:t xml:space="preserve">”),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Parent does not have knowledge of any facts or circumstances that would be reasonably likely to lead to the revocation, suspension, limitation, or cancellation of a Permit required under Health 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preclinical studies and clinical trials conducted by or, to the knowledge of Parent, on behalf of Parent in respect of a Parent Product for submission to the FDA or other Governmental Entity have been since January 1, 2020, and if still pending are being, conducted in material compliance with research protocols and all applicable Health Care Laws, including, but not limited to, the FDCA and its applicable implementing regulations at 21 C.F.R. Parts 50, 54, 56, 58, 312, 314 and 812. No clinical trial conducted by or on behalf of Parent has been conducted using any clinical investigators who have been disqualified. Except as set forth on </w:t>
      </w:r>
      <w:r>
        <w:rPr>
          <w:rFonts w:ascii="Times New Roman" w:hAnsi="Times New Roman"/>
          <w:sz w:val="20"/>
          <w:u w:val="single"/>
        </w:rPr>
        <w:t>Section 5.11(d)</w:t>
      </w:r>
      <w:r>
        <w:rPr>
          <w:rFonts w:ascii="Times New Roman" w:hAnsi="Times New Roman"/>
          <w:sz w:val="20"/>
        </w:rPr>
        <w:t xml:space="preserve"> of the Parent Disclosure Letter,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Parent has placed a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(e) All manufacturing operations conducted by or, to the knowledge of Parent, for the benefit of Parent have been and are being conducted in material compliance with all Permits under applicable Health Care Laws, all applicable provisions of the FDA’s current good manufacturing practice (cGMP) regulations at 21 C.F.R. Parts 210-211 and Parts 600 and 610 and FDA’s Quality Management System (QMS) regulations at 21 C.F.R. Part 820, and all comparable foreign regulatory requirements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Parent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 w:hAnsi="Times New Roman"/>
          <w:sz w:val="20"/>
          <w:u w:val="single"/>
        </w:rPr>
        <w:t>Section 5.11(f)</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(g) There have been no seizures, withdrawals, recalls, detentions, or suspensions of manufacturing, testing, or distribution relating to the Parent Products required or requested by a Governmental Entity, or other Safety Notices. All Safety Notices listed in </w:t>
      </w:r>
      <w:r>
        <w:rPr>
          <w:rFonts w:ascii="Times New Roman" w:hAnsi="Times New Roman"/>
          <w:sz w:val="20"/>
          <w:u w:val="single"/>
        </w:rPr>
        <w:t>Section 5.11(g)</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5.11(h)</w:t>
      </w:r>
      <w:r>
        <w:rPr>
          <w:rFonts w:ascii="Times New Roman" w:hAnsi="Times New Roman"/>
          <w:sz w:val="20"/>
        </w:rPr>
        <w:t xml:space="preserve"> of the Parent Disclosure Letter, there are no unresolved Safety Notices, and to the knowledge Parent, there are no facts or circumstances that would be reasonably likely to result in a Safety Notice with respect to the Parent Products or a termination or suspension of developing and testing of any of the Parent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Neither Parent, nor, to the knowledge of Parent, any officer, director, employee, or agent of Parent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FDA Ethics Policy.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Governmental Entity by Parent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to the knowledge of Parent, any officer, director, employee, or agent of Parent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Parent Products are sold or intended to be sold. Neither Parent nor, to the knowledge of Parent, any officer, director,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Parent Disclosure Letter contains a true, correct and complete list of each material Parent Plan.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provided or made available to the Company a current, accurate and complete copy of each material Parent Plan, or if such Parent Plan is not in written form, a written summary of all of the material terms of such Parent Plan. With respect to each Parent Plan, Parent has furnished or made available to the Company a current, accurate and complete copy of, to the extent applicable: (i) all documents embodying or governing such Parent Plan and any related trust agreement or other funding instrument, (ii) the most recent determination letter of the IRS, (iii) any summary plan description, summary of material modifications, and other similar material written communications (or a written description of any material oral communications) to the employees of Parent or its Subsidiaries concerning the extent of the benefits provided under a Parent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Neither Parent,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Parent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Parent Plans: </w:t>
      </w:r>
    </w:p>
    <w:p>
      <w:pPr>
        <w:pStyle w:val="TextBody"/>
        <w:bidi w:val="0"/>
        <w:spacing w:before="120" w:after="0"/>
        <w:jc w:val="left"/>
        <w:rPr>
          <w:rFonts w:ascii="Times New Roman" w:hAnsi="Times New Roman"/>
          <w:sz w:val="20"/>
        </w:rPr>
      </w:pPr>
      <w:r>
        <w:rPr>
          <w:rFonts w:ascii="Times New Roman" w:hAnsi="Times New Roman"/>
          <w:sz w:val="20"/>
        </w:rPr>
        <w:t xml:space="preserve">(i) each Parent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no Parent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Plan intended to be qualified under Section 401(a) of the Code has received a favorable determination, advisory and/or opinion letter, as applicable, from the IRS that it is so qualified and nothing has occurred to the knowledge of Parent since the date of such letter that would reasonably be expected to cause the loss of the sponsor’s ability to rely upon such letter, and nothing has occurred to the knowledge of Parent that would reasonably be expected to result in the loss of the qualified status of such Parent Plan; </w:t>
      </w:r>
    </w:p>
    <w:p>
      <w:pPr>
        <w:pStyle w:val="TextBody"/>
        <w:bidi w:val="0"/>
        <w:spacing w:before="120" w:after="0"/>
        <w:jc w:val="left"/>
        <w:rPr>
          <w:rFonts w:ascii="Times New Roman" w:hAnsi="Times New Roman"/>
          <w:sz w:val="20"/>
        </w:rPr>
      </w:pPr>
      <w:r>
        <w:rPr>
          <w:rFonts w:ascii="Times New Roman" w:hAnsi="Times New Roman"/>
          <w:sz w:val="20"/>
        </w:rPr>
        <w:t xml:space="preserve">(iv) there is no material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Parent Plans or the assets of any of the trusts under any of Parent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Parent Plans currently provides, or reflects or represents any liability to provide post-termination or retiree welfare benefits to any person for any reason, except as may be required by COBRA, and none of Parent, its Subsidiaries or any members of their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Parent Plans either have been made or have been accrued in accordance with the terms of the applicable Parent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Plan is subject exclusively to United States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execution and delivery of this Agreement, the Parent Stockholder Approval, and the consummation of the Merger will not, either alone or in combination with any other event, (A) entitle any current or former employee, officer, director or consultant of Parent or any Subsidiary to severance pay, unemployment compensation or any other similar termination payment, (B) accelerate the time of payment or vesting, or increase the amount of or otherwise enhance any benefit due any such employee, officer, director or consultant, (C) trigger the forgiveness of any indebtedness of any such employee, officer, director or consultant, (D) restrict the rights of the Parent or any Subsidiary to amend or terminate any Parent Plan, or (E) otherwise result in any additional compensation obligation of the Parent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(e) Neither Parent nor any of its Subsidiaries is a party to any agreement, contract, arrangement or plan (including any Parent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Parent or any Subsidiary is a party or by which Parent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Parent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Parent Plan) so that no amount paid or payable pursuant to any such Parent Plan is subject to any additional Tax or interest under Section 409A of the Code (or any comparable or similar provision of state, local, or foreign Law) The per share exercise price of each Parent Option is no less than the fair market value of a share of Parent Common Stock on the date of grant of such Parent Option, determined in a manner consistent with Section 409A of the Code, and no payment to be made under any Parent Plan is, or to the knowledge of the Parent,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Parent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Parent, threatened, any labor dispute, work stoppage, labor strike or lockout against Parent or any of its Subsidiaries by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employee of Parent or any of its Subsidiaries is, or since January 1, 2023 has been, covered by a collective bargaining agreement or similar labor agreement. To the knowledge of Parent, there has not been any activity on behalf of any labor union, labor organization or similar representative group to organize any employees of Parent or any of its Subsidiaries. There are no and since January 1, 2023 there has not been any: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representations, claims, or petitions pending before the National Labor Relations Board or any other labor tribunal or (iii) grievances or pending arbitration proceedings against Parent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2025, (i) neither Parent nor any of its Subsidiaries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5.13(d)</w:t>
      </w:r>
      <w:r>
        <w:rPr>
          <w:rFonts w:ascii="Times New Roman" w:hAnsi="Times New Roman"/>
          <w:sz w:val="20"/>
        </w:rPr>
        <w:t xml:space="preserve"> of the Parent Disclosure Letter, with respect to any current or former employee, officer, consultant, or service provider of Parent, there are no Actions against Parent or any of its Subsidiaries pending, or to Parent’s knowledge, threatened to be brought or filed, in connection with the employment or engagement of any current or former employee, officer, consultant, or service provider of Parent,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Parent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5.13(e)</w:t>
      </w:r>
      <w:r>
        <w:rPr>
          <w:rFonts w:ascii="Times New Roman" w:hAnsi="Times New Roman"/>
          <w:sz w:val="20"/>
        </w:rPr>
        <w:t xml:space="preserve"> of the Parent Disclosure Letter or with respect to any Parent Plan (which subject is addressed in </w:t>
      </w:r>
      <w:r>
        <w:rPr>
          <w:rFonts w:ascii="Times New Roman" w:hAnsi="Times New Roman"/>
          <w:sz w:val="20"/>
          <w:u w:val="single"/>
        </w:rPr>
        <w:t>Section 5.12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Parent, threatened against or involving Parent or any of its Subsidiaries or any of their respective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or officers, (ii) to the knowledge of Parent, no incidents of any workplace related harassment discrimination, retaliation, or other misconduct have occurred and (iii) Parent has not entered into any settlement agreement related to allegations of such harassment, discrimination, retaliation, or other workplace related misconduct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Parent are employed “at-will” or require no more than 30 days’ notice to terminate.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Parent Material Adverse Effect, (i) Parent and its Subsidiaries have conducted its businesses in compliance with all, and have not violated any, applicable Environmental Laws; (ii) Parent and its Subsidiaries have obtained all Permits of all Governmental Entities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Parent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reasonably be expected to result in liability to Parent or any of its Subsidiaries under any Environmental Law; and (vi) neither Parent or any of its Subsidiaries nor any of their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material Taxes not yet due and payable by Parent as of the date of the balance sheet included in the financial statements (including the related notes and schedules thereto) included (or incorporated by reference) in the Parent SEC Documents have been, in all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through the date of such financial statements. Since the date of financial statements (including the related notes and schedules thereto) included (or incorporated by reference) in the Parent SEC Documents, neither Parent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 xml:space="preserve">(d) No material Tax Action with respect to Taxes or any Tax Return of Parent or any of its Subsidiaries are presently in progress or have been asserted, threatened or proposed in writing and have not been satisfied by payment in full, settled or withdrawn, and to the knowledge of Parent, no such Tax Action is being contemplated. No deficiencies or claims for a material amount of Taxes have been claimed, proposed, assessed or asserted in writing against Parent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Parent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Parent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 xml:space="preserve">(g) Neither Parent nor any of its Subsidiaries (i) is a party to or bound by, or has any liability pursuant to, any Tax sharing, allocation, indemnification or similar agreement or obligation other than any Ordinary Course Agreement; (ii) is or has been a member of a group (other than a group the common parent of which is Parent) filing a consolidated, combined, affiliated, unitary or similar income Tax Return; (iii) has liability for the Taxes of any Person (other than Parent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Parent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Parent’s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Parent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Parent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Parent or any of its Subsidiaries does not currently file a Tax Return of a certain type or pay Taxes of a certain type that Parent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Parent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Parent’s knowledge, neither Parent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Parent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5.15</w:t>
      </w:r>
      <w:r>
        <w:rPr>
          <w:rFonts w:ascii="Times New Roman" w:hAnsi="Times New Roman"/>
          <w:sz w:val="20"/>
        </w:rPr>
        <w:t xml:space="preserve">, where the context permits, each reference to Parent shall include a reference to any person for whose Taxes Parent is liable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any Parent Plans (which are the subject of </w:t>
      </w:r>
      <w:r>
        <w:rPr>
          <w:rFonts w:ascii="Times New Roman" w:hAnsi="Times New Roman"/>
          <w:sz w:val="20"/>
          <w:u w:val="single"/>
        </w:rPr>
        <w:t>Section 5.12</w:t>
      </w:r>
      <w:r>
        <w:rPr>
          <w:rFonts w:ascii="Times New Roman" w:hAnsi="Times New Roman"/>
          <w:sz w:val="20"/>
        </w:rPr>
        <w:t xml:space="preserve">) and except as set forth in the Parent SEC Documents publicly available prior to the date of this Agreement, Parent is not a party to or bound by any “material contract” (as such term is defined in Item 601(b)(10) of Regulation S-K under the Securities Act) (all such contracts including those set forth in </w:t>
      </w:r>
      <w:r>
        <w:rPr>
          <w:rFonts w:ascii="Times New Roman" w:hAnsi="Times New Roman"/>
          <w:sz w:val="20"/>
          <w:u w:val="single"/>
        </w:rPr>
        <w:t>Section 5.16(b)</w:t>
      </w:r>
      <w:r>
        <w:rPr>
          <w:rFonts w:ascii="Times New Roman" w:hAnsi="Times New Roman"/>
          <w:sz w:val="20"/>
        </w:rPr>
        <w:t xml:space="preserve"> of the Parent Disclosure Letter, “</w:t>
      </w:r>
      <w:r>
        <w:rPr>
          <w:rFonts w:ascii="Times New Roman" w:hAnsi="Times New Roman"/>
          <w:sz w:val="20"/>
          <w:u w:val="single"/>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5.16(b)</w:t>
      </w:r>
      <w:r>
        <w:rPr>
          <w:rFonts w:ascii="Times New Roman" w:hAnsi="Times New Roman"/>
          <w:sz w:val="20"/>
        </w:rPr>
        <w:t xml:space="preserve"> of the Parent Disclosure Letter lists the following contracts, which for the purposes of this Agreement shall be considered Parent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containing (A) any covenant prohibiting Parent, its Subsidiaries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Parent or its Subsidiaries, in the case of the foregoing clause (D) which are material to Parent or its Subsidiaries, as applicable,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Parent or any of its Subsidiaries or any loans or debt obligations with officers or directors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 each Contract requiring payment by or to the Parent after the date of this Agreement in excess of $100,000 pursuant to its express terms relating to: (A) any Contract involving a dealer, distributor, joint marketing, alliance, joint venture, cooperation, research and/or development (including pre-clinical and clinical research and/or development), material transfer, services (including technical writing and consulting), manufacturing, supply, distribution or other agreement relating to the research, development, testing, labeling, manufacturing, marketing, commercialization, or distribution of any product, technology or service, or any Contract pursuant to which any Intellectual Property is developed by or for Parent or (B) any Contract to license any patent, trademark registration, service mark registration, trade name or copyright registration to or from any third party to research, develop, test, label, manufacture, market, or produce any product, service or technology of the Parent or any Contract to sell, distribute or commercialize any products or services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each license or other Contract pursuant to which Parent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Parent in connection with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Parent directly or indirectly holds a valid leasehold interest as well as any other real estate that is in the possession of or leased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to which the Parent is a party or by which any of its assets and properties is currently bound, which involves annual obligations of payment by, or annual payments to, the Parent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with any current or former employee, officer, director or consultant of Parent or any of its Subsidiaries that provides for severance, pay in lieu of notice, retention, change in control, or other separation or termination benefits (other than offer letters or similar agreements entered into in the ordinary course of business that provide solely for at-will employment and do not provide for severance, retention, change in control or other separation or termination benefits); and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Contract that is not terminable at will (without penalty or payment) by the Parent, and that is material to the business or operations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(c) (i) Each Parent Material Contract is valid and binding on Parent, and to the knowledge of Parent, each other party thereto, and is in full force and effect and enforceable in accordance with its terms; and (ii) Parent, and, to the knowledge of Parent, each other party thereto, has performed all material obligations required to be performed by it under each Parent Material Contract; and (iii) as of the date of this Agreement, Parent has not received any written notice of any material default under any Parent Material Contract by Parent or, to the knowledge of Parent, any other party thereto, and no event or condition has occurred that constitutes, or, after notice or lapse of time or both, would constitute, a material default on the part of Parent or, to the knowledge of Parent, any other party thereto under any such Parent Material Contract, nor has Parent received any notice of any such material default, event or condition. Parent has made available to the Company true and complete copies of all Parent Material Contracts, including all amendments thereto. Other than in connection with the Wind-Down Activities, no Person is renegotiating, or has a right pursuant to the terms of any Parent Material Contract to change, any material amount paid or payable by or to Parent under any Parent Material Contract or any other material term or provision of any Parent Material Contract. Except as set forth in </w:t>
      </w:r>
      <w:r>
        <w:rPr>
          <w:rFonts w:ascii="Times New Roman" w:hAnsi="Times New Roman"/>
          <w:sz w:val="20"/>
          <w:u w:val="single"/>
        </w:rPr>
        <w:t>Section 5.16(c)</w:t>
      </w:r>
      <w:r>
        <w:rPr>
          <w:rFonts w:ascii="Times New Roman" w:hAnsi="Times New Roman"/>
          <w:sz w:val="20"/>
        </w:rPr>
        <w:t xml:space="preserve"> of the Parent Disclosure Letter, there are no Parent Material Contracts that are not in written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Insurance</w:t>
      </w:r>
      <w:r>
        <w:rPr>
          <w:rFonts w:ascii="Times New Roman" w:hAnsi="Times New Roman"/>
          <w:sz w:val="20"/>
        </w:rPr>
        <w:t xml:space="preserve">. Each of Parent and its Subsidiaries is covered by valid and currently effective insurance policies issued in favor of Parent or its Subsidiaries that are customary and adequate for companies of similar size in the industries and locations in which Parent and its Subsidiaries operate. </w:t>
      </w:r>
      <w:r>
        <w:rPr>
          <w:rFonts w:ascii="Times New Roman" w:hAnsi="Times New Roman"/>
          <w:sz w:val="20"/>
          <w:u w:val="single"/>
        </w:rPr>
        <w:t>Section 5.17</w:t>
      </w:r>
      <w:r>
        <w:rPr>
          <w:rFonts w:ascii="Times New Roman" w:hAnsi="Times New Roman"/>
          <w:sz w:val="20"/>
        </w:rPr>
        <w:t xml:space="preserve"> of the Parent Disclosure Letter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has good and valid title to, or in the case of leased property and leased tangible assets, a valid leasehold interest in, all of its real properties and tangible assets that are necessary for Parent and its Subsidiaries to conduct its businesses as currently conducted, free and clear of all Liens other than Permitted Liens.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5.18(c)</w:t>
      </w:r>
      <w:r>
        <w:rPr>
          <w:rFonts w:ascii="Times New Roman" w:hAnsi="Times New Roman"/>
          <w:sz w:val="20"/>
        </w:rPr>
        <w:t xml:space="preserve"> of the Parent Disclosure Letter sets forth a true and complete list of (i) all real property owned by Parent or any of its Subsidiaries and (ii) all real property leased for the benefit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5.18</w:t>
      </w:r>
      <w:r>
        <w:rPr>
          <w:rFonts w:ascii="Times New Roman" w:hAnsi="Times New Roman"/>
          <w:sz w:val="20"/>
        </w:rPr>
        <w:t xml:space="preserve"> does not relate to intellectual property, which is the subject of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5.19(a)</w:t>
      </w:r>
      <w:r>
        <w:rPr>
          <w:rFonts w:ascii="Times New Roman" w:hAnsi="Times New Roman"/>
          <w:sz w:val="20"/>
        </w:rPr>
        <w:t xml:space="preserve"> of the Parent Disclosure Letter sets forth a true and complete list of all (i) patents and patent applications; (ii) trademark registrations and applications; and (iii) material copyright registrations and applications, in each case owned or licensed by Parent and its Subsidiaries (collectively, “</w:t>
      </w:r>
      <w:r>
        <w:rPr>
          <w:rFonts w:ascii="Times New Roman" w:hAnsi="Times New Roman"/>
          <w:sz w:val="20"/>
          <w:u w:val="single"/>
        </w:rPr>
        <w:t>Parent Registered IP</w:t>
      </w:r>
      <w:r>
        <w:rPr>
          <w:rFonts w:ascii="Times New Roman" w:hAnsi="Times New Roman"/>
          <w:sz w:val="20"/>
        </w:rPr>
        <w:t xml:space="preserve">”) and a true and complete list of all domain names owned or exclusively licensed by Parent and its Subsidiaries. Except as, individually or in the aggregate, has not had and would not reasonably be expected to have a Parent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(i) all of the Parent Registered IP is subsisting and, solely in the case of any Parent Registered IP that is registered or issued and to the knowledge of Parent, valid and enforceable, (ii) no Parent Registered IP, is involved in any interference, reissue, derivation, reexamination, opposition, cancellation or similar proceeding and, to the knowledge of Parent, no such action is threatened with respect to any of the Parent Registered IP and (iii) Parent and its Subsidiaries own exclusively, free and clear of any and all Liens (other than Permitted Liens), all Parent Owned IP, including all Intellectual Property created on behalf of Parent or its Subsidiaries by employees or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(b) Parent and its Subsidiaries have taken commercially reasonable measures to maintain the confidentiality of all information that constitutes or constituted a material Trade Secret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or other disposal of any product as currently sold or under development by Parent or any of its Subsidiaries, has not infringed, misappropriated or diluted, and does not infringe, misappropriate or dilute, any Intellectual Property of any Person, (ii) neither Parent nor any of its Subsidiaries have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w:t>
      </w:r>
    </w:p>
    <w:p>
      <w:pPr>
        <w:pStyle w:val="TextBody"/>
        <w:bidi w:val="0"/>
        <w:spacing w:before="120" w:after="0"/>
        <w:jc w:val="left"/>
        <w:rPr>
          <w:rFonts w:ascii="Times New Roman" w:hAnsi="Times New Roman"/>
          <w:sz w:val="20"/>
        </w:rPr>
      </w:pPr>
      <w:r>
        <w:rPr>
          <w:rFonts w:ascii="Times New Roman" w:hAnsi="Times New Roman"/>
          <w:sz w:val="20"/>
        </w:rPr>
        <w:t>(d) Parent and its Subsidiaries have taken commercially reasonable steps designed to protect the security of the computer and information technology systems owned by Parent or any of its Subsidiaries and used in the operation of its business as currently conducted (the “</w:t>
      </w:r>
      <w:r>
        <w:rPr>
          <w:rFonts w:ascii="Times New Roman" w:hAnsi="Times New Roman"/>
          <w:sz w:val="20"/>
          <w:u w:val="single"/>
        </w:rPr>
        <w:t>Parent IT Systems</w:t>
      </w:r>
      <w:r>
        <w:rPr>
          <w:rFonts w:ascii="Times New Roman" w:hAnsi="Times New Roman"/>
          <w:sz w:val="20"/>
        </w:rPr>
        <w:t xml:space="preserve">”) and protect the confidentiality and security of the information stored or contained therein or transmitted thereby. The Parent IT Systems are reasonably adequate for, and operate and perform in all material respects as required in connection with, the operation of the businesses of Parent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Parent IT Systems. Except as would not reasonably be expected to result in a Material Adverse Effect, Parent and its Subsidiaries maintain commercially reasonable backup, business continuity and disaster recovery plans and procedures with respect to the Parent IT Systems, and neither Parent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 xml:space="preserve">(e) To the knowledge of Parent, Parent and its Subsidiaries have since January 1, 2023, complied in all material respects with all applicable Privacy Laws. Since January 1, 2023, no material claims have been asserted or, to the knowledge of Parent, threatened in writing against Parent or any of its Subsidiaries alleging a violation of any Person’s privacy or Personal Information. Neither this Agreement nor the consummation of the transactions contemplated hereby will breach or otherwise violate any Privacy Laws. The Parent and its Subsidiaries have taken commercially reasonable steps designed to protect the Personal Information collected,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held for use by Parent or any of its Subsidiaries against loss and unauthorized access, use, modification or disclosure, or other misuse. Parent and its Subsidiaries have contractually obligated all Data Processors to comply with applicable Privacy Laws and to take reasonable measures to protect Personal Information from unauthorized, access, use or disclosure. To the knowledge of Parent, no Data Processors have failed to comply with Privacy Laws with respect to the Personal Information processed on behalf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To the knowledge of Parent, no government funding, facilities or resources of a university, college, other educational institution or research center or funding from third parties was used in the development of the Parent Owned IP or any Intellectual Property exclusively licensed to Parent or any of its Subsidiaries, and no Governmental Entity, university, college, other educational institution or research center has, to the knowledge of Parent, any claim or right in or to such Intellectual Property. Except as set forth on </w:t>
      </w:r>
      <w:r>
        <w:rPr>
          <w:rFonts w:ascii="Times New Roman" w:hAnsi="Times New Roman"/>
          <w:sz w:val="20"/>
          <w:u w:val="single"/>
        </w:rPr>
        <w:t>Section 5.19(f)</w:t>
      </w:r>
      <w:r>
        <w:rPr>
          <w:rFonts w:ascii="Times New Roman" w:hAnsi="Times New Roman"/>
          <w:sz w:val="20"/>
        </w:rPr>
        <w:t xml:space="preserve"> of the Parent Disclosure Letter, the execution, delivery and performance by Parent of this Agreement, and the consummation of the transactions contemplated hereby, will not result in the loss of, or give rise to any right of any third party to terminate or modify any of the rights or obligations of Parent or any of its Subsidiaries under any agreement under which Parent or any of its Subsidiaries grants to any Person, or any Person grants to Parent or any of its Subsidiaries, a license or right under or with respect to any Intellectual Property that is material to any of the businesses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2023, to the knowledge of Parent, neither Parent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Parent or any of its Subsidiaries or Parent’s or any of its Subsidiaries’ compliance with any Privacy Law. Parent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Parent and its Subsidiaries and no such consent, authorization or permission has been withdrawn in a manner that would materially impair the conduct of the businesses of Parent and its Subsidiaries. To the knowledge of Parent, all transfers of Personal Information by or on behalf of Parent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Related Party Transactions</w:t>
      </w:r>
      <w:r>
        <w:rPr>
          <w:rFonts w:ascii="Times New Roman" w:hAnsi="Times New Roman"/>
          <w:sz w:val="20"/>
        </w:rPr>
        <w:t xml:space="preserve">. Since January 1, 2024 through the date of this Agreement, there have been no transactions, agreements, arrangements or understandings between Parent or any of its Subsidiaries, on the one hand, and the Affiliates of Parent or any of its Subsidiaries, on the other hand that would be required to be disclosed under Item 404 of Regulation S-K under the Securities Act and that have not been so disclosed in the Parent SEC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Certain Payments</w:t>
      </w:r>
      <w:r>
        <w:rPr>
          <w:rFonts w:ascii="Times New Roman" w:hAnsi="Times New Roman"/>
          <w:sz w:val="20"/>
        </w:rPr>
        <w:t xml:space="preserve">. For the five (5) years immediately preceding the date hereof, neither Parent nor any of its Subsidiaries nor any of their respective directors, executives, or employees, or to the knowledge of the Parent, representatives or agents (in each case, while acting for or on behalf of Parent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FCPA, (d) has established or maintained, or is maintaining, any unlawful fund of corporate monies or other properties, or (e) has made any bribe, unlawful rebate, payoff, influence payment, kickback or other unlawful payment of any nature. Parent further represents that it has maintained systems of internal controls (including, but not limited to, accounting systems, purchasing systems and billing systems) to promote compliance with the FCPA or any applicable other anti-corruption or anti-bribery Law. To the Parent’s knowledge, neither Parent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Trade Laws</w:t>
      </w:r>
      <w:r>
        <w:rPr>
          <w:rFonts w:ascii="Times New Roman" w:hAnsi="Times New Roman"/>
          <w:sz w:val="20"/>
        </w:rPr>
        <w:t xml:space="preserve">. Neither Parent nor any of its Subsidiaries nor any of their respective directors, executives, employees, or, to the knowledge of the Parent, representatives or agents is a Sanctioned Person. Since April 24, 2019, Parent and its Subsidiaries are and have been in compliance with the Trade Laws and have obtained, satisfied the requirements of or are otherwise qualified to rely upon the Trade Approvals.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CFIUS</w:t>
      </w:r>
      <w:r>
        <w:rPr>
          <w:rFonts w:ascii="Times New Roman" w:hAnsi="Times New Roman"/>
          <w:sz w:val="20"/>
        </w:rPr>
        <w:t xml:space="preserve">. Parent is not a “foreign person” within the meaning of the Defense Production Act of 1950, as amended, including all implementing regulations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5.24 </w:t>
      </w:r>
      <w:r>
        <w:rPr>
          <w:rFonts w:ascii="Times New Roman" w:hAnsi="Times New Roman"/>
          <w:sz w:val="20"/>
          <w:u w:val="single"/>
        </w:rPr>
        <w:t>Outbound Investment</w:t>
      </w:r>
      <w:r>
        <w:rPr>
          <w:rFonts w:ascii="Times New Roman" w:hAnsi="Times New Roman"/>
          <w:sz w:val="20"/>
        </w:rPr>
        <w:t xml:space="preserve">. (a) Parent either is (i) not a “person of a country of concern”; or (ii) not engaged in any “covered activity,” as these terms are defined in the Outbound Investment Security Program. (b) Parent has no current intention of becoming a “person of a country of concern” that engages in any “covered activity.” (c) Parent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5.25 </w:t>
      </w:r>
      <w:r>
        <w:rPr>
          <w:rFonts w:ascii="Times New Roman" w:hAnsi="Times New Roman"/>
          <w:sz w:val="20"/>
          <w:u w:val="single"/>
        </w:rPr>
        <w:t>Data Security Program</w:t>
      </w:r>
      <w:r>
        <w:rPr>
          <w:rFonts w:ascii="Times New Roman" w:hAnsi="Times New Roman"/>
          <w:sz w:val="20"/>
        </w:rPr>
        <w:t xml:space="preserve">. Parent is not a “covered person” as that term is defined in the DSP. Since April 8, 2025, Parent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r>
        <w:rPr>
          <w:rFonts w:ascii="Times New Roman" w:hAnsi="Times New Roman"/>
          <w:sz w:val="20"/>
        </w:rPr>
        <w:t xml:space="preserve">Section 5.26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Leerink Partners LLC, the fees and expenses of which will be paid by Parent or any of its Subsidiaries, is entitled to any broker’s, finder’s, financial advisor’s or other similar fee or commission in connection with the transactions contemplated by this Agreement based upon arrangements made by or on behalf of Parent, any of its Subsidiaries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5.27 </w:t>
      </w:r>
      <w:r>
        <w:rPr>
          <w:rFonts w:ascii="Times New Roman" w:hAnsi="Times New Roman"/>
          <w:sz w:val="20"/>
          <w:u w:val="single"/>
        </w:rPr>
        <w:t>Opinion of Financial Advisor</w:t>
      </w:r>
      <w:r>
        <w:rPr>
          <w:rFonts w:ascii="Times New Roman" w:hAnsi="Times New Roman"/>
          <w:sz w:val="20"/>
        </w:rPr>
        <w:t xml:space="preserve">. Parent Board has received the opinion of Leerink Partners LLC, dated as of the date of this Agreement, to the effect that, as of such date and based upon and subject to the qualifications, limitations, assumptions and other matters set forth therein, the Consideration (as defined in such opinion) to be received by holders of shares of Parent Common Stock pursuant to the Agreement is fair, from a financial point of view, to such holders. It is agreed and understood that such opinion is for the benefit of the Parent Board and may not be relied upon by the Company. Parent will make available to the Company a signed true and complete copy of such opinion promptly (and in no event later than two (2) days) following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5.28 </w:t>
      </w:r>
      <w:r>
        <w:rPr>
          <w:rFonts w:ascii="Times New Roman" w:hAnsi="Times New Roman"/>
          <w:sz w:val="20"/>
          <w:u w:val="single"/>
        </w:rPr>
        <w:t>State Takeover Statutes</w:t>
      </w:r>
      <w:r>
        <w:rPr>
          <w:rFonts w:ascii="Times New Roman" w:hAnsi="Times New Roman"/>
          <w:sz w:val="20"/>
        </w:rPr>
        <w:t xml:space="preserve">. No Takeover Laws or any similar anti-takeover provision in the Certificate of Incorporation or bylaws of Parent applicable to Parent is, or at the First Effective Time will be, applicable to this Agreement, the Merger, the Parent Common Stock Issuance, or any of the other transactions contemplated hereby. The Parent Board and the board of directors or managing member, as applicable, of each Merger Sub have taken and will take all actions necessary to ensure that the restrictions applicable to business combinations contained in Section 203 of the DGCL are, and will be, inapplicable to the execution, delivery and performance of this Agreement, the Parent Support Agreements and to the consummation of the transactions contemplated by this Agreement or the Parent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5.29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its Subsidiaries, or any other Person on behalf of the Company or any of its Subsidiaries makes any representation or warranty with respect to any projections or forecasts delivered or made available to Parent, Merger Sub or any of their respective Representatives of future revenues, results of operations (or any component thereof), cash flows or financial condition (or any component thereof) of the Company (including any such projections or forecasts made available to Parent, Merger Sub or any of their respective Representatives in certain “data rooms” or management presentations in expectation of the transactions contemplated by this Agreement), and none of Parent or Merger Sub has relied on any such information or any representation or warranty not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the Company shall otherwise consent in writing (email being sufficient and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First Effective Time (the “</w:t>
      </w:r>
      <w:r>
        <w:rPr>
          <w:rFonts w:ascii="Times New Roman" w:hAnsi="Times New Roman"/>
          <w:sz w:val="20"/>
          <w:u w:val="single"/>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consistent with past practice and in material compliance with the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6.1(b)</w:t>
      </w:r>
      <w:r>
        <w:rPr>
          <w:rFonts w:ascii="Times New Roman" w:hAnsi="Times New Roman"/>
          <w:sz w:val="20"/>
        </w:rPr>
        <w:t xml:space="preserve"> of the Parent Disclosure Letter, (iii) as required by applicable Law or (iv) with the prior written consent of the Company (email being sufficient), at all times during the Pre-Closing Period, Parent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in accordance with agreements in effect on the date of this Agreement providing for the repurchase of shares at no more than the purchase price thereof in connection with any termination of services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Parent Common Stock issued upon the valid exercise or settlement of outstanding Parent Options or Parent Restricted Stock Unit Awards as applicable or upon the exercise of purchase rights under the Parent ESPP),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other than as required by applicable Law or the terms of any Parent Plan in effect as of the date of this Agreement: (A) adopt, establish or enter into any Parent Plan, including, for the avoidance of doubt, any equity award plans, (B) cause or permit any Parent Plan to be amended, other than as required by Law, (C) pay any bonus or make any profit-sharing or similar payment to (except with respect to obligations in place on the date of this Agreement pursuant to any Parent Plan), or increase the amount of the wages, salary, commissions, fringe benefits or other compensation or remuneration payable to, any of its employees, directors or consultants, (D) increase the severance or change of control, retention, or similar benefits offered to, or provide any new severance, change of control, retention or similar benefits to, any current or new employees, directors or consultants, or (E) hire, promote, or terminate (other than for cause) any officer, employee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terminate the employment of, or implement any layoff, furlough, reduction in force, job elimination or similar action affecting, any employees of Parent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Parent during the ninety (90)-day period preceding the date of such action, would reasonably be expected to trigger any notice, liability or other obligation under the WARN Act or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(viii) enter into any material transaction outside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(ix) acquire any material asset or sell, lease, license or otherwise irrevocably dispose of any of its assets or properties, or grant any Lien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(x) make (other than consistent with past practice), change or revoke any material Tax election; file any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or adopt or change any material accounting method in respect of Taxes;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Action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Parent; </w:t>
      </w:r>
    </w:p>
    <w:p>
      <w:pPr>
        <w:pStyle w:val="TextBody"/>
        <w:bidi w:val="0"/>
        <w:spacing w:before="120" w:after="0"/>
        <w:jc w:val="left"/>
        <w:rPr>
          <w:rFonts w:ascii="Times New Roman" w:hAnsi="Times New Roman"/>
          <w:sz w:val="20"/>
        </w:rPr>
      </w:pPr>
      <w:r>
        <w:rPr>
          <w:rFonts w:ascii="Times New Roman" w:hAnsi="Times New Roman"/>
          <w:sz w:val="20"/>
        </w:rPr>
        <w:t xml:space="preserve">(xv)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(xvi) sell, assign, transfer, license, sublicense or otherwise dispose of any material Intellectual Property of the Parent (other than in the ordinary course of business and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(xviii) enter into, amend, terminate, or waive any material option or right under, any Parent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(xix)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 (A) 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Parent, any of its Subsidiaries or any of their successors or (B) enter into any Contract that materially restricts Parent’s or any of its Subsidiaries’ (or any of their successors’) rights to use, transfer or otherwise process any Personal Information; or </w:t>
      </w:r>
    </w:p>
    <w:p>
      <w:pPr>
        <w:pStyle w:val="TextBody"/>
        <w:bidi w:val="0"/>
        <w:spacing w:before="120" w:after="0"/>
        <w:jc w:val="left"/>
        <w:rPr>
          <w:rFonts w:ascii="Times New Roman" w:hAnsi="Times New Roman"/>
          <w:sz w:val="20"/>
        </w:rPr>
      </w:pPr>
      <w:r>
        <w:rPr>
          <w:rFonts w:ascii="Times New Roman" w:hAnsi="Times New Roman"/>
          <w:sz w:val="20"/>
        </w:rPr>
        <w:t xml:space="preserve">(xxi)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6.1</w:t>
      </w:r>
      <w:r>
        <w:rPr>
          <w:rFonts w:ascii="Times New Roman" w:hAnsi="Times New Roman"/>
          <w:sz w:val="20"/>
        </w:rPr>
        <w:t xml:space="preserve">), Parent may declare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(d) During the Pre-Closing Period, Parent shall, and shall cause its Affiliates to, except as the Company shall otherwise consent in writing (such consent not to be unreasonably withheld, delayed or conditioned), undertake the activities to wind-down their businesses as set forth on </w:t>
      </w:r>
      <w:r>
        <w:rPr>
          <w:rFonts w:ascii="Times New Roman" w:hAnsi="Times New Roman"/>
          <w:sz w:val="20"/>
          <w:u w:val="single"/>
        </w:rPr>
        <w:t>Section 6.1(d)</w:t>
      </w:r>
      <w:r>
        <w:rPr>
          <w:rFonts w:ascii="Times New Roman" w:hAnsi="Times New Roman"/>
          <w:sz w:val="20"/>
        </w:rPr>
        <w:t xml:space="preserve"> of the Parent Disclosure Letter (the “</w:t>
      </w:r>
      <w:r>
        <w:rPr>
          <w:rFonts w:ascii="Times New Roman" w:hAnsi="Times New Roman"/>
          <w:sz w:val="20"/>
          <w:u w:val="single"/>
        </w:rPr>
        <w:t>Wind-Down Activities</w:t>
      </w:r>
      <w:r>
        <w:rPr>
          <w:rFonts w:ascii="Times New Roman" w:hAnsi="Times New Roman"/>
          <w:sz w:val="20"/>
        </w:rPr>
        <w:t xml:space="preserve">”) as promptly as practicable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Operation of Company’s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(including actions in connection with the Concurrent Investment), as required by applicable Law or unless Parent shall otherwise consent in writing (email being sufficient and which consent shall not be unreasonably withheld, delayed or conditioned), during the Pre-Closing Period, the Company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Material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6.2(a)</w:t>
      </w:r>
      <w:r>
        <w:rPr>
          <w:rFonts w:ascii="Times New Roman" w:hAnsi="Times New Roman"/>
          <w:sz w:val="20"/>
        </w:rPr>
        <w:t xml:space="preserve"> of the Company Disclosure Letter, (iii) as required by applicable Law or (iv) with the prior written consent of Parent (email being sufficient and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Company Common Stock from terminated employees, directors or consultants of the Company in accordance with agreements in effect on the date of this Agreement providing for the repurchase of shares at no more than the purchase price thereof in connection with any termination of services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grants of Company Options under the Company Equity Plan made in the ordinary course of business, sell, issue, grant, pledge or otherwise dispose of or encumber or authorize the issuance of: (A) any capital stock or other security (except for Company Common Stock issued upon the valid exercise or settlement of outstanding Company Options or the valid exercise of outstanding Company Warrants),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for an amount not in excess of $50,000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(vi) terminate (other than for cause) any named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Lien with respect to such assets or properties, in each case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waive, settle or compromise any pending or threatened Action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enter into any agreement to purchase or sell any interest in real property, grant any security interest in any real property, or alter, amend, modify, exercise any extension or expansion right under or violate or terminate any of the terms of any real property leases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(xiv) sell, assign, transfer, license, sublicense or otherwise dispose of any material Intellectual Property of the Company (other than in the ordinary course of business and consistent with past practice);terminate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enter into, terminate or amend a Material Contract that would reasonably be expected to prevent or impede, interfere with, hinder or delay the consummation of the transactions contemplated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advance written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Entity in connection with the transactions contemplated hereby. Any investigation conducted by either Parent or the Company pursuant to this </w:t>
      </w:r>
      <w:r>
        <w:rPr>
          <w:rFonts w:ascii="Times New Roman" w:hAnsi="Times New Roman"/>
          <w:sz w:val="20"/>
          <w:u w:val="single"/>
        </w:rPr>
        <w:t>Section 6.3(a)</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6.3(b)</w:t>
      </w:r>
      <w:r>
        <w:rPr>
          <w:rFonts w:ascii="Times New Roman" w:hAnsi="Times New Roman"/>
          <w:sz w:val="20"/>
        </w:rPr>
        <w:t xml:space="preserve">, no access or examination contemplated by this </w:t>
      </w:r>
      <w:r>
        <w:rPr>
          <w:rFonts w:ascii="Times New Roman" w:hAnsi="Times New Roman"/>
          <w:sz w:val="20"/>
          <w:u w:val="single"/>
        </w:rPr>
        <w:t>Section 6.3(b)</w:t>
      </w:r>
      <w:r>
        <w:rPr>
          <w:rFonts w:ascii="Times New Roman" w:hAnsi="Times New Roman"/>
          <w:sz w:val="20"/>
        </w:rPr>
        <w:t xml:space="preserve"> shall be permitted to the extent that it would require any party or its Subsidiaries (i) to waive the attorney-client privilege or attorney work product privilege, (ii) violate any applicable Law or (iii) breach such party’s confidentiality obligations to a third party; </w:t>
      </w:r>
      <w:r>
        <w:rPr>
          <w:rFonts w:ascii="Times New Roman" w:hAnsi="Times New Roman"/>
          <w:sz w:val="20"/>
          <w:u w:val="single"/>
        </w:rPr>
        <w:t>provided</w:t>
      </w:r>
      <w:r>
        <w:rPr>
          <w:rFonts w:ascii="Times New Roman" w:hAnsi="Times New Roman"/>
          <w:sz w:val="20"/>
        </w:rPr>
        <w:t xml:space="preserve">, that such party or its Subsidiary (A) shall be entitled to withhold only such information that may not be provided without causing such violation or waiver, (B) shall provide to the other party all related information that may be provided without causing such violation or waiver (including, to the extent permitted, redacted versions of any such information), (C) shall enter into such effective and appropriate joint-defense agreements or other protective arrangements as may be reasonably requested by the other party in order that all such information may be provide to the other party without causing such violation or waiver, and (D) in the case of subsection (iii) above, upon the other party’s reasonable request, such party shall use its reasonable efforts to obtain such third party’s consent to permit such other party access to such information, subject to appropriate confidentiality protections. In addition, no access or examination contemplated by this </w:t>
      </w:r>
      <w:r>
        <w:rPr>
          <w:rFonts w:ascii="Times New Roman" w:hAnsi="Times New Roman"/>
          <w:sz w:val="20"/>
          <w:u w:val="single"/>
        </w:rPr>
        <w:t>Section 6.3</w:t>
      </w:r>
      <w:r>
        <w:rPr>
          <w:rFonts w:ascii="Times New Roman" w:hAnsi="Times New Roman"/>
          <w:sz w:val="20"/>
        </w:rPr>
        <w:t xml:space="preserve"> shall be permitted to the extent that it would require any party or its Subsidiaries, except as otherwise expressly required by this Agreement, to provide information to the other party that relates to (1) the negotiation of this Agreement, (2) the amount of the Merger Consideration or the valuation of the other party in connection with this Agreement, the transactions contemplated hereby or any other financial or strategic alternatives considered by the board of directors of the other party, (3) any Acquisition Proposal (other than as may be required pursuant to </w:t>
      </w:r>
      <w:r>
        <w:rPr>
          <w:rFonts w:ascii="Times New Roman" w:hAnsi="Times New Roman"/>
          <w:sz w:val="20"/>
          <w:u w:val="single"/>
        </w:rPr>
        <w:t>Section 6.4(d)</w:t>
      </w:r>
      <w:r>
        <w:rPr>
          <w:rFonts w:ascii="Times New Roman" w:hAnsi="Times New Roman"/>
          <w:sz w:val="20"/>
        </w:rPr>
        <w:t xml:space="preserve">), (4) any process a party has conducted with any financial advisor or other communications with any Persons in connection therewith prior to the date hereof, or (5) any disputes between a party hereto or any of its Affiliates and another party hereto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(v) execute or enter into any letter of intent or any Contract contemplating or otherwise relating to any Acquisition Transaction or (vi) publicly propose to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6.4</w:t>
      </w:r>
      <w:r>
        <w:rPr>
          <w:rFonts w:ascii="Times New Roman" w:hAnsi="Times New Roman"/>
          <w:sz w:val="20"/>
        </w:rPr>
        <w:t xml:space="preserve"> shall prohibit a party or its Representatives from engaging in ordinary course business discussions with, or responding to inquiries from, any Person, so long as such discussions or responses do not relate to an Acquisition Proposal or Acquisition Inquiry or are not otherwise in breach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Parent Stockholder Approval,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its financial advisors and outside legal counsel, constitutes, or is reasonably likely to result in, a Superior Offer (and is not withdrawn) if: (A) neither Parent nor any Representative of Parent shall have breached this </w:t>
      </w:r>
      <w:r>
        <w:rPr>
          <w:rFonts w:ascii="Times New Roman" w:hAnsi="Times New Roman"/>
          <w:sz w:val="20"/>
          <w:u w:val="single"/>
        </w:rPr>
        <w:t>Section 6.4</w:t>
      </w:r>
      <w:r>
        <w:rPr>
          <w:rFonts w:ascii="Times New Roman" w:hAnsi="Times New Roman"/>
          <w:sz w:val="20"/>
        </w:rPr>
        <w:t xml:space="preserve">, (B) the Parent Board concludes in good faith, after consulting with outside counsel, that the failure to take such action would reasonably be expected to be inconsistent with the Parent Board’s fiduciary duties under applicable Law, (C) at least one (1) Business Day prior to initially furnishing any such nonpublic information to, or enter into discussions with, such Person, (D) Parent receives from such Person an executed Acceptable Confidentiality Agreement and (E) at least one (1) Business Day prior to furnishing any such nonpublic information to such Person, Parent furnishes such nonpublic information to the Company (to the extent such information has not been previously furnished by Parent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Company Stockholder Approval, the Company may furnish nonpublic information regarding the Company and its Subsidiaries to, and enter into discussions or negotiations with, any Person in response to a bona fide written Acquisition Proposal by such Person which the Company Board determines in good faith, after consultation with its financial advisors and outside legal counsel, constitutes, or is reasonably likely to result in, a Superior Offer (and is not withdrawn) if: (A) neither the Company nor any Representative of the Company shall have breached this </w:t>
      </w:r>
      <w:r>
        <w:rPr>
          <w:rFonts w:ascii="Times New Roman" w:hAnsi="Times New Roman"/>
          <w:sz w:val="20"/>
          <w:u w:val="single"/>
        </w:rPr>
        <w:t>Section 6.4</w:t>
      </w:r>
      <w:r>
        <w:rPr>
          <w:rFonts w:ascii="Times New Roman" w:hAnsi="Times New Roman"/>
          <w:sz w:val="20"/>
        </w:rPr>
        <w:t xml:space="preserve">, (B) the Company Board concludes in good faith, after consulting with outside counsel, that the failure to take such action would reasonably be expected to be inconsistent with the Company Board’s fiduciary duties under applicable Law, (C) at least one (1) Business Day prior to initially furnishing any such nonpublic information to, or enter into discussions with, such Person, (D) the Company receives from such Person an executed Acceptable Confidentiality Agreement and (E) at least one (1) Business Day prior to furnishing any such nonpublic information to such Person, the Company furnishes such nonpublic information to Parent (to the extent such information has not been previously furnished by the Company to Parent). </w:t>
      </w:r>
    </w:p>
    <w:p>
      <w:pPr>
        <w:pStyle w:val="TextBody"/>
        <w:bidi w:val="0"/>
        <w:spacing w:before="120" w:after="0"/>
        <w:jc w:val="left"/>
        <w:rPr>
          <w:rFonts w:ascii="Times New Roman" w:hAnsi="Times New Roman"/>
          <w:sz w:val="20"/>
        </w:rPr>
      </w:pPr>
      <w:r>
        <w:rPr>
          <w:rFonts w:ascii="Times New Roman" w:hAnsi="Times New Roman"/>
          <w:sz w:val="20"/>
        </w:rPr>
        <w:t xml:space="preserve">(d)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 xml:space="preserve">Section 6.4 </w:t>
      </w:r>
      <w:r>
        <w:rPr>
          <w:rFonts w:ascii="Times New Roman" w:hAnsi="Times New Roman"/>
          <w:sz w:val="20"/>
        </w:rPr>
        <w:t xml:space="preserve">by such party, the taking of such action by such Representative shall be deemed to constitute a breach of this </w:t>
      </w:r>
      <w:r>
        <w:rPr>
          <w:rFonts w:ascii="Times New Roman" w:hAnsi="Times New Roman"/>
          <w:sz w:val="20"/>
          <w:u w:val="single"/>
        </w:rPr>
        <w:t xml:space="preserve">Section 6.4 </w:t>
      </w:r>
      <w:r>
        <w:rPr>
          <w:rFonts w:ascii="Times New Roman" w:hAnsi="Times New Roman"/>
          <w:sz w:val="20"/>
        </w:rPr>
        <w:t xml:space="preserve">by such party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 (and in no event later than 24 hours).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transactions contemplated hereby, (b) any Action against or involving or otherwise affecting such party or its Subsidiaries is commenced, or, to the knowledge of such party, threatened against such party or, to the knowledge of such party, any director, officer or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Article VIII</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or Parent in this Agreement or (y) determining whether any condition set forth in </w:t>
      </w:r>
      <w:r>
        <w:rPr>
          <w:rFonts w:ascii="Times New Roman" w:hAnsi="Times New Roman"/>
          <w:sz w:val="20"/>
          <w:u w:val="single"/>
        </w:rPr>
        <w:t>Article VIII</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6.5</w:t>
      </w:r>
      <w:r>
        <w:rPr>
          <w:rFonts w:ascii="Times New Roman" w:hAnsi="Times New Roman"/>
          <w:sz w:val="20"/>
        </w:rPr>
        <w:t xml:space="preserve"> shall not be deemed to be a breach for purposes of </w:t>
      </w:r>
      <w:r>
        <w:rPr>
          <w:rFonts w:ascii="Times New Roman" w:hAnsi="Times New Roman"/>
          <w:sz w:val="20"/>
          <w:u w:val="single"/>
        </w:rPr>
        <w:t>Section 8.2(b)</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Parent Options</w:t>
      </w:r>
      <w:r>
        <w:rPr>
          <w:rFonts w:ascii="Times New Roman" w:hAnsi="Times New Roman"/>
          <w:sz w:val="20"/>
        </w:rPr>
        <w:t xml:space="preserve">. Prior to the Closing Date, the Parent Board shall have adopted appropriate resolutions and taken all other actions necessary and appropriate to provide that (i) the vesting and exercisability of each outstanding and unexpired, unexercised and unvested Parent Option shall be accelerated in full and (ii) all outstanding Parent OTM Options shall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Parent Restricted Stock Unit Awards</w:t>
      </w:r>
      <w:r>
        <w:rPr>
          <w:rFonts w:ascii="Times New Roman" w:hAnsi="Times New Roman"/>
          <w:sz w:val="20"/>
        </w:rPr>
        <w:t xml:space="preserve">. Prior to the Closing Date, the Parent Board shall have adopted appropriate resolutions and taken all other actions necessary and appropriate to provide that (a) the vesting of each outstanding and unvested Parent Restricted Stock Unit Award shall be accelerated in full effective as of immediately prior to the First Effective Time, contingent on the occurrence of the Closing and (b) for each outstanding and unsettled Parent Restricted Stock Unit Award, the holder thereof shall receive, immediately prior to the First Effective Time, a number of shares of Parent Common Stock equal to the number of vested and unsettled shares of Parent Common Stock underlying such Parent Restricted Stock Unit Award. Notwithstanding anything herein to the contrary, the Tax withholding obligations for each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receiving shares of Parent Common Stock in accordance with the preceding sentence shall be satisfied by Parent withholding from issuance that number of shares of Parent Common Stock calculated by multiplying the maximum statutory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(or, if applicable, any committee thereof administering the Parent ESPP) shall adopt appropriate resolutions to provide that (a) no additional offering periods or purchase periods shall be commenced following or in addition to the offering period underway as of the date hereof under the Parent ESPP (the “</w:t>
      </w:r>
      <w:r>
        <w:rPr>
          <w:rFonts w:ascii="Times New Roman" w:hAnsi="Times New Roman"/>
          <w:sz w:val="20"/>
          <w:u w:val="single"/>
        </w:rPr>
        <w:t>Current Offering Period</w:t>
      </w:r>
      <w:r>
        <w:rPr>
          <w:rFonts w:ascii="Times New Roman" w:hAnsi="Times New Roman"/>
          <w:sz w:val="20"/>
        </w:rPr>
        <w:t xml:space="preserve">”), (b) no payroll deductions or other contributions shall be made or effected after the Current Offering Period with respect to the Parent ESPP after the date of such resolutions, and (c) the Current Offering Period shall be terminated and each Parent ESPP participant’s accumulated contributions under the Parent ESPP shall be returned to the participant in accordance with the terms of the Parent ESPP.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Parent 401(k) Plan</w:t>
      </w:r>
      <w:r>
        <w:rPr>
          <w:rFonts w:ascii="Times New Roman" w:hAnsi="Times New Roman"/>
          <w:sz w:val="20"/>
        </w:rPr>
        <w:t>. Unless otherwise requested by the Company in writing at least ten (10) Business Days prior to the Closing Date, the Parent Board or an authorized committee thereof shall take (or cause to be taken) all actions to adopt such resolutions as may be necessary or appropriate to terminate, effective no later than the day prior to the Closing Date but subject to the Closing, any Parent Plan that contains a cash or deferred arrangement intended to qualify under Section 401(k) of the Code (a “</w:t>
      </w:r>
      <w:r>
        <w:rPr>
          <w:rFonts w:ascii="Times New Roman" w:hAnsi="Times New Roman"/>
          <w:sz w:val="20"/>
          <w:u w:val="single"/>
        </w:rPr>
        <w:t>Parent 401(k) Plan</w:t>
      </w:r>
      <w:r>
        <w:rPr>
          <w:rFonts w:ascii="Times New Roman" w:hAnsi="Times New Roman"/>
          <w:sz w:val="20"/>
        </w:rPr>
        <w:t xml:space="preserve">”). If Parent is required to terminate any Parent 401(k) Plan, then Parent shall provide to the Company prior to the Closing Date written evidence of the adoption by the Parent Board or an authorized committee thereof of resolutions authorizing the termination of such Parent 401(k) Plan (the form and substance of which shall be subject to the reasonable prior review and approval of the Company, not to be unreasonably withheld, conditioned or delayed).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practicable (but in any event, no later than fifteen (15) Business Days after the date of this Agreement), (i) Parent shall prepare, and file with the SEC a proxy statement relating to the Parent Stockholders Meeting to be held in connection with the Merger (together with any amendments thereof or supplements thereto, the “</w:t>
      </w:r>
      <w:r>
        <w:rPr>
          <w:rFonts w:ascii="Times New Roman" w:hAnsi="Times New Roman"/>
          <w:sz w:val="20"/>
          <w:u w:val="single"/>
        </w:rPr>
        <w:t>Proxy Statement</w:t>
      </w:r>
      <w:r>
        <w:rPr>
          <w:rFonts w:ascii="Times New Roman" w:hAnsi="Times New Roman"/>
          <w:sz w:val="20"/>
        </w:rPr>
        <w:t>”) and (ii) Parent, in cooperation with the Company, shall prepare and file with the SEC a registration statement on Form S-4 (the “</w:t>
      </w:r>
      <w:r>
        <w:rPr>
          <w:rFonts w:ascii="Times New Roman" w:hAnsi="Times New Roman"/>
          <w:sz w:val="20"/>
          <w:u w:val="single"/>
        </w:rPr>
        <w:t>Form S-4</w:t>
      </w:r>
      <w:r>
        <w:rPr>
          <w:rFonts w:ascii="Times New Roman" w:hAnsi="Times New Roman"/>
          <w:sz w:val="20"/>
        </w:rPr>
        <w:t>”), in which the Proxy Statement shall be included as a part (the Proxy Statement and the Form S-4, collectively, the “</w:t>
      </w:r>
      <w:r>
        <w:rPr>
          <w:rFonts w:ascii="Times New Roman" w:hAnsi="Times New Roman"/>
          <w:sz w:val="20"/>
          <w:u w:val="single"/>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the Assumed Warrants) to be issued by virtue of the Merger, other than any shares of Parent Common Stock which are not permitted to be registered on Form S-4 pursuant to applicable Law. Parent shall use its reasonable best efforts to (i) cause the Registration Statement to comply with the applicable rules and regulations promulgated by the SEC, (ii) cause the Registration Statement to become effective as promptly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practicable, and (iii) respond promptly to any comments or requests of the SEC or its staff relating to the Registration Statement. Parent shall take all or any action required under any applicable federal, state, securities and other Laws in connection with the issuance of shares of Parent Common Stock pursuant to the Merger (including any Parent Common Stock issuable upon exercise of the Assumed Warrants).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to Parent for inclusion in the Registration Statement (including the Company Interim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regarding such other party or its Affiliates for inclusion therein. </w:t>
      </w:r>
    </w:p>
    <w:p>
      <w:pPr>
        <w:pStyle w:val="TextBody"/>
        <w:bidi w:val="0"/>
        <w:spacing w:before="12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before the Effective Time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the Parent stockholders) or otherwise addressing such SEC request or comments and each party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issuance in connection with the Merger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reasonably cooperate with Parent and provide, and cause its Representatives to provide, Parent and its Representatives, with all true, correct and complete information regarding the Company and its Subsidiaries that is required by law to be included in the Registration Statement or reasonably requested by Parent to be included in the Registration Statement. Without limiting the Company’s obligations in </w:t>
      </w:r>
      <w:r>
        <w:rPr>
          <w:rFonts w:ascii="Times New Roman" w:hAnsi="Times New Roman"/>
          <w:sz w:val="20"/>
          <w:u w:val="single"/>
        </w:rPr>
        <w:t>Section 7.1(a)</w:t>
      </w:r>
      <w:r>
        <w:rPr>
          <w:rFonts w:ascii="Times New Roman" w:hAnsi="Times New Roman"/>
          <w:sz w:val="20"/>
        </w:rPr>
        <w:t xml:space="preserve">, the Company will use commercially reasonable efforts to cause to be delivered to Parent a letter of the Company’s independent accounting firm,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the Company, which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(g) As promptly as reasonably practicable following the date of this Agreement (but in any event, no later than fifteen (15) Business Days after the date of this Agreement), the Company will furnish to Parent draft audited financial statements (which shall be final in every respect except for the auditor’s signature in the audit opinion which shall only be included upon filing of the Form S-4 as provided above) for each of its fiscal years required to be included in the Registration Statement (the “</w:t>
      </w:r>
      <w:r>
        <w:rPr>
          <w:rFonts w:ascii="Times New Roman" w:hAnsi="Times New Roman"/>
          <w:sz w:val="20"/>
          <w:u w:val="single"/>
        </w:rPr>
        <w:t>Company Audited Financial Statements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following the date of this Agreement, the Company will furnish to Parent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Company Audited Financial Statements will be prepared in accordance with GAAP as applied on a consistent basis during the periods involved (except in each case as described in the notes thereto and except, in the case of any unaudited financial statements, to normal year-end audit adjustments)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the Company shall solicit for approval the Company Stockholder Approval. Under no circumstances shall the Company assert that any other approval or consent is necessary by its stockholders to approve this Agreement and the transactions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Reasonably promptly following receipt of the Company Stockholder Approval, the Company shall prepare and mail the Registration Statement (or a portion thereof) constituting a notice of the transactions contemplated hereby and of the Company Stockholder Approval) to each stockholder of the Company that did not execute the Company Stockholder Approval (the “</w:t>
      </w:r>
      <w:r>
        <w:rPr>
          <w:rFonts w:ascii="Times New Roman" w:hAnsi="Times New Roman"/>
          <w:sz w:val="20"/>
          <w:u w:val="single"/>
        </w:rPr>
        <w:t>Stockholder Notice</w:t>
      </w:r>
      <w:r>
        <w:rPr>
          <w:rFonts w:ascii="Times New Roman" w:hAnsi="Times New Roman"/>
          <w:sz w:val="20"/>
        </w:rPr>
        <w:t xml:space="preserve">”).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transactions contemplated hereby and (ii) provide the stockholders of the Company to whom it is sent with notice of the availability of appraisal rights and notice of the actions taken in the Company Stockholder Approval, including the adoption and approval of this Agreement, the Merger and the other transactions contemplated hereby in accordance with Sections 228(e) and 262 of the DGCL and the organizational documents of the Company. All materials (including any amendments thereto) submitted to the stockholders of the Company in accordance with this </w:t>
      </w:r>
      <w:r>
        <w:rPr>
          <w:rFonts w:ascii="Times New Roman" w:hAnsi="Times New Roman"/>
          <w:sz w:val="20"/>
          <w:u w:val="single"/>
        </w:rPr>
        <w:t>Section 7.2(b)</w:t>
      </w:r>
      <w:r>
        <w:rPr>
          <w:rFonts w:ascii="Times New Roman" w:hAnsi="Times New Roman"/>
          <w:sz w:val="20"/>
        </w:rPr>
        <w:t xml:space="preserve"> shall be subject to Parent’s advanced review and reasonable approval.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transactions contemplated hereby and shall use commercially reasonable efforts to solicit such approval within the time set forth in </w:t>
      </w:r>
      <w:r>
        <w:rPr>
          <w:rFonts w:ascii="Times New Roman" w:hAnsi="Times New Roman"/>
          <w:sz w:val="20"/>
          <w:u w:val="single"/>
        </w:rPr>
        <w:t>Section 7.2(a)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sz w:val="20"/>
          <w:u w:val="single"/>
        </w:rPr>
        <w:t>Company Board Recommendation</w:t>
      </w:r>
      <w:r>
        <w:rPr>
          <w:rFonts w:ascii="Times New Roman" w:hAnsi="Times New Roman"/>
          <w:sz w:val="20"/>
        </w:rPr>
        <w:t>”) and (ii) subject to Section 7.2(d),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adopt, approve or recommend) any Acquisition Proposal shall be adopted or proposed (the actions set forth in this clause (ii), collectively, a “</w:t>
      </w:r>
      <w:r>
        <w:rPr>
          <w:rFonts w:ascii="Times New Roman" w:hAnsi="Times New Roman"/>
          <w:sz w:val="20"/>
          <w:u w:val="single"/>
        </w:rPr>
        <w:t>Company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7.2(c)</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this </w:t>
      </w:r>
      <w:r>
        <w:rPr>
          <w:rFonts w:ascii="Times New Roman" w:hAnsi="Times New Roman"/>
          <w:sz w:val="20"/>
          <w:u w:val="single"/>
        </w:rPr>
        <w:t>Section 7.2</w:t>
      </w:r>
      <w:r>
        <w:rPr>
          <w:rFonts w:ascii="Times New Roman" w:hAnsi="Times New Roman"/>
          <w:sz w:val="20"/>
        </w:rPr>
        <w:t xml:space="preserve">, at any time prior to obtaining the Company Stockholder Approval, (i) if the Company receives a bona fide written Superior Offer or (ii) as a result of a Company Intervening Event, the Company Board may make a Company Board Adverse Recommendation Change if, but only if (i) in the case of a Superior Offer, following the receipt of and on account of such Superior Offer, (1) the Company Board determines in good faith, after consulting with outside legal counsel, that the failure to withhold, amend, withdraw or modify such recommendation would reasonably be expected to be inconsistent with its fiduciary duties under applicable Law, (2) the Company has, and has caused its financial advisors and outside legal counsel to, during the Company Notice Period, negotiate with Parent in good faith to make such adjustments to the terms and conditions of this Agreement so that such Acquisition Proposal ceases to constitute a Superior Offer (to the extent Parent desires to negotiate) and (3) if after Parent shall have delivered to the Company an irrevocable written offer to alter the terms or conditions of this Agreement during the Company Notice Period, the Company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sz w:val="20"/>
          <w:u w:val="single"/>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the Company’s stockholders would receive as a result of such potential Superior Offer), the Company shall be required to provide Parent with notice of such material amendment and the Company Notice Period shall be extended, if applicable, to ensure that at least two (2) Business Days remain in the Company Notice Period following such notification during which the parties shall comply again with the requirements of this </w:t>
      </w:r>
      <w:r>
        <w:rPr>
          <w:rFonts w:ascii="Times New Roman" w:hAnsi="Times New Roman"/>
          <w:sz w:val="20"/>
          <w:u w:val="single"/>
        </w:rPr>
        <w:t>Section 7.2(d)</w:t>
      </w:r>
      <w:r>
        <w:rPr>
          <w:rFonts w:ascii="Times New Roman" w:hAnsi="Times New Roman"/>
          <w:sz w:val="20"/>
        </w:rPr>
        <w:t xml:space="preserve"> and the Company Board shall not make a Company Board Adverse Recommendation Change prior to the end of such Company Notice Period as so extended (it being understood that there may be multiple extensions) or (ii) in the case of a Company Intervening Event, following the receipt of and on account of such Company Intervening Event, (1) the Company Board determines in good faith, after consulting with outside legal counsel, that the failure to make a Company Board Adverse Recommendation Change would reasonably be expected to be inconsistent with its fiduciary duties under applicable Law, and (2) the Company promptly notifies Parent, in writing, at least four (4) Business Days before making a Company Board Adverse Recommendation Change in respect of such Company Intervening Event (which four (4) Business Day period shall be subject to extension on the same basis as the Company Notice Period in the case of a Superior Offer, mutatis mutandis), which notice shall state expressly the material facts and circumstances related to the applicable Company Intervening Event and that the Company Board intends to make a Company Board Adverse Recommendation Change, and (3) during such notice period, the Company shall, and shall cause its Representatives to, negotiate with Parent in good faith (to the extent Parent desires to negotiate) regarding any adjustments to the terms of this Agreement proposed by Parent in response to such Company Intervening Event, on terms and mechanics reciprocal to those set forth in </w:t>
      </w:r>
      <w:r>
        <w:rPr>
          <w:rFonts w:ascii="Times New Roman" w:hAnsi="Times New Roman"/>
          <w:sz w:val="20"/>
          <w:u w:val="single"/>
        </w:rPr>
        <w:t>Section 7.3(c)</w:t>
      </w:r>
      <w:r>
        <w:rPr>
          <w:rFonts w:ascii="Times New Roman" w:hAnsi="Times New Roman"/>
          <w:sz w:val="20"/>
        </w:rPr>
        <w:t xml:space="preserve"> with respect to a Parent Intervening Event.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Parent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(the “</w:t>
      </w:r>
      <w:r>
        <w:rPr>
          <w:rFonts w:ascii="Times New Roman" w:hAnsi="Times New Roman"/>
          <w:sz w:val="20"/>
          <w:u w:val="single"/>
        </w:rPr>
        <w:t>Parent Stockholder Meeting</w:t>
      </w:r>
      <w:r>
        <w:rPr>
          <w:rFonts w:ascii="Times New Roman" w:hAnsi="Times New Roman"/>
          <w:sz w:val="20"/>
        </w:rPr>
        <w:t>”) to present one or more proposals to the stockholders in order to obtain the Parent Stockholder Approval (the “</w:t>
      </w:r>
      <w:r>
        <w:rPr>
          <w:rFonts w:ascii="Times New Roman" w:hAnsi="Times New Roman"/>
          <w:sz w:val="20"/>
          <w:u w:val="single"/>
        </w:rPr>
        <w:t>Parent Stockholder Proposals</w:t>
      </w:r>
      <w:r>
        <w:rPr>
          <w:rFonts w:ascii="Times New Roman" w:hAnsi="Times New Roman"/>
          <w:sz w:val="20"/>
        </w:rPr>
        <w:t xml:space="preserve">”). The Parent Stockholder Meeting shall be held as promptly as practicable after the Registration Statement is declared effective under the Securities Act, and in any event no later than forty-five (45) days after the effective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Approval,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by more than an aggregate of thirty (30) days in connection with any postponements or adjournments. If the Final Parent Net Cash has not been determined in accordance with and pursuant to </w:t>
      </w:r>
      <w:r>
        <w:rPr>
          <w:rFonts w:ascii="Times New Roman" w:hAnsi="Times New Roman"/>
          <w:sz w:val="20"/>
          <w:u w:val="single"/>
        </w:rPr>
        <w:t>Section 3.6</w:t>
      </w:r>
      <w:r>
        <w:rPr>
          <w:rFonts w:ascii="Times New Roman" w:hAnsi="Times New Roman"/>
          <w:sz w:val="20"/>
        </w:rPr>
        <w:t xml:space="preserve"> prior to the date on which the Parent Stockholder Meeting is scheduled, Parent will postpone or adjourn, or make one or more successive postponements or adjournments of,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single postponement or adjournment pursuant to this sentence shall not exceed five (5) Business Days, and (y) the date of the Parent Stockholder Meeting shall not be postponed or adjourned by more than an aggregate of thirty (30) calendar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Parent Stockholder Meeting be postponed or adjourned to a date that is later than the fifth (5th) Business Day prior to the End Date. </w:t>
      </w:r>
    </w:p>
    <w:p>
      <w:pPr>
        <w:pStyle w:val="TextBody"/>
        <w:bidi w:val="0"/>
        <w:spacing w:before="120" w:after="0"/>
        <w:jc w:val="left"/>
        <w:rPr>
          <w:rFonts w:ascii="Times New Roman" w:hAnsi="Times New Roman"/>
          <w:sz w:val="20"/>
        </w:rPr>
      </w:pPr>
      <w:r>
        <w:rPr>
          <w:rFonts w:ascii="Times New Roman" w:hAnsi="Times New Roman"/>
          <w:sz w:val="20"/>
        </w:rPr>
        <w:t xml:space="preserve">(b) Parent agrees that, subject to </w:t>
      </w:r>
      <w:r>
        <w:rPr>
          <w:rFonts w:ascii="Times New Roman" w:hAnsi="Times New Roman"/>
          <w:sz w:val="20"/>
          <w:u w:val="single"/>
        </w:rPr>
        <w:t>Section 7.3(c)</w:t>
      </w:r>
      <w:r>
        <w:rPr>
          <w:rFonts w:ascii="Times New Roman" w:hAnsi="Times New Roman"/>
          <w:sz w:val="20"/>
        </w:rPr>
        <w:t xml:space="preserve">, (i) the Parent Board shall recommend that the holders of Parent Common Stock vote to approve the Parent Stockholder Proposals and shall use commercially reasonable efforts to solicit such approval within the timeframe set forth in </w:t>
      </w:r>
      <w:r>
        <w:rPr>
          <w:rFonts w:ascii="Times New Roman" w:hAnsi="Times New Roman"/>
          <w:sz w:val="20"/>
          <w:u w:val="single"/>
        </w:rPr>
        <w:t>Section 7.3(a)</w:t>
      </w:r>
      <w:r>
        <w:rPr>
          <w:rFonts w:ascii="Times New Roman" w:hAnsi="Times New Roman"/>
          <w:sz w:val="20"/>
        </w:rPr>
        <w:t xml:space="preserve"> above and (ii) the Proxy Statement shall include a statement to the effect that the Parent Board recommends that Parent’s stockholders vote to approve the Parent Stockholder Proposal (the recommendation of the Parent Board being referred to as the “</w:t>
      </w:r>
      <w:r>
        <w:rPr>
          <w:rFonts w:ascii="Times New Roman" w:hAnsi="Times New Roman"/>
          <w:sz w:val="20"/>
          <w:u w:val="single"/>
        </w:rPr>
        <w:t>Parent Board Recommendation</w:t>
      </w:r>
      <w:r>
        <w:rPr>
          <w:rFonts w:ascii="Times New Roman" w:hAnsi="Times New Roman"/>
          <w:sz w:val="20"/>
        </w:rPr>
        <w:t>”) and (iii) the Parent Board Recommendation shall not be withheld, amended, withdrawn or modified (and the Parent Board shall not publicly propose to withhold, amend, withdraw or modify the Parent Board Recommendation) in a manner adverse to the Company, and no resolution by the Parent Board or any committee thereof to withdraw or modify the Parent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hAnsi="Times New Roman"/>
          <w:sz w:val="20"/>
          <w:u w:val="single"/>
        </w:rPr>
        <w:t>Parent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7.3(b)</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at any time prior to the approval of the Parent Stockholder Proposal by the Parent Stockholder Approval, (i) if Parent receives a bona fide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Parent meets or exceeds internal budgets, plans or forecasts of its revenues, earnings or other financial performance or results of operations) that affects the business, assets or operations of Parent that occurs or arises after the date of this Agreement (a “</w:t>
      </w:r>
      <w:r>
        <w:rPr>
          <w:rFonts w:ascii="Times New Roman" w:hAnsi="Times New Roman"/>
          <w:sz w:val="20"/>
          <w:u w:val="single"/>
        </w:rPr>
        <w:t>Parent Intervening Event</w:t>
      </w:r>
      <w:r>
        <w:rPr>
          <w:rFonts w:ascii="Times New Roman" w:hAnsi="Times New Roman"/>
          <w:sz w:val="20"/>
        </w:rPr>
        <w:t xml:space="preserve">”), the Parent Board may make a Parent Board Adverse Recommendation Change if, but only if (i) in the case of a Superior Offer, following the receipt of and on account of such Superior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 (1) the Parent Board determines in good faith, after consulting with outside legal counsel, that the failure to withhold, amend, withdraw or modify such recommendation would reasonably be expected to be inconsistent with its fiduciary duties under applicable Law, (2) Parent has, and has caused its financial advisors and outside legal counsel to, during the Parent Notice Period, negotiate with the Company in good faith to make such adjustments to the terms and conditions of this Agreement so that such Acquisition Proposal ceases to constitute a Superior Offer (to the extent the Company desires to negotiate) and (3) if after the Company shall have delivered to Parent an irrevocable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sz w:val="20"/>
          <w:u w:val="single"/>
        </w:rPr>
        <w:t>Parent Notice Period</w:t>
      </w:r>
      <w:r>
        <w:rPr>
          <w:rFonts w:ascii="Times New Roman" w:hAnsi="Times New Roman"/>
          <w:sz w:val="20"/>
        </w:rPr>
        <w:t xml:space="preserve">” ),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Parent’s stockholders would receive as a result of such potential Superior Offer), Parent shall be required to provide the Company with notice of such material amendment and the Parent Notice Period shall be extended, if applicable, to ensure that at least two (2) Business Days remain in the Parent Notice Period following such notification during which the parties shall comply again with the requirements of this </w:t>
      </w:r>
      <w:r>
        <w:rPr>
          <w:rFonts w:ascii="Times New Roman" w:hAnsi="Times New Roman"/>
          <w:sz w:val="20"/>
          <w:u w:val="single"/>
        </w:rPr>
        <w:t>Section 7.3(c)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(ii)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(d) Unless this Agreement is validly terminated pursuant to </w:t>
      </w:r>
      <w:r>
        <w:rPr>
          <w:rFonts w:ascii="Times New Roman" w:hAnsi="Times New Roman"/>
          <w:sz w:val="20"/>
          <w:u w:val="single"/>
        </w:rPr>
        <w:t>Section 9.1(j)</w:t>
      </w:r>
      <w:r>
        <w:rPr>
          <w:rFonts w:ascii="Times New Roman" w:hAnsi="Times New Roman"/>
          <w:sz w:val="20"/>
        </w:rPr>
        <w:t xml:space="preserve">, Parent’s obligation to call, give notice of and hold the Parent Stockholder Meeting in accordance with </w:t>
      </w:r>
      <w:r>
        <w:rPr>
          <w:rFonts w:ascii="Times New Roman" w:hAnsi="Times New Roman"/>
          <w:sz w:val="20"/>
          <w:u w:val="single"/>
        </w:rPr>
        <w:t>Section 7.3(a)</w:t>
      </w:r>
      <w:r>
        <w:rPr>
          <w:rFonts w:ascii="Times New Roman" w:hAnsi="Times New Roman"/>
          <w:sz w:val="20"/>
        </w:rPr>
        <w:t xml:space="preserve"> shall not be limited to or otherwise affected by the commencement, disclosure, announcement or submission of any Superior Offer or Acquisition Proposal, or by any withdrawal or modification of the Parent Board Recommendation or any Parent Board Adverse Recommendation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14d- 9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Efforts; Regulatory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shall use commercially reasonable efforts to consummate the transactions contemplated hereby. Without limiting the generality of the foregoing, each party: (i) shall promptly as practicable and in any event no more than ten (10) Business Days after the date of this Agreement, make or cause to be made any filings required by each of them or any of their respective Affiliates under the HSR Act, (ii) shall file or otherwise submit, as soon as practicable after the date of this Agreement, all applications, notices, reports and other documents reasonably required to be filed by such party with or otherwise submitted by such party to any other Governmental Entity, (iii) shall make all other filings and other submissions (if any) and give all notices (if any) required to be made and given by such party in connection with the transactions contemplated hereby, (iv) shall submit promptly any additional information requested by any such Governmental Entity, (v) shall use commercially reasonable efforts to obtain each consent (if any) reasonably required to be obtained (pursuant to any applicable law or Contract, or otherwise) by such party in connection with the transactions contemplated hereby or for such Contract to remain in full force and effect, (vi) shall use commercially reasonable efforts to lift any injunction prohibiting, or any other legal bar to, the transactions contemplated hereby and (vii) shall use commercially reasonable efforts to satisfy the conditions precedent to the consummations of this Agreement. </w:t>
      </w:r>
    </w:p>
    <w:p>
      <w:pPr>
        <w:pStyle w:val="TextBody"/>
        <w:bidi w:val="0"/>
        <w:spacing w:before="120" w:after="0"/>
        <w:jc w:val="left"/>
        <w:rPr>
          <w:rFonts w:ascii="Times New Roman" w:hAnsi="Times New Roman"/>
          <w:sz w:val="20"/>
        </w:rPr>
      </w:pPr>
      <w:r>
        <w:rPr>
          <w:rFonts w:ascii="Times New Roman" w:hAnsi="Times New Roman"/>
          <w:sz w:val="20"/>
        </w:rPr>
        <w:t>(b) In furtherance and not in limitation of the foregoing, each of the parties hereto shall (and shall cause their respective Subsidiaries to) (i) promptly cooperate in all respects with each other, and consult each other in good faith,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Federal Trade Commission (“</w:t>
      </w:r>
      <w:r>
        <w:rPr>
          <w:rFonts w:ascii="Times New Roman" w:hAnsi="Times New Roman"/>
          <w:sz w:val="20"/>
          <w:u w:val="single"/>
        </w:rPr>
        <w:t>FTC</w:t>
      </w:r>
      <w:r>
        <w:rPr>
          <w:rFonts w:ascii="Times New Roman" w:hAnsi="Times New Roman"/>
          <w:sz w:val="20"/>
        </w:rPr>
        <w:t>”), the Antitrust Division of the Department of Justice (“</w:t>
      </w:r>
      <w:r>
        <w:rPr>
          <w:rFonts w:ascii="Times New Roman" w:hAnsi="Times New Roman"/>
          <w:sz w:val="20"/>
          <w:u w:val="single"/>
        </w:rPr>
        <w:t>DOJ</w:t>
      </w:r>
      <w:r>
        <w:rPr>
          <w:rFonts w:ascii="Times New Roman" w:hAnsi="Times New Roman"/>
          <w:sz w:val="20"/>
        </w:rPr>
        <w:t xml:space="preserve">”) or any other Governmental Entity, (ii) keep the other parties hereto informed in all material respects and on a reasonably timely basis of any material communication received by such party from, or given by such party to, the FTC, the DOJ or any other Governmental Entity, (iii) subject to applicable Laws, and to the extent reasonably practicable, promptly consult with the other parties hereto with respect to information relating to the other parties hereto and their respective Subsidiaries, as the case may be, that appears in any filing made with, or written materials submitted to, any third Person or the FTC, the DOJ or any other Governmental Entity other than “Item 4 Documents,” as that term is used in the rules and regulations under the HSR Act, and (iv) to the extent permitted by the FTC, the DOJ or such other applicable Governmental Entity, promptly give the other parties hereto the opportunity to attend and participate in such meetings and conferences (whether in person, by telephone or otherwise); </w:t>
      </w:r>
      <w:r>
        <w:rPr>
          <w:rFonts w:ascii="Times New Roman" w:hAnsi="Times New Roman"/>
          <w:sz w:val="20"/>
          <w:u w:val="single"/>
        </w:rPr>
        <w:t>provided</w:t>
      </w:r>
      <w:r>
        <w:rPr>
          <w:rFonts w:ascii="Times New Roman" w:hAnsi="Times New Roman"/>
          <w:sz w:val="20"/>
        </w:rPr>
        <w:t xml:space="preserve"> that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Both parties agree that they shall not, and shall not permit any of their respective controlled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transactions contemplated by this Agreement, including any approvals and expiration of waiting periods pursuant to the HSR Act or any other applicable Laws, or (ii) otherwise materially impede, delay or prevent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(d) Without limiting the generality of the foregoing, Parent shall give the Company prompt (but not later than within two (2) Business Days) written notice of any “demand letter” or any litigation initiated, or threatened in writing against Parent and/or its directors relating to this Agreement or the transactions contemplated hereby (the “</w:t>
      </w:r>
      <w:r>
        <w:rPr>
          <w:rFonts w:ascii="Times New Roman" w:hAnsi="Times New Roman"/>
          <w:sz w:val="20"/>
          <w:u w:val="single"/>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the defense, settlement or prosecution of any Transaction Litigation, (ii) consult with the Company with respect to the defense, settlement and prosecution of any Transaction Litigation, (iii) consider in good faith the Company’s advice with respect to such Transaction Litigation and (iv) will not settle or consent or agree to settle or compromise any Transaction Litigation without the Company’s prior written consent (which such consent shall not be unreasonably withheld or delayed). Without otherwise limiting the rights of current or former directors and officers of Parent with regard to the right to counsel, following the Effective Time, current or former directors and officers of Parent with rights to indemnification as described in </w:t>
      </w:r>
      <w:r>
        <w:rPr>
          <w:rFonts w:ascii="Times New Roman" w:hAnsi="Times New Roman"/>
          <w:sz w:val="20"/>
          <w:u w:val="single"/>
        </w:rPr>
        <w:t>Section 7.5</w:t>
      </w:r>
      <w:r>
        <w:rPr>
          <w:rFonts w:ascii="Times New Roman" w:hAnsi="Times New Roman"/>
          <w:sz w:val="20"/>
        </w:rPr>
        <w:t xml:space="preserve"> shall be entitled to retain any counsel selected by such indemnified parties to defend any Transaction Litigation as it relates to such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the First Effective Time through the sixth (6th) anniversary of the date on which the First Effective Time occurs, each of Parent and the Surviving Entity shall, jointly and severally,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sz w:val="20"/>
          <w:u w:val="single"/>
        </w:rPr>
        <w:t>D&amp;O Indemnified Parties</w:t>
      </w:r>
      <w:r>
        <w:rPr>
          <w:rFonts w:ascii="Times New Roman" w:hAnsi="Times New Roman"/>
          <w:sz w:val="20"/>
        </w:rPr>
        <w:t xml:space="preserve">”), against all demands, claims, losses, liabilities, settlements, damages, judgments, fines and reasonable fees, costs and expenses, including attorneys’ fees and disbursements, and such D&amp;O Indemnified Party shall be entitled to advancement of fees, costs and expenses incurred in connection with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from each of Parent and the Surviving Entity, jointly and severally, upon receipt by Parent or the Surviving Entity from the D&amp;O Indemnified Party of a written request therefor; </w:t>
      </w:r>
      <w:r>
        <w:rPr>
          <w:rFonts w:ascii="Times New Roman" w:hAnsi="Times New Roman"/>
          <w:sz w:val="20"/>
          <w:u w:val="single"/>
        </w:rPr>
        <w:t>provided</w:t>
      </w:r>
      <w:r>
        <w:rPr>
          <w:rFonts w:ascii="Times New Roman" w:hAnsi="Times New Roman"/>
          <w:sz w:val="20"/>
        </w:rPr>
        <w:t xml:space="preserve">, that any such D&amp;O Indemnified Party to whom expenses are advanced provides an undertaking to Parent, to the extent then required by the DGCL, to repay such advances if it is ultimately determined that such D&amp;O Indemnified Party is not entitled to indemnification. Such undertaking, if required, shall be unsecured and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reference to the D&amp;O Indemnified Party’s ability to repay such advances or ultimate entitlement to indemnification. No other form of undertaking shall be required. All rights to indemnification, exculpation and advancement of expenses or other protection in respect of any claim asserted or made, and for which a D&amp;O Indemnified Party delivers a written notice to Parent or the Surviving Entity prior to the sixth (6th) anniversary of the First Effective Time asserting a claim for such protections pursuant to this </w:t>
      </w:r>
      <w:r>
        <w:rPr>
          <w:rFonts w:ascii="Times New Roman" w:hAnsi="Times New Roman"/>
          <w:sz w:val="20"/>
          <w:u w:val="single"/>
        </w:rPr>
        <w:t>Section 7.5</w:t>
      </w:r>
      <w:r>
        <w:rPr>
          <w:rFonts w:ascii="Times New Roman" w:hAnsi="Times New Roman"/>
          <w:sz w:val="20"/>
        </w:rPr>
        <w:t xml:space="preserve">, shall continue until the final disposition of such claim.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First Effective Time in a manner that would adversely affect the rights thereunder of individuals who, at or prior to the First Effective Time, were officers or directors of Parent, unless such modification is required by applicable Law. The certificate of incorporation and bylaws of the Surviving Entity shall contain, and Parent shall cause the certificate of incorporation and bylaws of the Surviving Entity to so contain, provisions no less favorable with respect to indemnification, advancement of expenses and exculpation of present and former directors and officers as those presently set forth in the certificate of incorporation and bylaws of Parent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(b) From and after the First Effective Time, (i) Parent or the Surviving Entity shall assume, fulfill and honor in all respects the obligations of the Company to its D&amp;O Indemnified Parties pursuant to any indemnification provisions under the Company’s organizational documents and pursuant to any indemnification agreements between the Company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and (ii) Parent shall fulfill and honor in all respects the existing obligations of Parent to its D&amp;O Indemnified Parties pursuant to any indemnification provisions under Parent’s organizational documents and pursuant to any indemnification agreements between Parent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First Effective Time, a six-year prepaid “D&amp;O tail policy” for the non-cancellable extension of the directors’ and officers’ liability coverage of Parent’s existing directors’ and officers’ insurance policies for a claims reporting or discovery period of at least six years from and after the First Effective Time with terms, conditions, exclusions, retentions and limits of liability that are no less favorable than the coverage provided under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First Effective Time (including in connection with this Agreement or the transactions contemplated hereby or in connection with Parent’s initial public offering of shares of Parent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From and after the First Effective Time, Parent shall pay all expenses, including reasonable attorneys’ fees, including in advance (subject to the advancement requirements set forth in </w:t>
      </w:r>
      <w:r>
        <w:rPr>
          <w:rFonts w:ascii="Times New Roman" w:hAnsi="Times New Roman"/>
          <w:sz w:val="20"/>
          <w:u w:val="single"/>
        </w:rPr>
        <w:t>Section 7.5(a))</w:t>
      </w:r>
      <w:r>
        <w:rPr>
          <w:rFonts w:ascii="Times New Roman" w:hAnsi="Times New Roman"/>
          <w:sz w:val="20"/>
        </w:rPr>
        <w:t xml:space="preserve">, that are incurred by the persons referred to in this </w:t>
      </w:r>
      <w:r>
        <w:rPr>
          <w:rFonts w:ascii="Times New Roman" w:hAnsi="Times New Roman"/>
          <w:sz w:val="20"/>
          <w:u w:val="single"/>
        </w:rPr>
        <w:t>Section 7.5</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7.5</w:t>
      </w:r>
      <w:r>
        <w:rPr>
          <w:rFonts w:ascii="Times New Roman" w:hAnsi="Times New Roman"/>
          <w:sz w:val="20"/>
        </w:rPr>
        <w:t xml:space="preserve"> are intended to be in addition to the rights otherwise available to the D&amp;O Indemnified Parties by Law, charter, statute, bylaw or agreement, and shall operate for the benefit of, and shall be enforceable by, each of the D&amp;O Indemnified Parties, their heirs and their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In the event Parent or the Surviving Entity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7.5</w:t>
      </w:r>
      <w:r>
        <w:rPr>
          <w:rFonts w:ascii="Times New Roman" w:hAnsi="Times New Roman"/>
          <w:sz w:val="20"/>
        </w:rPr>
        <w:t xml:space="preserve">. Parent shall cause the Surviving Company to perform all of the obligations of the Surviving Company under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7.5</w:t>
      </w:r>
      <w:r>
        <w:rPr>
          <w:rFonts w:ascii="Times New Roman" w:hAnsi="Times New Roman"/>
          <w:sz w:val="20"/>
        </w:rPr>
        <w:t xml:space="preserve"> is intended to, shall be construed to or shall release, waive or impair any coverage or rights under any directors’ and officers’ liability insurance or any other insurance coverage available to Parent, the Company or the Surviving Entity, it being understood and agreed that the indemnification provided for in this </w:t>
      </w:r>
      <w:r>
        <w:rPr>
          <w:rFonts w:ascii="Times New Roman" w:hAnsi="Times New Roman"/>
          <w:sz w:val="20"/>
          <w:u w:val="single"/>
        </w:rPr>
        <w:t>Section 7.5</w:t>
      </w:r>
      <w:r>
        <w:rPr>
          <w:rFonts w:ascii="Times New Roman" w:hAnsi="Times New Roman"/>
          <w:sz w:val="20"/>
        </w:rPr>
        <w:t xml:space="preserve"> is excess of and not in substitution for any coverage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Section 16 Matters</w:t>
      </w:r>
      <w:r>
        <w:rPr>
          <w:rFonts w:ascii="Times New Roman" w:hAnsi="Times New Roman"/>
          <w:sz w:val="20"/>
        </w:rPr>
        <w:t xml:space="preserve">. Prior to the First Effective Time, each of Parent and the Company shall take all such steps as may be necessary or appropriate to cause the acquisitions of Parent Common Stock (including derivative securities with respect to such Parent Common Stock) resulting from the transactions contemplated by this Agreement by each individual who will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disclosure (to any customers or employees of such party, to the public or otherwise) regarding the transactions contemplated hereby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requited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made by the Company or Parent in compliance with this </w:t>
      </w:r>
      <w:r>
        <w:rPr>
          <w:rFonts w:ascii="Times New Roman" w:hAnsi="Times New Roman"/>
          <w:sz w:val="20"/>
          <w:u w:val="single"/>
        </w:rPr>
        <w:t>Section 7.7</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7.3(d)</w:t>
      </w:r>
      <w:r>
        <w:rPr>
          <w:rFonts w:ascii="Times New Roman" w:hAnsi="Times New Roman"/>
          <w:sz w:val="20"/>
        </w:rPr>
        <w:t xml:space="preserve"> or with respect to any Acquisition Proposal, Company Board Adverse Recommendation Change, Parent Board Adverse Recommendation Change, or pursuant to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Listing</w:t>
      </w:r>
      <w:r>
        <w:rPr>
          <w:rFonts w:ascii="Times New Roman" w:hAnsi="Times New Roman"/>
          <w:sz w:val="20"/>
        </w:rPr>
        <w:t>. From the date hereof until the Effective Time, Parent shall maintain its existing listing on Nasdaq until the Effective Time. At or prior to the Effective Time, (a) Parent shall obtain approval of the listing of the combined corporation on Nasdaq, (b) to the extent required by the rules and regulations of Nasdaq, prepare for the Company’s review and submit (with the prior approval of the Company) to Nasdaq a notification form for the listing of shares of Parent Common Stock to be issued in connection with the transactions contemplated hereby, and to cause such shares to be approved for listing (subject to official notice of issuance), and (c) prepare and timely submit to Nasdaq a notification form for the Nasdaq Reverse Stock Split and submit a copy of the amendment to Parent’s certificate of incorporation effecting the Nasdaq Reverse Stock Split, certified by the Secretary of State of the State of Delaware, to Nasdaq on the Closing Date. The Company shall prepare and file an initial listing application for the Parent Common Stock on Nasdaq (the “</w:t>
      </w:r>
      <w:r>
        <w:rPr>
          <w:rFonts w:ascii="Times New Roman" w:hAnsi="Times New Roman"/>
          <w:sz w:val="20"/>
          <w:u w:val="single"/>
        </w:rPr>
        <w:t>Nasdaq Listing Application</w:t>
      </w:r>
      <w:r>
        <w:rPr>
          <w:rFonts w:ascii="Times New Roman" w:hAnsi="Times New Roman"/>
          <w:sz w:val="20"/>
        </w:rPr>
        <w:t xml:space="preserve">”), and from the date hereof until the Effective Time, Parent shall assist the Company in preparing and filing such Nasdaq Listing Application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Parent will cooperate with the Company as reasonably requested by the Company with respect to the Nasdaq Listing Application and promptly furnish to the Company all information concerning Parent that may be required or reasonably requested in connection with any action contemplated by this </w:t>
      </w:r>
      <w:r>
        <w:rPr>
          <w:rFonts w:ascii="Times New Roman" w:hAnsi="Times New Roman"/>
          <w:sz w:val="20"/>
          <w:u w:val="single"/>
        </w:rPr>
        <w:t>Section 7.8</w:t>
      </w:r>
      <w:r>
        <w:rPr>
          <w:rFonts w:ascii="Times New Roman" w:hAnsi="Times New Roman"/>
          <w:sz w:val="20"/>
        </w:rPr>
        <w:t xml:space="preserve">. Parent and the Company shall each pay 50% of all Nasdaq Fees associated with any action contemplated by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will (and will cause its respective Affiliates to) (i) use reasonable best efforts to cause the Merger to qualify for the Intended Tax Treatment and (ii) not take any action, or fail to take any action, that could reasonably be expected to prevent or impede the Merger from qualifying for the Intended Tax Treatment. Parent shall file (or cause its Affiliates, including the Company, to file) all U.S. federal, state or local Tax Return after the Closing Date in a manner that is consistent with the treatment of the Merger as a transaction qualifying for the Intended Tax Treatment, and shall not take any inconsistent position during the course of any audit, litigation or other proceeding with respect to Taxes, in each case, unless otherwise required by a “determination” that is final within the meaning of Section 1313(a)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shall be borne and paid equally by the Parent and the Company. Unless otherwise required by applicable Law, the Company shall timely file any Tax Return or other document with respect to such Taxes or fees (and Parent shall reasonably cooperate with respect thereto as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(i) the Company and Parent shall each use its reasonable best efforts to cause Cooley LLP (or such other nationally recognized law or accounting firm reasonably satisfactory to the Company) and Goodwin Procter LLP (or such other nationally recognized law or accounting firm reasonably satisfactory to Parent), respectively, to furnish such opinion (as so required and subject to customary assumptions and limitations) and (ii) Parent and the Company shall each deliver to Cooley LLP (or such other nationally recognized law or accounting firm reasonably satisfactory to the Company) and Goodwin Procter LLP (or such other nationally recognized law or accounting firm reasonably satisfactory to the Parent) a Tax certificate, signed by an officer of Parent or the Company, as applicable, containing customary representations and covenants reasonably acceptable to the Company and Parent, as applicable, in each case, as reasonably necessary and appropriate to enable each such tax advisor to render such opinion (the “</w:t>
      </w:r>
      <w:r>
        <w:rPr>
          <w:rFonts w:ascii="Times New Roman" w:hAnsi="Times New Roman"/>
          <w:sz w:val="20"/>
          <w:u w:val="single"/>
        </w:rPr>
        <w:t>Tax Certificates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Directors and Officers</w:t>
      </w:r>
      <w:r>
        <w:rPr>
          <w:rFonts w:ascii="Times New Roman" w:hAnsi="Times New Roman"/>
          <w:sz w:val="20"/>
        </w:rPr>
        <w:t xml:space="preserve">. Until successors are duly elected or appointed and qualified in accordance with applicable Law, the parties shall use commercially reasonable efforts to take all necessary actions so that the Persons listed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are elected or appointed, as applicable, to the positions of officers and directors of Parent and the Surviving Entity, as set forth therein, to serve in such positions effective as of the First Effective Time. If any Person listed on </w:t>
      </w:r>
      <w:r>
        <w:rPr>
          <w:rFonts w:ascii="Times New Roman" w:hAnsi="Times New Roman"/>
          <w:sz w:val="20"/>
          <w:u w:val="single"/>
        </w:rPr>
        <w:t>Section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is unable or unwilling to serve as officer or director of Parent or the Surviving Entity, as set forth therein, the party appointing such Person (as set forth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shall designate a successor. The parties shall use reasonable best efforts to have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Termination of Certain Agreements and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7.11(a)</w:t>
      </w:r>
      <w:r>
        <w:rPr>
          <w:rFonts w:ascii="Times New Roman" w:hAnsi="Times New Roman"/>
          <w:sz w:val="20"/>
        </w:rPr>
        <w:t xml:space="preserve"> of the Parent Disclosure Letter or Company Disclosure Letter, as applicable, each of Parent and the Company shall use commercially reasonable efforts to cause any stockholder agreements, voting agreements, registration rights agreements, co-sale agreements and any other similar Contracts between either Parent or the Company and any holders of Parent Common Stock or Company Common Stock, respectively, including any such Contract granting any Person investor rights, rights of first refusal, registration rights or director registration rights (collectively, the “</w:t>
      </w:r>
      <w:r>
        <w:rPr>
          <w:rFonts w:ascii="Times New Roman" w:hAnsi="Times New Roman"/>
          <w:sz w:val="20"/>
          <w:u w:val="single"/>
        </w:rPr>
        <w:t>Investor Agreements</w:t>
      </w:r>
      <w:r>
        <w:rPr>
          <w:rFonts w:ascii="Times New Roman" w:hAnsi="Times New Roman"/>
          <w:sz w:val="20"/>
        </w:rPr>
        <w:t xml:space="preserve">”), to be terminated immediately prior to the First Effective Time, without any liability being imposed on Parent or the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Parent shall use commercially reasonable efforts to cause all Parent Material Contracts (including all statements of work, work orders, change orders, or purchase orders thereunder), other than any Contract set forth in </w:t>
      </w:r>
      <w:r>
        <w:rPr>
          <w:rFonts w:ascii="Times New Roman" w:hAnsi="Times New Roman"/>
          <w:sz w:val="20"/>
          <w:u w:val="single"/>
        </w:rPr>
        <w:t>Section 7.11(b)</w:t>
      </w:r>
      <w:r>
        <w:rPr>
          <w:rFonts w:ascii="Times New Roman" w:hAnsi="Times New Roman"/>
          <w:sz w:val="20"/>
        </w:rPr>
        <w:t xml:space="preserve"> of the Parent Disclosure Letter, to be terminated effective no later than the Closing Date, without any payment thereunder due or payable by Parent or the Surviving Entity at or after the Closing to any party thereto or third party beneficiary thereof (including in connection with any completed work or work-in-progress, non-cancellable expenses or commitments, early termination penalties, termination costs, wind-down costs, royalties or milestones) or any other post-Closing liability being imposed on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Obligations of Merger Subs</w:t>
      </w:r>
      <w:r>
        <w:rPr>
          <w:rFonts w:ascii="Times New Roman" w:hAnsi="Times New Roman"/>
          <w:sz w:val="20"/>
        </w:rPr>
        <w:t xml:space="preserve">. Parent will take all action necessary to cause each of the Merger Subs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Allocation Certificate</w:t>
      </w:r>
      <w:r>
        <w:rPr>
          <w:rFonts w:ascii="Times New Roman" w:hAnsi="Times New Roman"/>
          <w:sz w:val="20"/>
        </w:rPr>
        <w:t>. The Company will prepare and deliver to Parent at least two (2) Business Days prior to the Closing Date a certificate signed by an officer of the Company in a form reasonably acceptable to Parent setting forth (as of immediately prior to the First Effective Time) (a) each holder of the Company Common Stock, (b) such holder’s name and physical address, (c) the number or percentage and type of the Company Common Stock held as of the Closing Date for each such holder and (d) the number of shares of Parent Common Stock to be issued to such holder pursuant to this Agreement in respect of the Company Common Stock held by such holder as of immediately prior to the First Effective Time (the “</w:t>
      </w:r>
      <w:r>
        <w:rPr>
          <w:rFonts w:ascii="Times New Roman" w:hAnsi="Times New Roman"/>
          <w:sz w:val="20"/>
          <w:u w:val="single"/>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Pre-Closing Cash Dividend</w:t>
      </w:r>
      <w:r>
        <w:rPr>
          <w:rFonts w:ascii="Times New Roman" w:hAnsi="Times New Roman"/>
          <w:sz w:val="20"/>
        </w:rPr>
        <w:t>. Prior to the First Effective Time, the Parent Board shall set a record date for the Pre-Closing Cash Dividend (the “</w:t>
      </w:r>
      <w:r>
        <w:rPr>
          <w:rFonts w:ascii="Times New Roman" w:hAnsi="Times New Roman"/>
          <w:sz w:val="20"/>
          <w:u w:val="single"/>
        </w:rPr>
        <w:t>Dividend Record Date</w:t>
      </w:r>
      <w:r>
        <w:rPr>
          <w:rFonts w:ascii="Times New Roman" w:hAnsi="Times New Roman"/>
          <w:sz w:val="20"/>
        </w:rPr>
        <w:t>”), which date shall be as close as reasonably practicable to (but not later than) the anticipated Closing Date. Parent shall ensure that the declaration of the Dividend Record Date and the payment of the Pre-Closing Cash Dividend shall be implemented and performed such that the Pre-Closing Cash Dividend be up to an amount equal in the aggregate to an amount mutually agreed in good faith by Parent and the Company by reference to the amount by which the Final Parent Net Cash will exceed the Target Net Cash (the “</w:t>
      </w:r>
      <w:r>
        <w:rPr>
          <w:rFonts w:ascii="Times New Roman" w:hAnsi="Times New Roman"/>
          <w:sz w:val="20"/>
          <w:u w:val="single"/>
        </w:rPr>
        <w:t>Pre-Closing Cash Dividend Amount</w:t>
      </w:r>
      <w:r>
        <w:rPr>
          <w:rFonts w:ascii="Times New Roman" w:hAnsi="Times New Roman"/>
          <w:sz w:val="20"/>
        </w:rPr>
        <w:t>”), subject to any adjustments that may be mutually agreed between Parent and Company. The Parent Board shall cause to be paid the Pre-Closing Cash Dividend as soon as practicable after the Dividend Record Date, but in any case, not prior to the date upon which the Final Parent Net Cash has been finally determined in accordance with</w:t>
      </w:r>
      <w:r>
        <w:rPr>
          <w:rFonts w:ascii="Times New Roman" w:hAnsi="Times New Roman"/>
          <w:sz w:val="20"/>
          <w:u w:val="single"/>
        </w:rPr>
        <w:t> Section 3.6</w:t>
      </w:r>
      <w:r>
        <w:rPr>
          <w:rFonts w:ascii="Times New Roman" w:hAnsi="Times New Roman"/>
          <w:sz w:val="20"/>
        </w:rPr>
        <w:t xml:space="preserve"> and not later than sixty (60) days after the Dividend Record Date. Parent shall announce, declare and pay (or cause to be paid) the Pre-Closing Cash Dividend in compliance with all applicable Law, including, without limitation, any rule or regulation of Nasdaq applicable to Parent. The amount of the Pre-Closing Cash Dividend shall be reduced by any Taxes required to be withheld from such payment (including, for the avoidance of doubt, because at the time of payment it is not known whether Parent will have current or accumulated earnings and profits for U.S. federal income tax purposes in the year in which the Pre-Closing Cash Dividend is paid), and any amounts that are deducted or withheld shall be treated as having been paid to the stockholder of Parent in respect of whom such payment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of this Agreement, the Company shall use commercially reasonable efforts to obtain the Concurrent Investment on the terms and conditions described in the Subscription Agreement and satisfy the conditions to the Concurrent Investment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Investment Amount or (ii) imposes new or additional conditions or otherwise expands, amends or modifies any of the conditions to the receipt of the Concurrent Investment, or otherwise expands, amends or modifies any other provision of the Subscription Agreement, in a manner that would reasonably be expected to (x) delay or prevent the funding of the Concurrent Investment (or satisfaction of the conditions to the Concurrent Investment) at or substantially simultaneously with the Closing or (y) adversely impact the ability of the Company to enforce its rights against other parties to the Subscription Agreement. The Company shall promptly deliver to Parent copies of any such termination, amendment, modification, waiver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use commercially reasonable efforts (i) to maintain in effect the Subscription Agreement, (ii) to enforce its rights under the Subscription Agreement and (iii) to comply with its obligations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give Parent prompt notice (i) of any material breach or default by any party to the Subscription Agreement or definitive agreements related to the Concurrent Investment of which the Company becomes aware, (ii) of the receipt of any written notice or other written communication from any Concurrent Investment Investor with respect to any (x) actual material breach, default, termination or repudiation by any party to the Subscription Agreement or definitive agreements related to the Concurrent Investment of any provisions of the Subscription Agreement or definitive agreements related to the Concurrent Investment or (y) material dispute or disagreement relating to the Concurrent Investment with respect to the obligation to fund the Concurrent Investment at or substantially simultaneously with the Closing, and (iii) if at any time for any reason the Company believes in good faith that it will not be able to obtain all or any portion of the Concurrent Investment on the terms and conditions, in the manner or from the sources contemplated by the Subscription Agreement or definitive agreements related to the Concurrent Investment. The Company shall promptly provide information reasonably requested by Parent relating to the circumstances referred to in clauses (i), (ii) or (iii) of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Parent Equity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First Effective Time, Parent will cause the Parent Board to adopt the 2026 Equity Incentive Plan, subject to the Closing and effective as of the First Effective Time, which will provide for a number of shares of Parent Common Stock not exceeding fifteen percent (15%) of the Parent Common Stock issued and expected to be outstanding immediately after the First Effective Time to be reserved under the 2026 Equity Incentive Plan, and which may include an annual increase pursuant to an “evergreen” provision to provide for optional annual increases of up to five percent (5%) of the total number of fully diluted shares of capital stock of Parent as of the day prior to such increase, and will include provisions in the Proxy Statement for the stockholders of Parent to approve the 2026 Equity Incentive Plan. Subject to the approval of the 2026 Equity Incentive Plan by the stockholders of Parent prior to the First Effective Time, Parent shall file with the SEC, promptly after the First Effective Time and at the Company’s expense, a registration statement on Form S-8 (or any successor form), if available for use by Parent, relating to the shares of Parent Common Stock issuable with respect to the 2026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Prior to the First Effective Time, Parent will cause the Parent Board to adopt the 2026 ESPP, which will provide for a total pool of shares of Parent Common Stock under the 2026 ESPP not exceeding five percent (5%) of the Parent Common Stock issued and expected to be outstanding immediately after the First Effective Time, and may include an annual increase pursuant to an “evergreen” provision providing for an annual increase of up to one percent (1%) of the total number of fully diluted shares of capital stock of Parent outstanding as of the day prior to such increase, subject to the Closing and effective as of the First Effective Time, and will include provisions in the Proxy Statement for the stockholders of Parent to approve the 2026 ESPP. Subject to the approval of the 2026 ESPP by the stockholders of Parent prior to the First Effective Time, Parent shall file with the SEC, promptly after the First Effective Time and the Company’s expense, a registration statement on Form S-8 (or any successor form), if available for use by Parent, relating to the shares of Parent Common Stock issuable with respect to the 2026 ESPP.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approval of the 2026 Plans by the stockholders of Parent shall not be a condition to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Parent SEC Documents</w:t>
      </w:r>
      <w:r>
        <w:rPr>
          <w:rFonts w:ascii="Times New Roman" w:hAnsi="Times New Roman"/>
          <w:sz w:val="20"/>
        </w:rPr>
        <w:t xml:space="preserve">. From the date of this Agreement to the First Effective Time, Parent shall timely file with the SEC all SEC Documents.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Precedent of each Party</w:t>
      </w:r>
      <w:r>
        <w:rPr>
          <w:rFonts w:ascii="Times New Roman" w:hAnsi="Times New Roman"/>
          <w:sz w:val="20"/>
        </w:rPr>
        <w:t xml:space="preserve">. The obligations of each party to effect the Merger and otherwise consummate the transactions contemplated hereby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shall have become effective in accordance with the provisions of the Securities Act, and shall not be subject to any stop order or proceeding seeking a stop order with respect to the Registration Statement and has not been withdrawn. Any material state securities Laws applicable to the issuance of the shares of Parent Common Stock in connection with the transactions contemplated hereby shall have been complied with and no stop order (or similar order) shall have been issued or threatened in writing in respect of such shares of Parent Common Stock by any applicable state securities commissioner or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Any applicable waiting periods (or extensions thereof) under the HSR Act shall have expired or otherwise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temporary restraining order, preliminary or permanent injunction or other order preventing the consummation of the transactions contemplated hereby shall have been issued by any court of competent jurisdiction or other Governmental Entity of competent jurisdiction and remain in effect and there shall not be any Law which has the effect of making the consummation of the transactions contemplated hereby illegal. </w:t>
      </w:r>
    </w:p>
    <w:p>
      <w:pPr>
        <w:pStyle w:val="TextBody"/>
        <w:bidi w:val="0"/>
        <w:spacing w:before="120" w:after="0"/>
        <w:jc w:val="left"/>
        <w:rPr>
          <w:rFonts w:ascii="Times New Roman" w:hAnsi="Times New Roman"/>
          <w:sz w:val="20"/>
        </w:rPr>
      </w:pPr>
      <w:r>
        <w:rPr>
          <w:rFonts w:ascii="Times New Roman" w:hAnsi="Times New Roman"/>
          <w:sz w:val="20"/>
        </w:rPr>
        <w:t xml:space="preserve">(d) (i) Parent shall have obtained the Parent Stockholder Approval and (ii) the Company shall have obtained the Company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(e) The Lock-Up Agreements will continue to be in full force and effect as of immediately following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(f) The Subscription Agreement shall be in full force and effect and cash proceeds of not less than the Concurrent Investment Amount shall have been received by the Company (or, if the Concurrent Investment is structured as an investment into Parent, by Parent), or will be received substantially simultaneously with or immediately after the Closing, in connection with the consummation of the transactions contemplated by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(g) (i) The approval of the listing of the additional shares pursuant to the Nasdaq Listing Application shall have been approved for listing (subject to official notice of issuance) on Nasdaq and (ii) Parent has maintained its existing listing on Nasdaq and obtained approval of the listing of the combined corporation on Nasdaq. </w:t>
      </w:r>
    </w:p>
    <w:p>
      <w:pPr>
        <w:pStyle w:val="TextBody"/>
        <w:bidi w:val="0"/>
        <w:spacing w:before="120" w:after="0"/>
        <w:jc w:val="left"/>
        <w:rPr>
          <w:rFonts w:ascii="Times New Roman" w:hAnsi="Times New Roman"/>
          <w:sz w:val="20"/>
        </w:rPr>
      </w:pPr>
      <w:r>
        <w:rPr>
          <w:rFonts w:ascii="Times New Roman" w:hAnsi="Times New Roman"/>
          <w:sz w:val="20"/>
        </w:rPr>
        <w:t xml:space="preserve">(h) At the Closing, the Final Parent Net Cash minus the Pre-Closing Cash Dividend Amount shall be no less than $0; </w:t>
      </w:r>
      <w:r>
        <w:rPr>
          <w:rFonts w:ascii="Times New Roman" w:hAnsi="Times New Roman"/>
          <w:sz w:val="20"/>
          <w:u w:val="single"/>
        </w:rPr>
        <w:t>provided</w:t>
      </w:r>
      <w:r>
        <w:rPr>
          <w:rFonts w:ascii="Times New Roman" w:hAnsi="Times New Roman"/>
          <w:sz w:val="20"/>
        </w:rPr>
        <w:t xml:space="preserve">, that if Final Parent Net Cash minus the Pre-Closing Cash Dividend Amount is less than $0, then the terms of this </w:t>
      </w:r>
      <w:r>
        <w:rPr>
          <w:rFonts w:ascii="Times New Roman" w:hAnsi="Times New Roman"/>
          <w:sz w:val="20"/>
          <w:u w:val="single"/>
        </w:rPr>
        <w:t>Section 8.1(h)</w:t>
      </w:r>
      <w:r>
        <w:rPr>
          <w:rFonts w:ascii="Times New Roman" w:hAnsi="Times New Roman"/>
          <w:sz w:val="20"/>
        </w:rPr>
        <w:t xml:space="preserve"> may be satisfied by reducing the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have filed with, and been accepted by, the Delaware Secretary of State the amendment to Parent’s certificate of incorporation effecting the Nasdaq Reverse Stock Split in accordance with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Parent and Merger Sub made in this Agreement (other than the Parent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determining the accuracy of such representations and warranties, any update of or modification to the Parent Disclosure Letter made or purported to have been made after the date of this Agreement shall be disregarded). The Parent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5.2</w:t>
      </w:r>
      <w:r>
        <w:rPr>
          <w:rFonts w:ascii="Times New Roman" w:hAnsi="Times New Roman"/>
          <w:sz w:val="20"/>
        </w:rPr>
        <w:t xml:space="preserve">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Parent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executed by an officer of Parent certifying that the conditions set forth in </w:t>
      </w:r>
      <w:r>
        <w:rPr>
          <w:rFonts w:ascii="Times New Roman" w:hAnsi="Times New Roman"/>
          <w:sz w:val="20"/>
          <w:u w:val="single"/>
        </w:rPr>
        <w:t>Section 8.2(a)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w:t>
      </w:r>
    </w:p>
    <w:p>
      <w:pPr>
        <w:pStyle w:val="TextBody"/>
        <w:bidi w:val="0"/>
        <w:spacing w:before="120" w:after="0"/>
        <w:jc w:val="left"/>
        <w:rPr>
          <w:rFonts w:ascii="Times New Roman" w:hAnsi="Times New Roman"/>
          <w:sz w:val="20"/>
        </w:rPr>
      </w:pPr>
      <w:r>
        <w:rPr>
          <w:rFonts w:ascii="Times New Roman" w:hAnsi="Times New Roman"/>
          <w:sz w:val="20"/>
        </w:rPr>
        <w:t xml:space="preserve">(ii) written resignations in forms reasonably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Conditions Precedent of Parent and Merger Sub</w:t>
      </w:r>
      <w:r>
        <w:rPr>
          <w:rFonts w:ascii="Times New Roman" w:hAnsi="Times New Roman"/>
          <w:sz w:val="20"/>
        </w:rPr>
        <w:t xml:space="preserve">. 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the Company made in this Agreement (other than the Company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Material Adverse Effect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The Company Fundamental Representations shall have been true and correct in all respects as of the date of this Agreement and shall be true and correct on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Closing Date with the same force and effect as if made on and as of such date, except, in each case, (x) in respect of </w:t>
      </w:r>
      <w:r>
        <w:rPr>
          <w:rFonts w:ascii="Times New Roman" w:hAnsi="Times New Roman"/>
          <w:sz w:val="20"/>
          <w:u w:val="single"/>
        </w:rPr>
        <w:t>Section 4.2</w:t>
      </w:r>
      <w:r>
        <w:rPr>
          <w:rFonts w:ascii="Times New Roman" w:hAnsi="Times New Roman"/>
          <w:sz w:val="20"/>
        </w:rPr>
        <w:t xml:space="preserve">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Parent shall have received a certificate executed by an officer of the Company certifying (a) that the conditions set forth in </w:t>
      </w:r>
      <w:r>
        <w:rPr>
          <w:rFonts w:ascii="Times New Roman" w:hAnsi="Times New Roman"/>
          <w:sz w:val="20"/>
          <w:u w:val="single"/>
        </w:rPr>
        <w:t>Section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(b) that the information set forth in the Allocation Certificate delivered by the Company in accordance with </w:t>
      </w:r>
      <w:r>
        <w:rPr>
          <w:rFonts w:ascii="Times New Roman" w:hAnsi="Times New Roman"/>
          <w:sz w:val="20"/>
          <w:u w:val="single"/>
        </w:rPr>
        <w:t>Section 7.13</w:t>
      </w:r>
      <w:r>
        <w:rPr>
          <w:rFonts w:ascii="Times New Roman" w:hAnsi="Times New Roman"/>
          <w:sz w:val="20"/>
        </w:rPr>
        <w:t xml:space="preserve"> is true and accurate in all respects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FIRPTA Certificate</w:t>
      </w:r>
      <w:r>
        <w:rPr>
          <w:rFonts w:ascii="Times New Roman" w:hAnsi="Times New Roman"/>
          <w:sz w:val="20"/>
        </w:rPr>
        <w:t xml:space="preserve">. Parent shall have received from the Company a certificate in the form and substance required under Treasury Regulations Sections 1.1445-2(c)(3) and 1.897-2(h), and a form of notice to the IRS in accordance with the requirements of Treasury Regulations Section 1.897-2(h), together with written authorization for Parent to deliver such notice to the IRS on behalf of the Company following the Closing, in each case, in form and substance reasonably acceptable to Parent.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the Investor Agreements</w:t>
      </w:r>
      <w:r>
        <w:rPr>
          <w:rFonts w:ascii="Times New Roman" w:hAnsi="Times New Roman"/>
          <w:sz w:val="20"/>
        </w:rPr>
        <w:t xml:space="preserve">. The Investor Agreements shall have been terminated.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the adoption of this Agreement by the Company’s stockholders and whether before or after approval of the Parent Stockholder Proposal by Parent’s stockholders,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Parent and the Company; </w:t>
      </w:r>
    </w:p>
    <w:p>
      <w:pPr>
        <w:pStyle w:val="TextBody"/>
        <w:bidi w:val="0"/>
        <w:spacing w:before="120" w:after="0"/>
        <w:jc w:val="left"/>
        <w:rPr>
          <w:rFonts w:ascii="Times New Roman" w:hAnsi="Times New Roman"/>
          <w:sz w:val="20"/>
        </w:rPr>
      </w:pPr>
      <w:r>
        <w:rPr>
          <w:rFonts w:ascii="Times New Roman" w:hAnsi="Times New Roman"/>
          <w:sz w:val="20"/>
        </w:rPr>
        <w:t>(b) by either Parent or the Company if the Merger shall not have been consummated by February 28, 2027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w:t>
      </w:r>
      <w:r>
        <w:rPr>
          <w:rFonts w:ascii="Times New Roman" w:hAnsi="Times New Roman"/>
          <w:sz w:val="20"/>
        </w:rPr>
        <w:t xml:space="preserve"> shall not be available to the Company or Parent if such party’s (or in the case of Parent, any Merger Sub’s) breach of this Agreement has been a principal cause of the failure of the Merger to occur on or before the End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Entity shall have issued a final and nonappealable order, or shall have taken any other action, having the effect of permanently restraining, enjoining or otherwise prohibiting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9.1(c)</w:t>
      </w:r>
      <w:r>
        <w:rPr>
          <w:rFonts w:ascii="Times New Roman" w:hAnsi="Times New Roman"/>
          <w:sz w:val="20"/>
        </w:rPr>
        <w:t xml:space="preserve"> shall not be available to a party if such party’s (or in the case of Parent, any Merger Sub’s) breach of this Agreement is a principal cause of any such Governmental Entity issuing any such order or taking any such other action; </w:t>
      </w:r>
    </w:p>
    <w:p>
      <w:pPr>
        <w:pStyle w:val="TextBody"/>
        <w:bidi w:val="0"/>
        <w:spacing w:before="120" w:after="0"/>
        <w:jc w:val="left"/>
        <w:rPr>
          <w:rFonts w:ascii="Times New Roman" w:hAnsi="Times New Roman"/>
          <w:sz w:val="20"/>
        </w:rPr>
      </w:pPr>
      <w:r>
        <w:rPr>
          <w:rFonts w:ascii="Times New Roman" w:hAnsi="Times New Roman"/>
          <w:sz w:val="20"/>
        </w:rPr>
        <w:t xml:space="preserve">(d) by either Parent or the Company if the Company Stockholder Approval shall not have been obtained by written consent of the Company’s stockholders in lieu of a meeting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once the Company Stockholder Approval has been obtained, neither party may terminate this Agreement pursuant to this </w:t>
      </w:r>
      <w:r>
        <w:rPr>
          <w:rFonts w:ascii="Times New Roman" w:hAnsi="Times New Roman"/>
          <w:sz w:val="20"/>
          <w:u w:val="single"/>
        </w:rPr>
        <w:t>Section 9.1(d)</w:t>
      </w:r>
      <w:r>
        <w:rPr>
          <w:rFonts w:ascii="Times New Roman" w:hAnsi="Times New Roman"/>
          <w:sz w:val="20"/>
        </w:rPr>
        <w:t xml:space="preserve"> and (ii) the right to terminate this Agreement under this </w:t>
      </w:r>
      <w:r>
        <w:rPr>
          <w:rFonts w:ascii="Times New Roman" w:hAnsi="Times New Roman"/>
          <w:sz w:val="20"/>
          <w:u w:val="single"/>
        </w:rPr>
        <w:t>Section 9.1(d)</w:t>
      </w:r>
      <w:r>
        <w:rPr>
          <w:rFonts w:ascii="Times New Roman" w:hAnsi="Times New Roman"/>
          <w:sz w:val="20"/>
        </w:rPr>
        <w:t xml:space="preserve"> shall not be available to a party if such party’s (or in the case of Parent, any Merger Sub’s) breach of this Agreement is a principal cause of the failure of the Company Stockholder Approval to have been obtained on or before such second (2nd) Business Day; </w:t>
      </w:r>
    </w:p>
    <w:p>
      <w:pPr>
        <w:pStyle w:val="TextBody"/>
        <w:bidi w:val="0"/>
        <w:spacing w:before="12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Proposal and (ii) the Parent Stockholder Approval shall not have been obtained at the Parent Stockholder Meeting (or any adjournment or postponement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9.1(e)</w:t>
      </w:r>
      <w:r>
        <w:rPr>
          <w:rFonts w:ascii="Times New Roman" w:hAnsi="Times New Roman"/>
          <w:sz w:val="20"/>
        </w:rPr>
        <w:t xml:space="preserve"> shall not be available to a party if such party’s (or in the case of Parent, any Merger Sub’s) breach of this Agreement is a principal cause of the failure of the Parent Stockholder Approval to have been obtained at the Parent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(f) by the Company (at any time prior to obtaining the Parent Stockholder Approval) if any Parent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(g) by Parent (at any time prior to obtaining the Company Stockholder Approval) if any Company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until the earlier of (i)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by the Parent, upon a breach of any representation, warranty, covenant or agreement set forth in this Agreement by the Company or if any representation or warranty of Parent or Merger Sub shall have become inaccurate, in either case, such that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until the earlier of (i) the expiration of a 30-day period commencing upon delivery of written notice from the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(j) by Parent (at any time prior to obtaining the Parent Stockholder Approval) and following compliance with all of the requirements set forth in the proviso to this </w:t>
      </w:r>
      <w:r>
        <w:rPr>
          <w:rFonts w:ascii="Times New Roman" w:hAnsi="Times New Roman"/>
          <w:sz w:val="20"/>
          <w:u w:val="single"/>
        </w:rPr>
        <w:t>Section 9.1(j)</w:t>
      </w:r>
      <w:r>
        <w:rPr>
          <w:rFonts w:ascii="Times New Roman" w:hAnsi="Times New Roman"/>
          <w:sz w:val="20"/>
        </w:rPr>
        <w:t>, concurrently with Parent’s entering into a definitive agreement for a Superior Offer (a “</w:t>
      </w:r>
      <w:r>
        <w:rPr>
          <w:rFonts w:ascii="Times New Roman" w:hAnsi="Times New Roman"/>
          <w:sz w:val="20"/>
          <w:u w:val="single"/>
        </w:rPr>
        <w:t>Permitted Alternative Agreement</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after having paid to the Company the Company Termination Fee pursuant to </w:t>
      </w:r>
      <w:r>
        <w:rPr>
          <w:rFonts w:ascii="Times New Roman" w:hAnsi="Times New Roman"/>
          <w:sz w:val="20"/>
          <w:u w:val="single"/>
        </w:rPr>
        <w:t>Section 9.3(c)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and (iii) the Parent Board shall have determined in good faith, after consultation with its outside legal counsel, that the failure to enter into such Permitted Alternative Agreement would reasonably be expected to be inconsistent with its fiduciary obligations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(k) by the Company (at any time prior to obtaining the Company Stockholder Approval) and following compliance with all of the requirements set forth in the proviso to this </w:t>
      </w:r>
      <w:r>
        <w:rPr>
          <w:rFonts w:ascii="Times New Roman" w:hAnsi="Times New Roman"/>
          <w:sz w:val="20"/>
          <w:u w:val="single"/>
        </w:rPr>
        <w:t>Section 9.1(k)</w:t>
      </w:r>
      <w:r>
        <w:rPr>
          <w:rFonts w:ascii="Times New Roman" w:hAnsi="Times New Roman"/>
          <w:sz w:val="20"/>
        </w:rPr>
        <w:t xml:space="preserve">, concurrently with the Company’s entering into a Permitted Alternative Agreement and after having paid to Parent the Parent Termination Fee pursuant to </w:t>
      </w:r>
      <w:r>
        <w:rPr>
          <w:rFonts w:ascii="Times New Roman" w:hAnsi="Times New Roman"/>
          <w:sz w:val="20"/>
          <w:u w:val="single"/>
        </w:rPr>
        <w:t>Section 9.3(e)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enter into any Permitted Alternative Agreement unless: (i) Parent shall have received written notice from the Company of the Company’s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related principal transaction documents, (ii) the Company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(iii) the Company Board shall have determined in good faith, after consultation with its outside legal counsel, that the failure to enter into such Permitted Alternative Agreement would reasonably be expected to be inconsistent with its fiduciary obligations under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9.1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9.3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7.9</w:t>
      </w:r>
      <w:r>
        <w:rPr>
          <w:rFonts w:ascii="Times New Roman" w:hAnsi="Times New Roman"/>
          <w:sz w:val="20"/>
        </w:rPr>
        <w:t xml:space="preserve"> all fees and expenses incurred in connection with this Agreement and the transactions contemplated hereby shall be paid by the party incurring such expenses, whether or not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9.1(e)</w:t>
      </w:r>
      <w:r>
        <w:rPr>
          <w:rFonts w:ascii="Times New Roman" w:hAnsi="Times New Roman"/>
          <w:sz w:val="20"/>
        </w:rPr>
        <w:t>, (ii) at any time after the date of this Agreement and prior to the Parent Stockholder Meeting an Acquisition Proposal with respect to Parent shall have been publicly announced, disclosed or otherwise communicated to the Parent Board (and shall not have been withdrawn) and (iii) within twelve (12) months after the date of such termination, Parent enters into a definitive agreement with respect to a Subsequent Transaction or consummates a Subsequent Transaction, then Parent shall pay the Company, upon such entry into a definitive agreement and/or consummation of a Subsequent Transaction, a nonrefundable fee in an amount equal to $10,000,000 (the “</w:t>
      </w:r>
      <w:r>
        <w:rPr>
          <w:rFonts w:ascii="Times New Roman" w:hAnsi="Times New Roman"/>
          <w:sz w:val="20"/>
          <w:u w:val="single"/>
        </w:rPr>
        <w:t>Company 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(i) by the Company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9.1(b)</w:t>
      </w:r>
      <w:r>
        <w:rPr>
          <w:rFonts w:ascii="Times New Roman" w:hAnsi="Times New Roman"/>
          <w:sz w:val="20"/>
        </w:rPr>
        <w:t xml:space="preserve"> or </w:t>
      </w:r>
      <w:r>
        <w:rPr>
          <w:rFonts w:ascii="Times New Roman" w:hAnsi="Times New Roman"/>
          <w:sz w:val="20"/>
          <w:u w:val="single"/>
        </w:rPr>
        <w:t>Section 9.1(e)</w:t>
      </w:r>
      <w:r>
        <w:rPr>
          <w:rFonts w:ascii="Times New Roman" w:hAnsi="Times New Roman"/>
          <w:sz w:val="20"/>
        </w:rPr>
        <w:t xml:space="preserve"> in circumstances in which the Company has the right to terminate this Agreement pursuant </w:t>
      </w:r>
      <w:r>
        <w:rPr>
          <w:rFonts w:ascii="Times New Roman" w:hAnsi="Times New Roman"/>
          <w:sz w:val="20"/>
          <w:u w:val="single"/>
        </w:rPr>
        <w:t>Section 9.1(f)</w:t>
      </w:r>
      <w:r>
        <w:rPr>
          <w:rFonts w:ascii="Times New Roman" w:hAnsi="Times New Roman"/>
          <w:sz w:val="20"/>
        </w:rPr>
        <w:t xml:space="preserve">) or (ii) by Parent pursuant to </w:t>
      </w:r>
      <w:r>
        <w:rPr>
          <w:rFonts w:ascii="Times New Roman" w:hAnsi="Times New Roman"/>
          <w:sz w:val="20"/>
          <w:u w:val="single"/>
        </w:rPr>
        <w:t>Section 9.1(j)</w:t>
      </w:r>
      <w:r>
        <w:rPr>
          <w:rFonts w:ascii="Times New Roman" w:hAnsi="Times New Roman"/>
          <w:sz w:val="20"/>
        </w:rPr>
        <w:t xml:space="preserve">, then Parent shall pay to the Company the Company Termination Fee, by wire transfer of same day funds to an account designated by the Company, (x) in the case of a termination by Parent referred to in the foregoing clause (i) or (ii), prior (and as a condition) to such termination or (y) in the case of a termination by the Company described in the foregoing clause (i), within two (2) Business Days after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(i) this Agreement is terminated by Parent or the Company pursuant to </w:t>
      </w:r>
      <w:r>
        <w:rPr>
          <w:rFonts w:ascii="Times New Roman" w:hAnsi="Times New Roman"/>
          <w:sz w:val="20"/>
          <w:u w:val="single"/>
        </w:rPr>
        <w:t>Section 9.1(d)</w:t>
      </w:r>
      <w:r>
        <w:rPr>
          <w:rFonts w:ascii="Times New Roman" w:hAnsi="Times New Roman"/>
          <w:sz w:val="20"/>
        </w:rPr>
        <w:t>, (ii) at any time after the date of this Agreement and prior to such termination, an Acquisition Proposal with respect to the Company shall have been publicly announced, disclosed or otherwise communicated to the Company Board (and shall not have been withdrawn) and (iii) within six (6) months after the date of such termination, the Company enters into a definitive agreement with respect to a Subsequent Transaction or consummates a Subsequent Transaction, then the Company shall pay to Parent, upon the earlier of such entry into a definitive agreement and/or the consummation of a Subsequent Transaction, a nonrefundable fee in an amount equal to $15,000,000 (the “</w:t>
      </w:r>
      <w:r>
        <w:rPr>
          <w:rFonts w:ascii="Times New Roman" w:hAnsi="Times New Roman"/>
          <w:sz w:val="20"/>
          <w:u w:val="single"/>
        </w:rPr>
        <w:t>Parent Termination Fee</w:t>
      </w:r>
      <w:r>
        <w:rPr>
          <w:rFonts w:ascii="Times New Roman" w:hAnsi="Times New Roman"/>
          <w:sz w:val="20"/>
        </w:rPr>
        <w:t xml:space="preserve">”), by wire transfer of same-day funds to an account designated by Parent. </w:t>
      </w:r>
    </w:p>
    <w:p>
      <w:pPr>
        <w:pStyle w:val="TextBody"/>
        <w:bidi w:val="0"/>
        <w:spacing w:before="120" w:after="0"/>
        <w:jc w:val="left"/>
        <w:rPr>
          <w:rFonts w:ascii="Times New Roman" w:hAnsi="Times New Roman"/>
          <w:sz w:val="20"/>
        </w:rPr>
      </w:pPr>
      <w:r>
        <w:rPr>
          <w:rFonts w:ascii="Times New Roman" w:hAnsi="Times New Roman"/>
          <w:sz w:val="20"/>
        </w:rPr>
        <w:t xml:space="preserve">(e) If this Agreement is terminated (i) by Parent pursuant to </w:t>
      </w:r>
      <w:r>
        <w:rPr>
          <w:rFonts w:ascii="Times New Roman" w:hAnsi="Times New Roman"/>
          <w:sz w:val="20"/>
          <w:u w:val="single"/>
        </w:rPr>
        <w:t>Section 9.1(g)</w:t>
      </w:r>
      <w:r>
        <w:rPr>
          <w:rFonts w:ascii="Times New Roman" w:hAnsi="Times New Roman"/>
          <w:sz w:val="20"/>
        </w:rPr>
        <w:t xml:space="preserve"> (or by the Company in circumstances in which Parent has the right to terminate this Agreement pursuant </w:t>
      </w:r>
      <w:r>
        <w:rPr>
          <w:rFonts w:ascii="Times New Roman" w:hAnsi="Times New Roman"/>
          <w:sz w:val="20"/>
          <w:u w:val="single"/>
        </w:rPr>
        <w:t>Section 9.1(g)</w:t>
      </w:r>
      <w:r>
        <w:rPr>
          <w:rFonts w:ascii="Times New Roman" w:hAnsi="Times New Roman"/>
          <w:sz w:val="20"/>
        </w:rPr>
        <w:t xml:space="preserve">) or (ii) by the Company pursuant to </w:t>
      </w:r>
      <w:r>
        <w:rPr>
          <w:rFonts w:ascii="Times New Roman" w:hAnsi="Times New Roman"/>
          <w:sz w:val="20"/>
          <w:u w:val="single"/>
        </w:rPr>
        <w:t>Section 9.1(k)</w:t>
      </w:r>
      <w:r>
        <w:rPr>
          <w:rFonts w:ascii="Times New Roman" w:hAnsi="Times New Roman"/>
          <w:sz w:val="20"/>
        </w:rPr>
        <w:t xml:space="preserve">, then the Company shall pay to Parent the Parent Termination Fee, by wire transfer of same day funds to an account designated by Parent, (x) in the case of a termination by the Company referred to in the foregoing clause (i) or (ii), prior (and as a condition) to such termination or (y) in the case of a termination by Parent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9.3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9.3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12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9.2</w:t>
      </w:r>
      <w:r>
        <w:rPr>
          <w:rFonts w:ascii="Times New Roman" w:hAnsi="Times New Roman"/>
          <w:sz w:val="20"/>
        </w:rPr>
        <w:t xml:space="preserve">, the payment of fees and expenses set forth in this </w:t>
      </w:r>
      <w:r>
        <w:rPr>
          <w:rFonts w:ascii="Times New Roman" w:hAnsi="Times New Roman"/>
          <w:sz w:val="20"/>
          <w:u w:val="single"/>
        </w:rPr>
        <w:t>Section 9.3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9.3</w:t>
      </w:r>
      <w:r>
        <w:rPr>
          <w:rFonts w:ascii="Times New Roman" w:hAnsi="Times New Roman"/>
          <w:sz w:val="20"/>
        </w:rPr>
        <w:t xml:space="preserve">, it being understood that in no event shall either Parent or the Company be required to pay the individual fees, damages or expense reimbursements payable pursuant to this </w:t>
      </w:r>
      <w:r>
        <w:rPr>
          <w:rFonts w:ascii="Times New Roman" w:hAnsi="Times New Roman"/>
          <w:sz w:val="20"/>
          <w:u w:val="single"/>
        </w:rPr>
        <w:t>Section 9.3</w:t>
      </w:r>
      <w:r>
        <w:rPr>
          <w:rFonts w:ascii="Times New Roman" w:hAnsi="Times New Roman"/>
          <w:sz w:val="20"/>
        </w:rPr>
        <w:t xml:space="preserve"> on more than one occasion. Subject to </w:t>
      </w:r>
      <w:r>
        <w:rPr>
          <w:rFonts w:ascii="Times New Roman" w:hAnsi="Times New Roman"/>
          <w:sz w:val="20"/>
          <w:u w:val="single"/>
        </w:rPr>
        <w:t>Section 9.2</w:t>
      </w:r>
      <w:r>
        <w:rPr>
          <w:rFonts w:ascii="Times New Roman" w:hAnsi="Times New Roman"/>
          <w:sz w:val="20"/>
        </w:rPr>
        <w:t xml:space="preserve">, following the payment of the fees and expenses set forth in this </w:t>
      </w:r>
      <w:r>
        <w:rPr>
          <w:rFonts w:ascii="Times New Roman" w:hAnsi="Times New Roman"/>
          <w:sz w:val="20"/>
          <w:u w:val="single"/>
        </w:rPr>
        <w:t>Section 9.3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transactions contemplated hereby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transactions contemplated hereby to be consummated and (iii) all other parties and their respective Affiliates shall be precluded from any other remedy against such party and its Affiliates, at law or in equity or otherwise,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or arising out of this Agreement or the termination thereof, any breach by such party giving rise to such termination or the failure of the transactions contemplated hereby to be consummated. Each of the parties acknowledges that (x)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hereby, (y) without these agreements, the parties would not enter into this Agreement and (z) any amount payable pursuant to this </w:t>
      </w:r>
      <w:r>
        <w:rPr>
          <w:rFonts w:ascii="Times New Roman" w:hAnsi="Times New Roman"/>
          <w:sz w:val="20"/>
          <w:u w:val="single"/>
        </w:rPr>
        <w:t>Section 9.3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9.3(g)</w:t>
      </w:r>
      <w:r>
        <w:rPr>
          <w:rFonts w:ascii="Times New Roman" w:hAnsi="Times New Roman"/>
          <w:sz w:val="20"/>
        </w:rPr>
        <w:t xml:space="preserve"> shall limit the rights of the parties under </w:t>
      </w:r>
      <w:r>
        <w:rPr>
          <w:rFonts w:ascii="Times New Roman" w:hAnsi="Times New Roman"/>
          <w:sz w:val="20"/>
          <w:u w:val="single"/>
        </w:rPr>
        <w:t>Section 10.3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or agreements in this Agreement or in any instrument delivered pursuant to this Agreement shall survive the First Effective Time, other than those covenants or agreements of the parties which by their terms apply, or are to be performed in whole or in part, after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Amendment or Supplement</w:t>
      </w:r>
      <w:r>
        <w:rPr>
          <w:rFonts w:ascii="Times New Roman" w:hAnsi="Times New Roman"/>
          <w:sz w:val="20"/>
        </w:rPr>
        <w:t xml:space="preserve">. This Agreement may be amended, modified or supplemented by the parties by action taken or authorized by their respective Boards of Directors at any time, whether before or after Company Stockholder Approval or the Parent Stockholder Approval has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amendment shall be made that pursuant to applicable Law requires further approval or adoption by the stockholders of the Company or Parent,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Waiver</w:t>
      </w:r>
      <w:r>
        <w:rPr>
          <w:rFonts w:ascii="Times New Roman" w:hAnsi="Times New Roman"/>
          <w:sz w:val="20"/>
        </w:rPr>
        <w:t xml:space="preserve">. The parties may, by action taken or authorized by their respective Boards of Directors, to the extent permitted by applicable Law, waive compliance with any of the agreements or conditions of the other parties contained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waiver may be made that pursuant to applicable Law requires further approval or adoption by the stockholders of the Company or Parent,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Fees and Expenses</w:t>
      </w:r>
      <w:r>
        <w:rPr>
          <w:rFonts w:ascii="Times New Roman" w:hAnsi="Times New Roman"/>
          <w:sz w:val="20"/>
        </w:rPr>
        <w:t xml:space="preserve">. Except as otherwise set forth in this Agreement, all fees and expenses incurred in connection with this Agreement, the Merger and the other transactions contemplated hereby shall be paid by the party incurring such fees or expenses, except that the expenses incurred in connection with the engagement of an exchange agent and all filing and other fees paid to the SEC in connection with the Merger and the transactions contemplated hereby, shall be borne by Parent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given (a) on the date of delivery if delivered personally, or if by e-mail, upon written confirmation of receipt by e-mail or otherwise,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Merger Subs,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 Alex Sapir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 Mitchell S. Bloom </w:t>
      </w:r>
    </w:p>
    <w:p>
      <w:pPr>
        <w:pStyle w:val="TextBody"/>
        <w:bidi w:val="0"/>
        <w:spacing w:before="0" w:after="0"/>
        <w:jc w:val="left"/>
        <w:rPr/>
      </w:pPr>
      <w:r>
        <w:rPr/>
        <w:t>      </w:t>
      </w:r>
      <w:r>
        <w:rPr>
          <w:rFonts w:ascii="Times New Roman" w:hAnsi="Times New Roman"/>
          <w:sz w:val="20"/>
        </w:rPr>
        <w:t xml:space="preserve">Tevia K. Pollard </w:t>
      </w:r>
    </w:p>
    <w:p>
      <w:pPr>
        <w:pStyle w:val="TextBody"/>
        <w:bidi w:val="0"/>
        <w:spacing w:before="0" w:after="0"/>
        <w:jc w:val="left"/>
        <w:rPr/>
      </w:pPr>
      <w:r>
        <w:rPr/>
        <w:t>      </w:t>
      </w:r>
      <w:r>
        <w:rPr>
          <w:rFonts w:ascii="Times New Roman" w:hAnsi="Times New Roman"/>
          <w:sz w:val="20"/>
        </w:rPr>
        <w:t xml:space="preserve">Marianne Sarrazin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w:t>
      </w:r>
    </w:p>
    <w:p>
      <w:pPr>
        <w:pStyle w:val="TextBody"/>
        <w:bidi w:val="0"/>
        <w:spacing w:before="0" w:after="0"/>
        <w:jc w:val="left"/>
        <w:rPr/>
      </w:pPr>
      <w:r>
        <w:rPr/>
        <w:t>      </w:t>
      </w:r>
      <w:r>
        <w:rPr>
          <w:rFonts w:ascii="Times New Roman" w:hAnsi="Times New Roman"/>
          <w:sz w:val="20"/>
        </w:rPr>
        <w:t xml:space="preserve">Miguel Vega </w:t>
      </w:r>
    </w:p>
    <w:p>
      <w:pPr>
        <w:pStyle w:val="TextBody"/>
        <w:bidi w:val="0"/>
        <w:spacing w:before="0" w:after="0"/>
        <w:jc w:val="left"/>
        <w:rPr/>
      </w:pPr>
      <w:r>
        <w:rPr/>
        <w:t>      </w:t>
      </w:r>
      <w:r>
        <w:rPr>
          <w:rFonts w:ascii="Times New Roman" w:hAnsi="Times New Roman"/>
          <w:sz w:val="20"/>
        </w:rPr>
        <w:t xml:space="preserve">Lindsey O. Crow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Entire Agreement</w:t>
      </w:r>
      <w:r>
        <w:rPr>
          <w:rFonts w:ascii="Times New Roman" w:hAnsi="Times New Roman"/>
          <w:sz w:val="20"/>
        </w:rPr>
        <w:t xml:space="preserve">. This Agreement (including the Exhibits hereto), the Company Disclosure Letter, the Parent Disclosure Letter, the Subscription Agreements,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No Third Party Beneficiaries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as provided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Times New Roman" w:hAnsi="Times New Roman"/>
          <w:sz w:val="20"/>
          <w:u w:val="single"/>
        </w:rPr>
        <w:t>Section 10.3</w:t>
      </w:r>
      <w:r>
        <w:rPr>
          <w:rFonts w:ascii="Times New Roman" w:hAnsi="Times New Roman"/>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Governing Law</w:t>
      </w:r>
      <w:r>
        <w:rPr>
          <w:rFonts w:ascii="Times New Roman" w:hAnsi="Times New Roman"/>
          <w:sz w:val="20"/>
        </w:rPr>
        <w:t xml:space="preserve">.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Submission to Jurisdiction</w:t>
      </w:r>
      <w:r>
        <w:rPr>
          <w:rFonts w:ascii="Times New Roman" w:hAnsi="Times New Roman"/>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the parties hereto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ALL RIGHT TO A TRIAL BY JURY IN ANY ACTION, PROCEEDING OR COUNTERCLAIM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Facsimile or .pdf Signature</w:t>
      </w:r>
      <w:r>
        <w:rPr>
          <w:rFonts w:ascii="Times New Roman" w:hAnsi="Times New Roman"/>
          <w:sz w:val="20"/>
        </w:rPr>
        <w:t xml:space="preserve">. This Agreement may be executed by facsimile or .pdf signature and a facsimile or .pdf signature shall constitute an original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No Presumption Against Drafting Party</w:t>
      </w:r>
      <w:r>
        <w:rPr>
          <w:rFonts w:ascii="Times New Roman" w:hAnsi="Times New Roman"/>
          <w:sz w:val="20"/>
        </w:rPr>
        <w:t xml:space="preserve">. Each of Parent, Merger Subs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II,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36791dex101.htm"/>
      <w:bookmarkStart w:id="5" w:name="ksd136791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$0.001 per share (the “</w:t>
      </w:r>
      <w:r>
        <w:rPr>
          <w:rFonts w:ascii="Times New Roman" w:hAnsi="Times New Roman"/>
          <w:b/>
          <w:i/>
          <w:sz w:val="20"/>
        </w:rPr>
        <w:t>Parent Shares</w:t>
      </w:r>
      <w:r>
        <w:rPr>
          <w:rFonts w:ascii="Times New Roman" w:hAnsi="Times New Roman"/>
          <w:sz w:val="20"/>
        </w:rPr>
        <w:t xml:space="preserve">”) and Parent Options or Parent Restricted Stock Unit Awards to acquire the number of Parent Shares, of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Parent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the Company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Parent Shares (the “</w:t>
      </w:r>
      <w:r>
        <w:rPr>
          <w:rFonts w:ascii="Times New Roman" w:hAnsi="Times New Roman"/>
          <w:b/>
          <w:i/>
          <w:sz w:val="20"/>
        </w:rPr>
        <w:t>Parent Stockholders</w:t>
      </w:r>
      <w:r>
        <w:rPr>
          <w:rFonts w:ascii="Times New Roman" w:hAnsi="Times New Roman"/>
          <w:sz w:val="20"/>
        </w:rPr>
        <w:t xml:space="preserve">”), however called, and at every adjournment or postponement thereof (or pursuant to a written consent if the Parent Stockholders act by written consent in lieu of a meeting, including in connection with the Parent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Merger Agreement and approving the Merger and the other transactions contemplated by the Merger Agreement, including, but not limited to the Nasdaq Issuance Proposal and the Reverse Stock Split Proposal,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Parent Option to purchase Company Shares or settle an equity award (including a net or cashless exercise of such option); (I) Transfer Company Shares to the Company to cover tax withholding obligations of the Stockholder in connection with the vesting, settlement or exercise of any Parent Options, Parent Restricted Stock Unit Awards,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Parent pursuant to arrangements under which Parent has the option to repurchase such Parent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the Company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the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the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Parent Stockholders or in connection with any action sought to be taken by written consent of the Parent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Parent Stockholders or in connection with any action sought to be taken by written consent of the Parent Stockholders without a meeting. The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Parent.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the Company any direct or indirect ownership or incidents of ownership of or with respect to the Subject Shares. All rights, ownership and economic benefits of and relating to the Subject Shares will remain and belong to the Stockholder, and the Company will have no authority to manage, direct, superintend, restrict, regulate, govern or administer any of the policies or operations of Parent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Parent Board, breaches any fiduciary duty of the Parent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Parent.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No Solicitation</w:t>
      </w:r>
      <w:r>
        <w:rPr>
          <w:rFonts w:ascii="Times New Roman" w:hAnsi="Times New Roman"/>
          <w:sz w:val="20"/>
        </w:rPr>
        <w:t xml:space="preserve">. Subject to Section 4.16, the Stockholder agrees not to, directly or indirectly, including through any of its officers, directors or agents, take any action that Parent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Parent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Parent with respect to any Parent Shares granted to the Stockholder under an employee benefit plan of Parent and (d) as provided in the certificate of incorporation or bylaws of Parent.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Parent Shares owned by the Stockholder as of the date hereof. Except pursuant to Parent’s certificate of incorporation, bylaws and the right of the Company to purchase or acquire any Parent Shares pursuant to an employee benefit plan of Parent,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Parent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The Company is a corporation duly incorporated, validly existing and in good standing under the laws of the State of Delaware. The consummation of the transactions contemplated hereby is within the Company’s corporate powers and has been duly authorized by all necessary corporate actions on the part of the Company. The Company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the Company and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Parent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the Company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the Company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the Company with a copy of such Agreement promptly upon consummation of any such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Parent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Parent Board, constitutes a breach of any fiduciary duty of the Parent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Parent Shares, and not in the Stockholder’s capacity as a director, officer or employee of Parent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7"/>
        <w:gridCol w:w="77"/>
        <w:gridCol w:w="3548"/>
      </w:tblGrid>
      <w:tr>
        <w:trPr/>
        <w:tc>
          <w:tcPr>
            <w:tcW w:w="45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pBdr>
                <w:bottom w:val="single" w:sz="2" w:space="1" w:color="000000"/>
              </w:pBdr>
              <w:bidi w:val="0"/>
              <w:spacing w:before="0" w:after="20"/>
              <w:jc w:val="left"/>
              <w:rPr/>
            </w:pPr>
            <w:r>
              <w:rPr/>
              <w:t> </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Name:</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3"/>
        <w:gridCol w:w="556"/>
        <w:gridCol w:w="437"/>
        <w:gridCol w:w="438"/>
        <w:gridCol w:w="61"/>
      </w:tblGrid>
      <w:tr>
        <w:trPr/>
        <w:tc>
          <w:tcPr>
            <w:tcW w:w="8713" w:type="dxa"/>
            <w:tcBorders/>
            <w:vAlign w:val="center"/>
          </w:tcPr>
          <w:p>
            <w:pPr>
              <w:pStyle w:val="TableContents"/>
              <w:bidi w:val="0"/>
              <w:spacing w:before="0" w:after="283"/>
              <w:jc w:val="left"/>
              <w:rPr>
                <w:sz w:val="4"/>
                <w:szCs w:val="4"/>
              </w:rPr>
            </w:pPr>
            <w:r>
              <w:rPr>
                <w:sz w:val="4"/>
                <w:szCs w:val="4"/>
              </w:rPr>
            </w:r>
          </w:p>
        </w:tc>
        <w:tc>
          <w:tcPr>
            <w:tcW w:w="556"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7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556"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556"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713" w:type="dxa"/>
            <w:tcBorders/>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55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556"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I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right"/>
        <w:rPr>
          <w:rFonts w:ascii="Times New Roman" w:hAnsi="Times New Roman"/>
          <w:b/>
          <w:sz w:val="20"/>
        </w:rPr>
      </w:pPr>
      <w:bookmarkStart w:id="6" w:name="d136791dex102.htm"/>
      <w:bookmarkStart w:id="7" w:name="ksd136791dex102"/>
      <w:bookmarkEnd w:id="6"/>
      <w:bookmarkEnd w:id="7"/>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$0.00001 per share (“</w:t>
      </w:r>
      <w:r>
        <w:rPr>
          <w:rFonts w:ascii="Times New Roman" w:hAnsi="Times New Roman"/>
          <w:b/>
          <w:i/>
          <w:sz w:val="20"/>
        </w:rPr>
        <w:t>Common Stock</w:t>
      </w:r>
      <w:r>
        <w:rPr>
          <w:rFonts w:ascii="Times New Roman" w:hAnsi="Times New Roman"/>
          <w:sz w:val="20"/>
        </w:rPr>
        <w:t>”), preferred stock, par value $0.00001 per share (“</w:t>
      </w:r>
      <w:r>
        <w:rPr>
          <w:rFonts w:ascii="Times New Roman" w:hAnsi="Times New Roman"/>
          <w:b/>
          <w:i/>
          <w:sz w:val="20"/>
        </w:rPr>
        <w:t>Preferred Stock</w:t>
      </w:r>
      <w:r>
        <w:rPr>
          <w:rFonts w:ascii="Times New Roman" w:hAnsi="Times New Roman"/>
          <w:sz w:val="20"/>
        </w:rPr>
        <w:t>” and collectively with the Common Stock, the “</w:t>
      </w:r>
      <w:r>
        <w:rPr>
          <w:rFonts w:ascii="Times New Roman" w:hAnsi="Times New Roman"/>
          <w:b/>
          <w:i/>
          <w:sz w:val="20"/>
        </w:rPr>
        <w:t>Company Shares</w:t>
      </w:r>
      <w:r>
        <w:rPr>
          <w:rFonts w:ascii="Times New Roman" w:hAnsi="Times New Roman"/>
          <w:sz w:val="20"/>
        </w:rPr>
        <w:t xml:space="preserve">”) and Company Options to acquire the number of Company Shares, of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Company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Parent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Company Shares (the “</w:t>
      </w:r>
      <w:r>
        <w:rPr>
          <w:rFonts w:ascii="Times New Roman" w:hAnsi="Times New Roman"/>
          <w:b/>
          <w:i/>
          <w:sz w:val="20"/>
        </w:rPr>
        <w:t>Company Stockholders</w:t>
      </w:r>
      <w:r>
        <w:rPr>
          <w:rFonts w:ascii="Times New Roman" w:hAnsi="Times New Roman"/>
          <w:sz w:val="20"/>
        </w:rPr>
        <w:t xml:space="preserve">”), however called, and at every adjournment or postponement thereof (or pursuant to a written consent if the Company Stockholders act by written consent in lieu of a meeting, including in connection with the Company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Merger Agreement and approving the Merger and the other transactions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Company Option to purchase Company Shares or settle an equity award (including a net or cashless exercise of such option); (I) Transfer Company Shares to the Company to cover tax withholding obligations of the Stockholder in connection with the vesting, settlement or exercise of any Company Options,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Company Stockholders or in connection with any action sought to be taken by written consent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Parent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 xml:space="preserve">No Solicitation </w:t>
      </w:r>
      <w:r>
        <w:rPr>
          <w:rFonts w:ascii="Times New Roman" w:hAnsi="Times New Roman"/>
          <w:sz w:val="20"/>
        </w:rPr>
        <w:t xml:space="preserve">. Subject to Section 4.16, the Stockholder agrees not to, directly or indirectly, including through any of its officers, directors or agents, take any action that the Company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The Company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Parent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Amended and Restated Right of First Refusal and Co-Sale Agreement, dated as of February 17, 2026, by and among the Company and certain stockholders of the Company, and that certain Amended and Restated Voting Agreement, dated as of February 17, 2026, by and among the Company and certain stockholders of the Company (the “</w:t>
      </w:r>
      <w:r>
        <w:rPr>
          <w:rFonts w:ascii="Times New Roman" w:hAnsi="Times New Roman"/>
          <w:b/>
          <w:i/>
          <w:sz w:val="20"/>
        </w:rPr>
        <w:t>Voting Agreement</w:t>
      </w:r>
      <w:r>
        <w:rPr>
          <w:rFonts w:ascii="Times New Roman" w:hAnsi="Times New Roman"/>
          <w:sz w:val="20"/>
        </w:rPr>
        <w:t xml:space="preserve">”).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bidi w:val="0"/>
        <w:spacing w:before="240" w:after="0"/>
        <w:jc w:val="left"/>
        <w:rPr>
          <w:rFonts w:ascii="Times New Roman" w:hAnsi="Times New Roman"/>
          <w:sz w:val="20"/>
        </w:rPr>
      </w:pPr>
      <w:r>
        <w:rPr>
          <w:rFonts w:ascii="Times New Roman" w:hAnsi="Times New Roman"/>
          <w:sz w:val="20"/>
        </w:rPr>
        <w:t xml:space="preserve">Parent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Parent and constitutes a valid and binding obligation of Parent enforceable against Parent in accordance with its terms, except to the extent that enforceability may be limited by applicable bankruptcy, insolvency, moratorium, reorganization or similar Laws affecting the enforcement of creditors’ rights generally or by general principles of equity.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Parent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Company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the Company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Company Board, constitutes a breach of any fiduciary duty of the Company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5"/>
        <w:gridCol w:w="104"/>
        <w:gridCol w:w="3393"/>
      </w:tblGrid>
      <w:tr>
        <w:trPr/>
        <w:tc>
          <w:tcPr>
            <w:tcW w:w="58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w:t>
            </w:r>
            <w:r>
              <w:rPr>
                <w:b/>
                <w:sz w:val="20"/>
              </w:rPr>
              <w:t>ULCRUM</w:t>
            </w:r>
            <w:r>
              <w:rPr>
                <w:b/>
              </w:rPr>
              <w:t xml:space="preserve"> T</w:t>
            </w:r>
            <w:r>
              <w:rPr>
                <w:b/>
                <w:sz w:val="20"/>
              </w:rPr>
              <w:t>HERAPEUTICS</w:t>
            </w:r>
            <w:r>
              <w:rPr>
                <w:b/>
              </w:rPr>
              <w:t>, I</w:t>
            </w:r>
            <w:r>
              <w:rPr>
                <w:b/>
                <w:sz w:val="20"/>
              </w:rPr>
              <w:t>NC</w:t>
            </w:r>
            <w:r>
              <w:rPr>
                <w:b/>
              </w:rPr>
              <w:t xml:space="preserve">. </w:t>
            </w:r>
          </w:p>
        </w:tc>
      </w:tr>
      <w:tr>
        <w:trPr>
          <w:trHeight w:val="240" w:hRule="atLeast"/>
        </w:trPr>
        <w:tc>
          <w:tcPr>
            <w:tcW w:w="585" w:type="dxa"/>
            <w:tcBorders/>
            <w:vAlign w:val="center"/>
          </w:tcPr>
          <w:p>
            <w:pPr>
              <w:pStyle w:val="TableContents"/>
              <w:bidi w:val="0"/>
              <w:spacing w:before="0" w:after="283"/>
              <w:jc w:val="left"/>
              <w:rPr>
                <w:sz w:val="4"/>
                <w:szCs w:val="4"/>
              </w:rPr>
            </w:pPr>
            <w:r>
              <w:rPr>
                <w:sz w:val="4"/>
                <w:szCs w:val="4"/>
              </w:rPr>
            </w:r>
          </w:p>
        </w:tc>
        <w:tc>
          <w:tcPr>
            <w:tcW w:w="3497" w:type="dxa"/>
            <w:gridSpan w:val="2"/>
            <w:tcBorders/>
            <w:vAlign w:val="center"/>
          </w:tcPr>
          <w:p>
            <w:pPr>
              <w:pStyle w:val="TableContents"/>
              <w:bidi w:val="0"/>
              <w:spacing w:before="0" w:after="283"/>
              <w:jc w:val="left"/>
              <w:rPr>
                <w:sz w:val="4"/>
                <w:szCs w:val="4"/>
              </w:rPr>
            </w:pPr>
            <w:r>
              <w:rPr>
                <w:sz w:val="4"/>
                <w:szCs w:val="4"/>
              </w:rPr>
            </w:r>
          </w:p>
        </w:tc>
      </w:tr>
      <w:tr>
        <w:trPr/>
        <w:tc>
          <w:tcPr>
            <w:tcW w:w="585"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pBdr>
                <w:bottom w:val="single" w:sz="2" w:space="1" w:color="000000"/>
              </w:pBdr>
              <w:bidi w:val="0"/>
              <w:spacing w:before="0" w:after="20"/>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Name:</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 (IF AN INDIVIDUAL)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5540" w:type="dxa"/>
        <w:jc w:val="right"/>
        <w:tblInd w:w="0" w:type="dxa"/>
        <w:tblLayout w:type="fixed"/>
        <w:tblCellMar>
          <w:top w:w="0" w:type="dxa"/>
          <w:left w:w="0" w:type="dxa"/>
          <w:bottom w:w="0" w:type="dxa"/>
          <w:right w:w="0" w:type="dxa"/>
        </w:tblCellMar>
      </w:tblPr>
      <w:tblGrid>
        <w:gridCol w:w="5540"/>
      </w:tblGrid>
      <w:tr>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b/>
              </w:rPr>
            </w:pPr>
            <w:r>
              <w:rPr>
                <w:b/>
              </w:rPr>
              <w:t>STOCKHOLDER (IF AN ENTITY)</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w:t>
            </w:r>
          </w:p>
        </w:tc>
      </w:tr>
      <w:tr>
        <w:trPr/>
        <w:tc>
          <w:tcPr>
            <w:tcW w:w="5540" w:type="dxa"/>
            <w:tcBorders/>
          </w:tcPr>
          <w:p>
            <w:pPr>
              <w:pStyle w:val="TableContents"/>
              <w:bidi w:val="0"/>
              <w:spacing w:before="0" w:after="283"/>
              <w:jc w:val="left"/>
              <w:rPr/>
            </w:pPr>
            <w:r>
              <w:rPr/>
              <w:t>(Print Name of Entity)</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By: _____________________________________________</w:t>
            </w:r>
          </w:p>
        </w:tc>
      </w:tr>
      <w:tr>
        <w:trPr/>
        <w:tc>
          <w:tcPr>
            <w:tcW w:w="5540" w:type="dxa"/>
            <w:tcBorders/>
          </w:tcPr>
          <w:p>
            <w:pPr>
              <w:pStyle w:val="TableContents"/>
              <w:bidi w:val="0"/>
              <w:spacing w:before="0" w:after="283"/>
              <w:jc w:val="left"/>
              <w:rPr/>
            </w:pPr>
            <w:r>
              <w:rPr/>
              <w:t>(Signature)</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pBdr>
                <w:bottom w:val="single" w:sz="2" w:space="1" w:color="000000"/>
              </w:pBdr>
              <w:bidi w:val="0"/>
              <w:spacing w:before="0" w:after="20"/>
              <w:jc w:val="left"/>
              <w:rPr/>
            </w:pPr>
            <w:r>
              <w:rPr/>
              <w:t> </w:t>
            </w:r>
          </w:p>
        </w:tc>
      </w:tr>
      <w:tr>
        <w:trPr/>
        <w:tc>
          <w:tcPr>
            <w:tcW w:w="5540" w:type="dxa"/>
            <w:tcBorders/>
          </w:tcPr>
          <w:p>
            <w:pPr>
              <w:pStyle w:val="TableContents"/>
              <w:bidi w:val="0"/>
              <w:spacing w:before="0" w:after="283"/>
              <w:jc w:val="left"/>
              <w:rPr/>
            </w:pPr>
            <w:r>
              <w:rPr/>
              <w:t>(Name and Title of Signatory)</w:t>
            </w:r>
          </w:p>
        </w:tc>
      </w:tr>
      <w:tr>
        <w:trPr/>
        <w:tc>
          <w:tcPr>
            <w:tcW w:w="5540" w:type="dxa"/>
            <w:tcBorders/>
          </w:tcPr>
          <w:p>
            <w:pPr>
              <w:pStyle w:val="TableContents"/>
              <w:bidi w:val="0"/>
              <w:spacing w:before="0" w:after="283"/>
              <w:jc w:val="left"/>
              <w:rPr/>
            </w:pPr>
            <w:r>
              <w:rPr/>
              <w:t>Address for Notices:</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pBdr>
                <w:bottom w:val="single" w:sz="2" w:space="1" w:color="000000"/>
              </w:pBdr>
              <w:bidi w:val="0"/>
              <w:spacing w:before="0" w:after="20"/>
              <w:jc w:val="left"/>
              <w:rPr/>
            </w:pPr>
            <w:r>
              <w:rPr/>
              <w:t> </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pBdr>
                <w:bottom w:val="single" w:sz="2" w:space="1" w:color="000000"/>
              </w:pBdr>
              <w:bidi w:val="0"/>
              <w:spacing w:before="0" w:after="20"/>
              <w:jc w:val="left"/>
              <w:rPr/>
            </w:pPr>
            <w:r>
              <w:rPr/>
              <w:t> </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Email:___________________________________________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6"/>
        <w:gridCol w:w="553"/>
        <w:gridCol w:w="437"/>
        <w:gridCol w:w="438"/>
        <w:gridCol w:w="61"/>
      </w:tblGrid>
      <w:tr>
        <w:trPr/>
        <w:tc>
          <w:tcPr>
            <w:tcW w:w="8716"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7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553"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55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716"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55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55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716" w:type="dxa"/>
            <w:tcBorders/>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55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55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I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right"/>
        <w:rPr>
          <w:rFonts w:ascii="Times New Roman" w:hAnsi="Times New Roman"/>
          <w:b/>
          <w:sz w:val="20"/>
        </w:rPr>
      </w:pPr>
      <w:bookmarkStart w:id="8" w:name="d136791dex103.htm"/>
      <w:bookmarkStart w:id="9" w:name="ksd136791dex103"/>
      <w:bookmarkEnd w:id="8"/>
      <w:bookmarkEnd w:id="9"/>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Fulcrum Therapeutics, Inc., a Delaware corporation (“</w:t>
      </w:r>
      <w:r>
        <w:rPr>
          <w:rFonts w:ascii="Times New Roman" w:hAnsi="Times New Roman"/>
          <w:sz w:val="20"/>
          <w:u w:val="single"/>
        </w:rPr>
        <w:t>Parent</w:t>
      </w:r>
      <w:r>
        <w:rPr>
          <w:rFonts w:ascii="Times New Roman" w:hAnsi="Times New Roman"/>
          <w:sz w:val="20"/>
        </w:rPr>
        <w:t>”), is entering into an Agreement and Plan of Merger, dated as of August 16, 2026 (as the same may be amended from time to time, the “</w:t>
      </w:r>
      <w:r>
        <w:rPr>
          <w:rFonts w:ascii="Times New Roman" w:hAnsi="Times New Roman"/>
          <w:sz w:val="20"/>
          <w:u w:val="single"/>
        </w:rPr>
        <w:t>Mer</w:t>
      </w:r>
      <w:r>
        <w:rPr>
          <w:rFonts w:ascii="Times New Roman" w:hAnsi="Times New Roman"/>
          <w:sz w:val="20"/>
        </w:rPr>
        <w:t>g</w:t>
      </w:r>
      <w:r>
        <w:rPr>
          <w:rFonts w:ascii="Times New Roman" w:hAnsi="Times New Roman"/>
          <w:sz w:val="20"/>
          <w:u w:val="single"/>
        </w:rPr>
        <w:t>er Agreement</w:t>
      </w:r>
      <w:r>
        <w:rPr>
          <w:rFonts w:ascii="Times New Roman" w:hAnsi="Times New Roman"/>
          <w:sz w:val="20"/>
        </w:rPr>
        <w:t>”) with Fusion Merger Sub I, Inc., a Delaware corporation and a wholly owned subsidiary of Parent, Fusion Merger Sub II, LLC, a Delaware limited liability company and a wholly owned subsidiary of Parent, and Slate Medicines,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provided, that if a registration statement covering the shares of Parent Common Stock issued or issuable in exchange for, or upon conversion of, shares of Company Common Stock and Company Warrants issued and sold in connection with the Concurrent Investment (other than any shares of Parent Common Stock issued or issuable in exchange for, or upon conversion of, shares of Company Common Stock or Company Warrants held by affiliates of the Company) has not been declared effective by the SEC prior to the end of such 180-day period, then the Restricted Period shall end on such later date upon which such registration statement is first declared effective: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or vesting, as applicable, of a stock option or warrant or settlement of a restricted stock unit or restricted stock award and Parent Common Stock or such other securities to be issued to the undersigned in connection with the Merger, in each case,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“Undersigned’s Shares” shall not include any shares of Parent Common Stock issuable to the undersigned (or any of its affiliates) pursuant to the Subscription Agreement in connection with the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bidi w:val="0"/>
        <w:spacing w:before="12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and that certain registration rights agreement entered into by the Company and certain signatories therein in connection with the Concurrent Investment); or </w:t>
      </w:r>
    </w:p>
    <w:p>
      <w:pPr>
        <w:pStyle w:val="TextBody"/>
        <w:bidi w:val="0"/>
        <w:spacing w:before="120" w:after="0"/>
        <w:jc w:val="left"/>
        <w:rPr>
          <w:rFonts w:ascii="Times New Roman" w:hAnsi="Times New Roman"/>
          <w:sz w:val="20"/>
        </w:rPr>
      </w:pPr>
      <w:r>
        <w:rPr>
          <w:rFonts w:ascii="Times New Roman" w:hAnsi="Times New Roman"/>
          <w:sz w:val="20"/>
        </w:rPr>
        <w:t xml:space="preserve">(4) 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(1)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by operation of Law, such as pursuant to a qualified domestic order or in connection with a divorce settlement or (E) to any partnership, corporation, limited liability company or other entity, in each case, the beneficial ownership interests of all of which are held by or otherwise under common control (via beneficial ownership, contract or otherwise) with the undersigned or a Family Member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 </w:t>
      </w:r>
      <w:r>
        <w:rPr>
          <w:rFonts w:ascii="Times New Roman" w:hAnsi="Times New Roman"/>
          <w:sz w:val="20"/>
          <w:u w:val="single"/>
        </w:rPr>
        <w:t>other entity</w:t>
      </w:r>
      <w:r>
        <w:rPr>
          <w:rFonts w:ascii="Times New Roman" w:hAnsi="Times New Roman"/>
          <w:sz w:val="20"/>
        </w:rPr>
        <w:t xml:space="preserve">,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(including, for the avoidance of doubt, where the undersigned is a partnership, to its general partner or a successor partnership or fund, or any other funds managed by such partnership), (B) as a distribution or dividend to equity holders, current or former partners, members, stockholders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transfers or dispositions not involving a change in beneficial ownership or (E) with prior written consent of Parent (as constituted following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clauses (a)1(A), (a)1(E) or (a)2(A) hereto) and each donee, heir, beneficiary or other transferee or distributee shall sign and deliver to Parent a lock-up agreement in the form of this Lock-Up Agreement with respect to the shares of Parent Common Stock or such other securities that have been so transferred or distributed and if a filing pursuant to Section 16(a) of the Exchange Act is required, such filing shall describe the nature of the transfer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Parent Common Stock (including a net or cashless exercise of an option to purchase shares of Parent Common Stock), and any related transfer of shares of Parent Common Stock to Parent or open market sale of Parent Common Stock for the purpose of paying the exercise price of such options or for paying taxes (including estimated taxes) due as a result of the exercise of such options, and open market sale for the purpose of paying taxes (including estimated taxes) due as a result of the receipt of Parent Common Stock (or in the case of the vesting of restricted stock units pursuant to terms of the Merger Agreement converted into shares of Parent Common Stock pursuant to the terms of the Merger Agreement);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establishment of a trading plan pursuant to Rule 10b5-l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the disposition (including a forfeiture or repurchase) to Parent of any shares of restricted stock granted pursuant to the terms of any employee benefit plan or restricted 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transfers, distributions, sales or other transactions by the undersigned of shares of Parent Common Stock purchased by the undersigned on the open market or in a public offering by Parent, in each case following the date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(g) transfers pursuant to a bona-fide third party tender offer, merger, consolidation or other similar transaction made to all holders of Parent’s capital stock involving a change of control of Parent, provided that in the event that such tender offer, merger, consolidation or other such transaction is not completed, the Undersigned’s Shares shall remain subject to the restrictions contained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120" w:after="0"/>
        <w:jc w:val="left"/>
        <w:rPr>
          <w:rFonts w:ascii="Times New Roman" w:hAnsi="Times New Roman"/>
          <w:sz w:val="20"/>
        </w:rPr>
      </w:pPr>
      <w:r>
        <w:rPr>
          <w:rFonts w:ascii="Times New Roman" w:hAnsi="Times New Roman"/>
          <w:sz w:val="20"/>
        </w:rPr>
        <w:t xml:space="preserve">(i) transfers by the undersigned of shares of Parent Common Stock issued pursuant to the Merger Agreement in respect of shares of the Company, if any, purchased from the Company on or about the Closing Date but prior to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(j) transfers, distributions, sales or other transactions with the prior written consent of Parent (as constituted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the Parent’s voting securities if, after such transfer, the Parent’s stockholders as of immediately prior to such transfer do not hold a majority of the outstanding voting securities of the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the Board of Directors of Parent may waive any term of this Lock-Up Agreement at any time and for any reason. The undersigned understands that Parent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was not performed in accordance with its specific terms or were otherwise breached. It is accordingly agreed that Parent and/or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the Company shall promptly (and in any event within two (2) business days of such release) inform each relevant holder of Parent Common Stock or warrants of the terms of such Pro-Rata Release.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Delaware, without regard to the conflict of Laws principles thereof.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shall be binding upon the undersigned and the heirs, personal representatives, successors and assigns of the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67"/>
        <w:gridCol w:w="3493"/>
      </w:tblGrid>
      <w:tr>
        <w:trPr/>
        <w:tc>
          <w:tcPr>
            <w:tcW w:w="522"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Print Name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individuals):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entities):</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pBdr>
                <w:bottom w:val="single" w:sz="2" w:space="1" w:color="000000"/>
              </w:pBdr>
              <w:bidi w:val="0"/>
              <w:spacing w:before="0" w:after="20"/>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Name:</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34"/>
        <w:gridCol w:w="116"/>
        <w:gridCol w:w="3232"/>
      </w:tblGrid>
      <w:tr>
        <w:trPr/>
        <w:tc>
          <w:tcPr>
            <w:tcW w:w="73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FULCRUM THERAPEUTICS,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SLATE MEDICINES,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right"/>
        <w:rPr>
          <w:rFonts w:ascii="Times New Roman" w:hAnsi="Times New Roman"/>
          <w:b/>
          <w:sz w:val="20"/>
        </w:rPr>
      </w:pPr>
      <w:bookmarkStart w:id="10" w:name="d136791dex104.htm"/>
      <w:bookmarkStart w:id="11" w:name="ksd136791dex104"/>
      <w:bookmarkEnd w:id="10"/>
      <w:bookmarkEnd w:id="11"/>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16, 2026, by and among Slate Medicines, Inc., a Delaware corporation (the “</w:t>
      </w:r>
      <w:r>
        <w:rPr>
          <w:rFonts w:ascii="Times New Roman" w:hAnsi="Times New Roman"/>
          <w:b/>
          <w:sz w:val="20"/>
        </w:rPr>
        <w:t>Company</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at a per share purchase price equal to the Share Price;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the parties hereto will execute and deliver a Registration Rights Agreement, in the form attached hereto as </w:t>
      </w:r>
      <w:r>
        <w:rPr>
          <w:rFonts w:ascii="Times New Roman" w:hAnsi="Times New Roman"/>
          <w:sz w:val="20"/>
          <w:u w:val="single"/>
        </w:rPr>
        <w:t>Exhibit B</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Certificate of Incorporation of the Company, as currently in effect and as in effect on the Closing Date.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Notice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 Presentation</w:t>
      </w:r>
      <w:r>
        <w:rPr>
          <w:rFonts w:ascii="Times New Roman" w:hAnsi="Times New Roman"/>
          <w:sz w:val="20"/>
        </w:rPr>
        <w:t xml:space="preserve">” means that certain Investor Presentation, as provided to the Investors prior to the date hereof and filed by Parent on Form 8-K on or around the date hereof.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3.19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Section 5.9(a). </w:t>
      </w:r>
    </w:p>
    <w:p>
      <w:pPr>
        <w:pStyle w:val="TextBody"/>
        <w:bidi w:val="0"/>
        <w:spacing w:before="240" w:after="0"/>
        <w:jc w:val="left"/>
        <w:rPr/>
      </w:pPr>
      <w:r>
        <w:rP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any Investor who, together with any affiliated funds or commonly managed funds, has committed to purchase at least $45 million of the Securities, and (ii) following the Closing, the Investors who hold (as of such time) at least a majority of the Securities still held by the Investors.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and related strains, epidemic or similar health emergency, and other force majeure events in the United States or any other location,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material changes in laws after the date of this Agreement, provided that the Company is not disproportionately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pPr>
      <w:r>
        <w:rPr/>
        <w:t>“</w:t>
      </w:r>
      <w:r>
        <w:rPr>
          <w:rFonts w:ascii="Times New Roman" w:hAnsi="Times New Roman"/>
          <w:b/>
          <w:sz w:val="20"/>
        </w:rPr>
        <w:t>Merger Agreement Closing</w:t>
      </w:r>
      <w:r>
        <w:rPr>
          <w:rFonts w:ascii="Times New Roman" w:hAnsi="Times New Roman"/>
          <w:sz w:val="20"/>
        </w:rPr>
        <w:t xml:space="preserve">” means the “First Effective Time” as such term is defined in the Merger Agreement.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(i) on and prior to the Closing Date, the Nasdaq Global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 or “Processing</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Public Company Meeting</w:t>
      </w:r>
      <w:r>
        <w:rPr>
          <w:rFonts w:ascii="Times New Roman" w:hAnsi="Times New Roman"/>
          <w:sz w:val="20"/>
        </w:rPr>
        <w:t xml:space="preserve">” has the meaning set forth in Section 3.31 hereof.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3.18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the Initial Shares.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an amount equal to (i) $350,000,000, (ii) divided by the number of Company Outstanding Shares (as defined in the Merger Agreement but excluding the Securities being issued hereunder) as of immediately prior to the closing of offering of the Securities hereunder.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Initial Shares.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Merger Agreement, the Registration Rights Agreement and any other documents or agreements explicitly contemplated hereunder or thereunder.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w:t>
      </w:r>
      <w:r>
        <w:rPr>
          <w:rFonts w:ascii="Times New Roman" w:hAnsi="Times New Roman"/>
          <w:b/>
          <w:sz w:val="20"/>
        </w:rPr>
        <w:t>Commitment Amount</w:t>
      </w:r>
      <w:r>
        <w:rPr>
          <w:rFonts w:ascii="Times New Roman" w:hAnsi="Times New Roman"/>
          <w:sz w:val="20"/>
        </w:rPr>
        <w:t>” and opposite such Investor’s name on Exhibit A (the “</w:t>
      </w:r>
      <w:r>
        <w:rPr>
          <w:rFonts w:ascii="Times New Roman" w:hAnsi="Times New Roman"/>
          <w:b/>
          <w:sz w:val="20"/>
        </w:rPr>
        <w:t>Commitment Amount</w:t>
      </w:r>
      <w:r>
        <w:rPr>
          <w:rFonts w:ascii="Times New Roman" w:hAnsi="Times New Roman"/>
          <w:sz w:val="20"/>
        </w:rPr>
        <w:t xml:space="preserve">”) divided by (ii)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5.13</w:t>
      </w:r>
      <w:r>
        <w:rPr>
          <w:rFonts w:ascii="Times New Roman" w:hAnsi="Times New Roman"/>
          <w:sz w:val="20"/>
        </w:rPr>
        <w: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of Securities to be purchased by such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the Closing Date to each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as may be agreed to among the Company and one or more Investors, if an Investor is (i) an investment company registered under the Investment Company Act of 1940, as amended, (ii) advised by an investment adviser subject to regulation under the Investment Advisers Act of 1940, as amended, or (iii)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hereof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authorized capital stock of the Company as of the date hereof consists of 40,000,000 shares of Common Stock and 32,378,552 shares of preferred stock, par value $$0.00001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or contemplated by the Transaction Agreements (including in </w:t>
      </w:r>
      <w:r>
        <w:rPr>
          <w:rFonts w:ascii="Times New Roman" w:hAnsi="Times New Roman"/>
          <w:sz w:val="20"/>
          <w:u w:val="single"/>
        </w:rPr>
        <w:t>Section 3.7</w:t>
      </w:r>
      <w:r>
        <w:rPr>
          <w:rFonts w:ascii="Times New Roman" w:hAnsi="Times New Roman"/>
          <w:sz w:val="20"/>
        </w:rPr>
        <w:t xml:space="preserve">), the Company is presently not under any obligation, and has not granted any rights, to register under the Securities Act any of the Company’s presently outstanding securities or any of its securities that may hereafter be issued that have not expired or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The Company has all requisite corporate power and authority to enter into the Transaction Agreements and to carry out and perform its obligations under the terms of the Transaction Agreements, including the issuance and sale of the Securities. Except as contemplated by the Merger Agreement, all corporate action on the part of the Company, its officers, directors and stockholders necessary for the authorization of the Securities, the authorization, execution, delivery and performance of the Transaction Agreements and the consummation of the transactions contemplated herein, including the issuance and sale of the Securities, has been taken, including, without limitation, the approval of the Board of Directors (or a committee thereof) in accordance with Section 144(a)(1) or 144(b)(1) of the Delaware General Corporation Law, as amended or superseded from time to time (the “</w:t>
      </w:r>
      <w:r>
        <w:rPr>
          <w:rFonts w:ascii="Times New Roman" w:hAnsi="Times New Roman"/>
          <w:b/>
          <w:sz w:val="20"/>
        </w:rPr>
        <w:t>DGCL</w:t>
      </w:r>
      <w:r>
        <w:rPr>
          <w:rFonts w:ascii="Times New Roman" w:hAnsi="Times New Roman"/>
          <w:sz w:val="20"/>
        </w:rPr>
        <w:t xml:space="preserve">”). This Agreement has been duly executed and delivered by the Company and assuming the due authorization, execution and delivery by each Investor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issuance and delivery of the Initial Shares does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violate any provision of the Certificate of Incorporation or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and except as set forth in the Merger Agreement,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Financial Statements</w:t>
      </w:r>
      <w:r>
        <w:rPr>
          <w:rFonts w:ascii="Times New Roman" w:hAnsi="Times New Roman"/>
          <w:sz w:val="20"/>
        </w:rPr>
        <w:t>. The statement of operations and comprehensive loss data for the fiscal year ended December 31, 2025 and summary balance sheet data as of December 31, 2025 of the Company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with respect thereto as in effect at the time of filing or public distribution (or to the extent corrected by a subsequent restatement) and fairly present in all material respects the financial position of the Company and its subsidiaries as of the dates indicated, and the results of its operations and cash flows for the periods therein specified, all in accordance with United States generally accepted accounting principles (“</w:t>
      </w:r>
      <w:r>
        <w:rPr>
          <w:rFonts w:ascii="Times New Roman" w:hAnsi="Times New Roman"/>
          <w:b/>
          <w:sz w:val="20"/>
        </w:rPr>
        <w:t>GAAP</w:t>
      </w:r>
      <w:r>
        <w:rPr>
          <w:rFonts w:ascii="Times New Roman" w:hAnsi="Times New Roman"/>
          <w:sz w:val="20"/>
        </w:rPr>
        <w:t xml:space="preserve">”) (except as otherwise noted therein and except that the unaudited financial statements may not contain footnotes and other presentation items required by GAAP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the Transaction Agreements, and the discussions, negotiations, and transactions preceding or related thereto, since December 31, 2025: (a) the Company has conducted its business only in the ordinary course of business and there have been no material transactions entered into by the Company; (b) no material change to any material contract or arrangement by which the Company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the Company’s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properties (owned or leased) and assets, and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being conducted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described in the Company Presentation is accurate and complete in all material respects and fairly presents the data derived from such studies, and the Company and its subsidiaries have no knowledge of any other studies (A) the results of which are inconsistent with, or otherwise call into question, the results described or referred to in the Company Presentation or (B) would be required to be disclosed in accordance with the Exchange Act; (iii) the Company and its subsidiaries have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as described in the Company Presentation;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xml:space="preserve">” means: (i) the Federal Food, Drug, and Cosmetic Act (21 U.S.C. Section 301 et seq.) and the Public Health Service Act (42 U.S.C. Section 201 et seq.), and the regulations promulgated thereunder; (ii) all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inception of the Company, there has been no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on one hand, and any Investor, on the other hand, with respect to the transactions contemplated by the Transaction Agreements other than as specified in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Information Provided</w:t>
      </w:r>
      <w:r>
        <w:rPr>
          <w:rFonts w:ascii="Times New Roman" w:hAnsi="Times New Roman"/>
          <w:sz w:val="20"/>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xml:space="preserve">”), shall not, at the time the Registration Statement or any such Regulation M-A Filing is filed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SEC, at any time it is amended or supplemented or at the time the Registration Statement is declared effective by the SEC, as applicable, contain any untrue statement of a material fact or omit to state any material fact required to be stated therein or necessary in order to 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Merger Agreement Closing,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Company’s representations and warranties set forth in the Merger Agreement in Section 4.2 (Capital Stock), Section 4.6 (Financial Statements), Section 4.9 (Litigation), Section 4.10 (Compliance with Laws), Section 4.11 (Health Care Regulatory Matters), Section 4.13 (Labor and Employment Matters), Section 4.14 (Environmental Matters), Section 4.16 (Contracts), Section 4.19 (Intellectual Property) and 4.22 (Related Party Transactions) are hereby incorporated by reference and made by the Company, as qualified by the disclosures in the Company Disclosure Letter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and as of the Closing Date, the representations and warranties of the Company contained in Section 4 of the Merger Agreement and in any certificate or other writing delivered by the Company pursuant thereto are true and correct as though given in accordance with Section 8.3(a) of the Merger Agreement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and as of the Closing Date, to the knowledge of the Company, the representations and warranties of Parent contained in Section 5 of the Merger Agreement and in any certificate or other writing delivered by Parent pursuant thereto are true and correct as though given in accordance with Section 8.2(a)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and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execution, delivery and performance by such Investor of the Transaction Agreements to which such Investor is a party have been duly authorized and each has been duly executed. Assuming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Each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Securities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Securities to or through any person or entity. Each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Each Investor acknowledges that such Investor is aware that there are substantial risks incident to the purchase and ownership of the Securities, including those set forth in the Company’s filings with the SEC. Alone, or together with any professional advisor(s), such Investor has adequately analyzed and fully considered the risks of an investment in the Securities and determined that the Securities are a suitable investment for the Investor. Each Investor is, at this time and in the foreseeable future, able to afford the loss of such Investor’s entire investment in the Securities and such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Securities are being offered in a transaction not involving any public offering within the meaning of the Securities Act, and such Investor understands that the offering and sale of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Investor understands that any certificates or book entry notations evidencing the Securities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such Investor in advance of Closing if such a legend is to be placed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Securities directly from the Company. Such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and/or their respective representatives. Such Investor did not become aware of this offering of the Securities, nor were the Securities offered to such Investor, by any other means, and none of the Company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each Investor has relied solely upon independent investigation made by such Investor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Each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Parent’s common stock, $0.001 par value per share (“</w:t>
      </w:r>
      <w:r>
        <w:rPr>
          <w:rFonts w:ascii="Times New Roman" w:hAnsi="Times New Roman"/>
          <w:b/>
          <w:sz w:val="20"/>
        </w:rPr>
        <w:t>Parent Common Stock</w:t>
      </w:r>
      <w:r>
        <w:rPr>
          <w:rFonts w:ascii="Times New Roman" w:hAnsi="Times New Roman"/>
          <w:sz w:val="20"/>
        </w:rPr>
        <w:t xml:space="preserve">”) on the Nasdaq Global Market and, in accordance therewith, will use reasonable best efforts to cause Parent to comply in all material respects with the Parent’s reporting, filing and other obligations under the rules and regulations of Nasdaq and (b) to obtain approval of the listing of the Shares on Nasdaq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 ensure that Parent shall substantially contemporaneously file with the SEC a Current Report on Form 8-K (including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legends as soon as reasonably practicable following any such request therefor from such Investor, provided that the Company has timely received from the Investor a completed Investor representation letter and such other customary representations as may be reasonably required, in accordance with applicable law in connection therewith.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for resale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Section 5.5(b) (A) upon effectiveness of the registration statement registering the resale of such Initial Shares or any other Shares as set forth in clause (i), provide a “blanket” opinion to the Transfer Agent for the removal of legends in connection with any sale pursuant to the effective registration statement, and (B) with respect to clauses (i), (ii) and (iii), as soon as reasonably practicable following any request therefor from an Investor accompanied by such customary and reasonably acceptable documentation referred to above, deliver to the Transfer Agent irrevocable instructions 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Taxes</w:t>
      </w:r>
      <w:r>
        <w:rPr>
          <w:rFonts w:ascii="Times New Roman" w:hAnsi="Times New Roman"/>
          <w:sz w:val="20"/>
        </w:rPr>
        <w:t xml:space="preserve">. The Company shall be solely responsible for the payment of any financial advisory fees, or broker’s commissions (other than for Persons engaged by an Investor) relating to or arising out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general partners,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except to the extent such amounts have been finally judicially determined to have resulted from such Indemnified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Legend Removal</w:t>
      </w:r>
      <w:r>
        <w:rPr>
          <w:rFonts w:ascii="Times New Roman" w:hAnsi="Times New Roman"/>
          <w:sz w:val="20"/>
        </w:rPr>
        <w:t xml:space="preserve">. The Company shall use commercially reasonable efforts to ensure the restrictive legends described in Section 4.10 shall promptly be removed in accordance with applicable securities laws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Parent Stockholder Approval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or a Parent Material Adverse Effect (as defined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(Registration Statement; No Stop Orders), </w:t>
      </w:r>
      <w:r>
        <w:rPr>
          <w:rFonts w:ascii="Times New Roman" w:hAnsi="Times New Roman"/>
          <w:sz w:val="20"/>
          <w:u w:val="single"/>
        </w:rPr>
        <w:t>6.1(l)</w:t>
      </w:r>
      <w:r>
        <w:rPr>
          <w:rFonts w:ascii="Times New Roman" w:hAnsi="Times New Roman"/>
          <w:sz w:val="20"/>
        </w:rPr>
        <w:t xml:space="preserve"> (Nasdaq),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Cooley LLP, dated as of the Closing Date, in customary form and substance to be reasonably agreed upon with the Investor Majority and addressing such legal matters as the Investor Majority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The Merger Agreement or any provision thereof shall not have been amended, modified, supplemented, terminated or waived in contravention of Section 5.13.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automatically if the Merger Agreement is terminated in accordance with its terms without the Merger being consummated; or </w:t>
      </w:r>
    </w:p>
    <w:p>
      <w:pPr>
        <w:pStyle w:val="TextBody"/>
        <w:bidi w:val="0"/>
        <w:spacing w:before="240" w:after="0"/>
        <w:jc w:val="left"/>
        <w:rPr>
          <w:rFonts w:ascii="Times New Roman" w:hAnsi="Times New Roman"/>
          <w:sz w:val="20"/>
        </w:rPr>
      </w:pPr>
      <w:r>
        <w:rPr>
          <w:rFonts w:ascii="Times New Roman" w:hAnsi="Times New Roman"/>
          <w:sz w:val="20"/>
        </w:rPr>
        <w:t xml:space="preserve">(v) by either the Company or an Investor, solely as to itself, if the Closing has not occurred on or before February 28, 2027.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adviser of any Investor without such Investor’s prior written consent (email being sufficient).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applicable Investors reasonable time to comment on such release or announcement in advance of such issuance to the extent the Investors are named therein,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sz w:val="20"/>
          <w:u w:val="single"/>
        </w:rPr>
        <w:t>Section 8.1</w:t>
      </w:r>
      <w:r>
        <w:rPr>
          <w:rFonts w:ascii="Times New Roman" w:hAnsi="Times New Roman"/>
          <w:sz w:val="20"/>
        </w:rPr>
        <w:t xml:space="preserve">, Investor review shall not be required for Company disclosures that are substantially consistent with prior Company disclosures.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14th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bidi w:val="0"/>
        <w:spacing w:before="0" w:after="0"/>
        <w:jc w:val="left"/>
        <w:rPr>
          <w:rFonts w:ascii="Times New Roman" w:hAnsi="Times New Roman"/>
          <w:sz w:val="20"/>
        </w:rPr>
      </w:pPr>
      <w:r>
        <w:rPr>
          <w:rFonts w:ascii="Times New Roman" w:hAnsi="Times New Roman"/>
          <w:sz w:val="20"/>
        </w:rPr>
        <w:t xml:space="preserve">Crow, Madison Jones </w:t>
      </w:r>
    </w:p>
    <w:p>
      <w:pPr>
        <w:pStyle w:val="TextBody"/>
        <w:bidi w:val="0"/>
        <w:spacing w:before="0" w:after="0"/>
        <w:jc w:val="left"/>
        <w:rPr>
          <w:rFonts w:ascii="Times New Roman" w:hAnsi="Times New Roman"/>
          <w:sz w:val="20"/>
        </w:rPr>
      </w:pPr>
      <w:r>
        <w:rPr>
          <w:rFonts w:ascii="Times New Roman" w:hAnsi="Times New Roman"/>
          <w:sz w:val="20"/>
        </w:rPr>
        <w:t xml:space="preserve">Email: [***], [***], [***],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set forth on </w:t>
      </w:r>
      <w:r>
        <w:rPr>
          <w:rFonts w:ascii="Times New Roman" w:hAnsi="Times New Roman"/>
          <w:sz w:val="20"/>
          <w:u w:val="single"/>
        </w:rPr>
        <w:t>Exhibit A</w:t>
      </w:r>
      <w:r>
        <w:rPr>
          <w:rFonts w:ascii="Times New Roman" w:hAnsi="Times New Roman"/>
          <w:sz w:val="20"/>
        </w:rPr>
        <w:t xml:space="preserve"> or to such e-mail address or address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8.5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City of Wilmington in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Section 8.3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the Company shall pay the reasonable and documented fees and expenses of Latham &amp; Watkins LLP, counsel for certain of the Investors, in an amount not to exceed $200,000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Section 5.3,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(ii) to the extent such disclosure is required by other laws, rules or regulations, and (iii) at the request of the staff of the SEC or regulatory agency or under the regulations of Nasdaq. The Investor acknowledges that the Company may file a form of this Agreement and the Registration Rights Agreement with the SEC as exhibits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the Indemnified Persons are intended third-party beneficiaries of Section 5.9.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or change in any of the terms of this Agreement shall be valid or binding upon the parties hereto unless made in writing and duly executed by the Company and the Investor Majority. Notwithstanding the foregoing, this Agreement may not be amended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r>
        <w:rPr>
          <w:rFonts w:ascii="Times New Roman" w:hAnsi="Times New Roman"/>
          <w:sz w:val="20"/>
          <w:u w:val="single"/>
        </w:rPr>
        <w:t>provided</w:t>
      </w:r>
      <w:r>
        <w:rPr>
          <w:rFonts w:ascii="Times New Roman" w:hAnsi="Times New Roman"/>
          <w:sz w:val="20"/>
        </w:rPr>
        <w:t xml:space="preserve"> that the price paid for such Additional Securities is equal to or greater than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2"/>
        <w:gridCol w:w="131"/>
        <w:gridCol w:w="3229"/>
      </w:tblGrid>
      <w:tr>
        <w:trPr/>
        <w:tc>
          <w:tcPr>
            <w:tcW w:w="72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2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right"/>
        <w:rPr>
          <w:rFonts w:ascii="Times New Roman" w:hAnsi="Times New Roman"/>
          <w:b/>
          <w:sz w:val="20"/>
        </w:rPr>
      </w:pPr>
      <w:bookmarkStart w:id="12" w:name="d136791dex105.htm"/>
      <w:bookmarkStart w:id="13" w:name="ksd136791dex105"/>
      <w:bookmarkEnd w:id="12"/>
      <w:bookmarkEnd w:id="13"/>
      <w:r>
        <w:rPr>
          <w:rFonts w:ascii="Times New Roman" w:hAnsi="Times New Roman"/>
          <w:b/>
          <w:sz w:val="20"/>
        </w:rPr>
        <w:t xml:space="preserve">Exhibit 10.5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REGISTRATION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August 16, 2026, is entered into by and among Slate Medicines, Inc., a Delaware corporation (the “</w:t>
      </w:r>
      <w:r>
        <w:rPr>
          <w:rFonts w:ascii="Times New Roman" w:hAnsi="Times New Roman"/>
          <w:b/>
          <w:sz w:val="20"/>
        </w:rPr>
        <w:t>Company</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Company and the parties hereto, dated as of August 16, 2026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of the Purchase Agreement, the Company has agreed to issue to the Investors, and the Investors have agreed to purchase, severally and not jointly, an aggregate of up to $245,000,000 of (x) shares (the “</w:t>
      </w:r>
      <w:r>
        <w:rPr>
          <w:rFonts w:ascii="Times New Roman" w:hAnsi="Times New Roman"/>
          <w:b/>
          <w:sz w:val="20"/>
        </w:rPr>
        <w:t>Initial Shares</w:t>
      </w:r>
      <w:r>
        <w:rPr>
          <w:rFonts w:ascii="Times New Roman" w:hAnsi="Times New Roman"/>
          <w:sz w:val="20"/>
        </w:rPr>
        <w:t>”) of the Company’s common stock, par value $0.001 per share (the “</w:t>
      </w:r>
      <w:r>
        <w:rPr>
          <w:rFonts w:ascii="Times New Roman" w:hAnsi="Times New Roman"/>
          <w:b/>
          <w:sz w:val="20"/>
        </w:rPr>
        <w:t>Common Stock</w:t>
      </w:r>
      <w:r>
        <w:rPr>
          <w:rFonts w:ascii="Times New Roman" w:hAnsi="Times New Roman"/>
          <w:sz w:val="20"/>
        </w:rPr>
        <w:t>”) pursuant to the Purchase Agreement. The Initial Shares are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in consideration of the promises and the mutual covenants contained herein and other good and valuable consideration, the receipt and sufficiency of which are hereby acknowledged, the Company and the Investors hereby agree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Company</w:t>
      </w:r>
      <w:r>
        <w:rPr>
          <w:rFonts w:ascii="Times New Roman" w:hAnsi="Times New Roman"/>
          <w:sz w:val="20"/>
        </w:rPr>
        <w:t xml:space="preserve">” means Slate Medicines, Inc. for all periods prior to the First Effective Time (as defined in the Merger Agreement) and the Parent (as defined in the Merger Agreement) for all periods following the First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Filing Deadline</w:t>
      </w:r>
      <w:r>
        <w:rPr>
          <w:rFonts w:ascii="Times New Roman" w:hAnsi="Times New Roman"/>
          <w:sz w:val="20"/>
        </w:rPr>
        <w:t xml:space="preserve">” means, with respect to the Initial Registration Statement required hereunder, the 30th Business Day following the Closing Date and, with respect to any New Registration Statements or other Registration Statement filed hereunder, the 30th Business Day following the later of (i) the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Person</w:t>
      </w:r>
      <w:r>
        <w:rPr>
          <w:rFonts w:ascii="Times New Roman" w:hAnsi="Times New Roman"/>
          <w:sz w:val="20"/>
        </w:rPr>
        <w:t xml:space="preserve">” means any individual or entity including but not limited to any corporation, limited liability company, association, partnership, organization, business, individual, governmental or political subdivision thereof or a governmental agency.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Registrable Securities</w:t>
      </w:r>
      <w:r>
        <w:rPr>
          <w:rFonts w:ascii="Times New Roman" w:hAnsi="Times New Roman"/>
          <w:sz w:val="20"/>
        </w:rPr>
        <w:t xml:space="preserve">” means (i) all shares of Parent Common Stock (as defined in the Merger Agreement) issued to an Investor at the closing of the Merger in respect of the Initial Shares and (ii) any Parent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(B) such Registrable Securities have been previously sold by such Investor in accordance with Rule 144, (C) such securities become eligible for resale without volume or manner-of-sale restrictions pursuant to Rule 144 and without the requirement for the Company to be in compliance with the current public information requirement under Rule 144, and (D) five (5) years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any legal fees or other costs of the Investors.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SEC Guidance</w:t>
      </w:r>
      <w:r>
        <w:rPr>
          <w:rFonts w:ascii="Times New Roman" w:hAnsi="Times New Roman"/>
          <w:sz w:val="20"/>
        </w:rPr>
        <w:t xml:space="preserve">”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an Investor’s disposition of its Registrable Securities.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the Filing Deadline,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registering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hAnsi="Times New Roman"/>
          <w:sz w:val="20"/>
          <w:u w:val="single"/>
        </w:rPr>
        <w:t>Exhibit A</w:t>
      </w:r>
      <w:r>
        <w:rPr>
          <w:rFonts w:ascii="Times New Roman" w:hAnsi="Times New Roman"/>
          <w:sz w:val="20"/>
        </w:rPr>
        <w:t xml:space="preserve">. Such Registration Statement also shall cover, to the extent allowable under the Securities Act and the rules promulgated thereunder (including Rule 416), such indeterminate number of additional shares of Parent Common Stock resulting from stock splits, stock dividends or similar transactions with respect to the Registrable Securities. The Company shall (a) consider in good faith any comments reasonably proposed by the Investor or its counsel to such document prior to being so filed with the SEC, and (b) not file any Registration Statement or related prospectus or any amendment or supplement thereto containing information regarding the Investor that the Investor reasonably believes contains an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with respect to such Investor reasonably requested by the Company and as shall be reasonably required in connection with any registration referred to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at the earliest possible date but no later than the earlier of (a) the sixtieth (60th)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sz w:val="20"/>
        </w:rPr>
        <w:t>Effectiveness Deadline</w:t>
      </w:r>
      <w:r>
        <w:rPr>
          <w:rFonts w:ascii="Times New Roman" w:hAnsi="Times New Roman"/>
          <w:sz w:val="20"/>
        </w:rPr>
        <w:t>”); provided that, the Effectiveness Deadline shall be extended by the same number of Business Days on which the SEC remains closed in the event of a government shutdown resulting in the SEC’s inability to review or declare effective the Initial Registration Statement during such time (such days, “</w:t>
      </w:r>
      <w:r>
        <w:rPr>
          <w:rFonts w:ascii="Times New Roman" w:hAnsi="Times New Roman"/>
          <w:b/>
          <w:sz w:val="20"/>
        </w:rPr>
        <w:t>Tolled Days</w:t>
      </w:r>
      <w:r>
        <w:rPr>
          <w:rFonts w:ascii="Times New Roman" w:hAnsi="Times New Roman"/>
          <w:sz w:val="20"/>
        </w:rPr>
        <w:t xml:space="preserve">”). Notwithstanding the foregoing, if, after the 30th consecutive Tolled Day, the SEC remains closed from such government shutdown and is unable to review or declare effective the Initial Registration Statement during such time, then the Company shall promptly, and no later than the fifth Business Day after such 30th consecutive Tolled Day, file an amendment to the Initial Registration Statement to remove the delaying amendment language such that the Initial Registration Statement shall become effective in accordance with Section 8(a) of the Securities Act within 20 calendar days after such filing; provided, that if the SEC re-opens during such 20-day period, the Company may, but is not required to, amend the Initial Registration Statement to re-add the delaying amendment language. The Company shall notify the Investor by e-mail as promptly as practicable, and in any event, within twenty-four (24) hours, after the Registration Statement is declared effective or is supplemented and shall provide the Investor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 and available for the resale by the Investors of all of the Registrable Securities covered thereby at all times until the earliest to occur of the following events: (i) the date on which the Investors shall have resold all the Registrable Securities covered thereby;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and (iii) five years after the date of this Agreement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xml:space="preserve">”), so as to cover all of such Registrable Securities as soon as reasonably practicable, but in any event not later than </w:t>
      </w:r>
      <w:r>
        <w:rPr>
          <w:rFonts w:ascii="Times New Roman" w:hAnsi="Times New Roman"/>
          <w:b/>
          <w:sz w:val="20"/>
        </w:rPr>
        <w:t>the Filing Deadline</w:t>
      </w:r>
      <w:r>
        <w:rPr>
          <w:rFonts w:ascii="Times New Roman" w:hAnsi="Times New Roman"/>
          <w:sz w:val="20"/>
        </w:rPr>
        <w:t>. The Company shall use its reasonable best efforts to have such amendment and/or New Registration Statement become effective as soon as reasonably practicable following the filing thereof but no later than the earlier of (i) the sixtieth (60th) calendar day following the initial filing date of the New Registration Statement if the SEC notifies the Company that it will “review” the New Registration Statement and (ii) the fifth (5th) Business Day after the date the Company is notified (orally or in writing, whichever is earlier) by the SEC that the New Registration Statement will not be “reviewed” or will not be subject to further review (the “</w:t>
      </w:r>
      <w:r>
        <w:rPr>
          <w:rFonts w:ascii="Times New Roman" w:hAnsi="Times New Roman"/>
          <w:b/>
          <w:sz w:val="20"/>
        </w:rPr>
        <w:t>New Registration Statement Effectiveness Deadline</w:t>
      </w:r>
      <w:r>
        <w:rPr>
          <w:rFonts w:ascii="Times New Roman" w:hAnsi="Times New Roman"/>
          <w:sz w:val="20"/>
        </w:rPr>
        <w:t xml:space="preserve">”). The provisions of Sections 2(a) and 2(b) shall apply to the New Registration Statement, except as modified hereby.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Allowable Delays</w:t>
      </w:r>
      <w:r>
        <w:rPr>
          <w:rFonts w:ascii="Times New Roman" w:hAnsi="Times New Roman"/>
          <w:sz w:val="20"/>
        </w:rPr>
        <w:t>. On no more than two (2) occasions in any twelve (12)-month period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(A) to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(B) to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sz w:val="20"/>
        </w:rPr>
        <w:t>Allowed Delay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reasonable best efforts to terminate an Allowed Delay as promptly as practicable. Each Investor may deliver written notice (an “</w:t>
      </w:r>
      <w:r>
        <w:rPr>
          <w:rFonts w:ascii="Times New Roman" w:hAnsi="Times New Roman"/>
          <w:b/>
          <w:sz w:val="20"/>
        </w:rPr>
        <w:t>Opt-Out Notice</w:t>
      </w:r>
      <w:r>
        <w:rPr>
          <w:rFonts w:ascii="Times New Roman" w:hAnsi="Times New Roman"/>
          <w:sz w:val="20"/>
        </w:rPr>
        <w:t xml:space="preserve">”) to the Company requesting that such Investor not receive notices from the Company otherwise required by this </w:t>
      </w: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Investor may later revoke any such Opt-Out Notice in writing, which shall be effective five (5) Business Days after the receipt thereof. Following receipt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Opt-Out Notice from an Investor (unless subsequently revoked), the Company shall not deliver any notices pursuant to this </w:t>
      </w:r>
      <w:r>
        <w:rPr>
          <w:rFonts w:ascii="Times New Roman" w:hAnsi="Times New Roman"/>
          <w:sz w:val="20"/>
          <w:u w:val="single"/>
        </w:rPr>
        <w:t>Section 2(d)</w:t>
      </w:r>
      <w:r>
        <w:rPr>
          <w:rFonts w:ascii="Times New Roman" w:hAnsi="Times New Roman"/>
          <w:sz w:val="20"/>
        </w:rPr>
        <w:t xml:space="preserve"> to such Investor and such Investor shall no longer be entitled to the rights associated with any such notice (for the avoidance of doubt, without limitation to the Company’s obligation to deliver any notice described in Section 3(e)(iii)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Rule 415; Cutback</w:t>
      </w:r>
      <w:r>
        <w:rPr>
          <w:rFonts w:ascii="Times New Roman" w:hAnsi="Times New Roman"/>
          <w:sz w:val="20"/>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hAnsi="Times New Roman"/>
          <w:sz w:val="20"/>
          <w:u w:val="single"/>
        </w:rPr>
        <w:t>Section 2(e)</w:t>
      </w:r>
      <w:r>
        <w:rPr>
          <w:rFonts w:ascii="Times New Roman" w:hAnsi="Times New Roman"/>
          <w:sz w:val="20"/>
        </w:rPr>
        <w:t xml:space="preserve">, including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sz w:val="20"/>
          <w:u w:val="single"/>
        </w:rPr>
        <w:t>Section 2(e)</w:t>
      </w:r>
      <w:r>
        <w:rPr>
          <w:rFonts w:ascii="Times New Roman" w:hAnsi="Times New Roman"/>
          <w:sz w:val="20"/>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Company shall not name any Investor as an “underwriter” in such Registration Statement without the prior written consent of such Investor (</w:t>
      </w:r>
      <w:r>
        <w:rPr>
          <w:rFonts w:ascii="Times New Roman" w:hAnsi="Times New Roman"/>
          <w:sz w:val="20"/>
          <w:u w:val="single"/>
        </w:rPr>
        <w:t>provided</w:t>
      </w:r>
      <w:r>
        <w:rPr>
          <w:rFonts w:ascii="Times New Roman" w:hAnsi="Times New Roman"/>
          <w:sz w:val="20"/>
        </w:rPr>
        <w:t xml:space="preserve"> that, in the event an Investor withholds such consent, the Company shall have no obligation hereunder to include any Registrable Securities of such Investor in any Registration Statement registering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2(e)</w:t>
      </w:r>
      <w:r>
        <w:rPr>
          <w:rFonts w:ascii="Times New Roman" w:hAnsi="Times New Roman"/>
          <w:sz w:val="20"/>
        </w:rPr>
        <w:t xml:space="preserve"> shall be applied first to any of the Registrable Securities of an Investor that the SEC has indicated cannot be included or must be limited in the number of Registrable Securities that can be included, and thereafter shall be allocated among the Investors on a pro rata basis, unless the SEC Restrictions otherwise require or provide otherwise, or an Investor otherwise agrees. </w:t>
      </w:r>
    </w:p>
    <w:p>
      <w:pPr>
        <w:pStyle w:val="TextBody"/>
        <w:bidi w:val="0"/>
        <w:spacing w:before="120" w:after="0"/>
        <w:jc w:val="left"/>
        <w:rPr>
          <w:rFonts w:ascii="Times New Roman" w:hAnsi="Times New Roman"/>
          <w:sz w:val="20"/>
        </w:rPr>
      </w:pPr>
      <w:r>
        <w:rPr>
          <w:rFonts w:ascii="Times New Roman" w:hAnsi="Times New Roman"/>
          <w:sz w:val="20"/>
        </w:rPr>
        <w:t xml:space="preserve">(f) 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hAnsi="Times New Roman"/>
          <w:sz w:val="20"/>
          <w:u w:val="single"/>
        </w:rPr>
        <w:t>Section 2(f)</w:t>
      </w:r>
      <w:r>
        <w:rPr>
          <w:rFonts w:ascii="Times New Roman" w:hAnsi="Times New Roman"/>
          <w:sz w:val="20"/>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hAnsi="Times New Roman"/>
          <w:sz w:val="20"/>
          <w:u w:val="single"/>
        </w:rPr>
        <w:t>provided</w:t>
      </w:r>
      <w:r>
        <w:rPr>
          <w:rFonts w:ascii="Times New Roman" w:hAnsi="Times New Roman"/>
          <w:sz w:val="20"/>
        </w:rPr>
        <w:t xml:space="preserve"> that the Company shall maintain the effectiveness of the Registration Statement then in effect until such time as a Registration Statement on Form S-3 registering the Registrable Securities has been declared effective by the SEC.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RELATED COMPANY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Exchange Act with respect to the distribution of all of the Registrable Securities covered thereby, or (b) in the reasonable opinion of an Investor and the Company, as may be necessary or advisable in connection with any acquisition or sale of Registrable Securities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the Investor and its counsel shall have been advised and afforded the opportunity to review and comment thereon at least three (3) Business Days prior to filing with the SEC and (B) the Company shall have given good faith consideration to any comments thereon received from the Investor or its counsel.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furnish any document to the Investor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Stop Orders; Material Changes</w:t>
      </w:r>
      <w:r>
        <w:rPr>
          <w:rFonts w:ascii="Times New Roman" w:hAnsi="Times New Roman"/>
          <w:sz w:val="20"/>
        </w:rPr>
        <w:t xml:space="preserve">. The Company shall use reasonable best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and shall not provide any material non-public information to the Investors in such notice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sz w:val="20"/>
          <w:u w:val="single"/>
        </w:rPr>
        <w:t>Section 3(e)</w:t>
      </w:r>
      <w:r>
        <w:rPr>
          <w:rFonts w:ascii="Times New Roman" w:hAnsi="Times New Roman"/>
          <w:sz w:val="20"/>
        </w:rPr>
        <w:t xml:space="preserve">, the Company will use its reasonable best efforts to publicly disclose such event as soon as reasonably practicable, or otherwise resolve the matter such that sales under Registration Statements may resume.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reasonable best efforts to cause all Registrable Securities covered by a Registration Statement to be listed on the Nasdaq Global Market and any other National Exchange upon which the Registrable Securities are listed.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Section 3(h)</w:t>
      </w:r>
      <w:r>
        <w:rPr>
          <w:rFonts w:ascii="Times New Roman" w:hAnsi="Times New Roman"/>
          <w:sz w:val="20"/>
        </w:rPr>
        <w:t>, “</w:t>
      </w:r>
      <w:r>
        <w:rPr>
          <w:rFonts w:ascii="Times New Roman" w:hAnsi="Times New Roman"/>
          <w:b/>
          <w:sz w:val="20"/>
        </w:rPr>
        <w:t>Availability Date</w:t>
      </w:r>
      <w:r>
        <w:rPr>
          <w:rFonts w:ascii="Times New Roman" w:hAnsi="Times New Roman"/>
          <w:sz w:val="20"/>
        </w:rPr>
        <w:t xml:space="preserve">” means the forty-fifth (45th) day following the end of the fourth (4th) fiscal quarter that includes the effective date of such Registration Statement, except that, if such fourth (4th) fiscal quarter is the last quarter of the Company’s fiscal year, “Availability Date” means the ninetieth (90th) day after the end of such fourth (4th)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Blue-Sky</w:t>
      </w:r>
      <w:r>
        <w:rPr>
          <w:rFonts w:ascii="Times New Roman" w:hAnsi="Times New Roman"/>
          <w:sz w:val="20"/>
        </w:rPr>
        <w:t xml:space="preserve">. The Company shall register or qualify or cooperate with an Investor and its counsel in connection with the registration or qualification of such Registrable Securities for the offer and sale under the securities or blue sky laws of such jurisdictions reasonably requested by such Investor;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3(i)</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3(i)</w:t>
      </w:r>
      <w:r>
        <w:rPr>
          <w:rFonts w:ascii="Times New Roman" w:hAnsi="Times New Roman"/>
          <w:sz w:val="20"/>
        </w:rPr>
        <w:t xml:space="preserve">, or (iii)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Parent Common Stock to the public without registration, for so long as any Registrable Securities are outstanding, the Company covenants and agrees to use reasonable best efforts to: (i) make and keep adequate current public information available, as those terms are understood and defined in Rule 144, until the date such securities may be sold without restriction and without the requirement for the Company to be in compliance with the current public information requirement under Rule 144, by the holders thereof pursuant to Rule 144 or any other rule of similar effect, and (ii) file with the SEC in a timely manner all reports and other documents required of the Company under the Exchange Act. In addition, the Company covenants and agrees to use reasonable best efforts, for so long as any Registrable Securities are outstanding, to: (1)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(2) provide any legal opinions.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Removal of Restrictive Legends</w:t>
      </w:r>
      <w:r>
        <w:rPr>
          <w:rFonts w:ascii="Times New Roman" w:hAnsi="Times New Roman"/>
          <w:sz w:val="20"/>
        </w:rPr>
        <w:t xml:space="preserve">.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OBLIGATIONS OF THE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or such other form of questionnaire or information reasonably required by the Company in connection with the registration of the Registrable Securities within three (3) Business Days of request by the Company and no later than the end of the third (3rd) Business Day following the date on which such Investor receives draft materials in accordance with </w:t>
      </w:r>
      <w:r>
        <w:rPr>
          <w:rFonts w:ascii="Times New Roman" w:hAnsi="Times New Roman"/>
          <w:sz w:val="20"/>
          <w:u w:val="single"/>
        </w:rPr>
        <w:t>Section</w:t>
      </w:r>
      <w:r>
        <w:rPr>
          <w:rFonts w:ascii="Times New Roman" w:hAnsi="Times New Roman"/>
          <w:sz w:val="20"/>
        </w:rPr>
        <w:t xml:space="preserve"> 2(a). If the Company has not received such completed Investor Questionnaire or such other requested form of questionnaire or information from an Investor within five (5) Business Days of the Company’s request, the Company may file the Registration Statement without including such Investor’s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EXPENSES OF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each Investor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 claims, damages, liabilities, contingencies, judgments, fines, penalties, charges and costs (including, without limitation, court costs and costs of preparation, reasonable and documented attorneys’ fees, amounts paid in settlement (with the prior consent of the Company, such consent not to be unreasonably withheld, conditioned or delayed) or reasonable and documented expenses (collectively, “</w:t>
      </w:r>
      <w:r>
        <w:rPr>
          <w:rFonts w:ascii="Times New Roman" w:hAnsi="Times New Roman"/>
          <w:b/>
          <w:sz w:val="20"/>
        </w:rPr>
        <w:t>Indemnified Damages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sz w:val="20"/>
        </w:rPr>
        <w:t>Claims</w:t>
      </w:r>
      <w:r>
        <w:rPr>
          <w:rFonts w:ascii="Times New Roman" w:hAnsi="Times New Roman"/>
          <w:sz w:val="20"/>
        </w:rPr>
        <w:t>”), to which any of them may become subject insofar as such Claims arise out of or are based upon: (i) any untrue statement or alleged untrue statement or omission or alleged omission of any material fact contained in any Registration Statement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Indemnified Damages are incurred and are due and payable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by the Investor or such Indemnified Person specifically for use in such Registration Statement and was reviewed and approved in writing by such Investor or such Indemnified Person expressly for use in connection with the preparation of any Registration Statement;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 (including reasonable attorney fees) resulting from (i) any untrue statement or alleged untrue statement or omission or alleged omission of any material fact contained in any Registration Statement or (ii) any violation or alleged violation by the Investor of its obligations under this Agreement, in each case to the extent, and only to the extent, that such violation occurs in reliance upon and in conformity with information about an Investor furnished in writing by such Investor to the Company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expenses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Indemnified Person or Indemnified Party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12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return such payment (including reimbursement of expenses) to the person making it. </w:t>
      </w:r>
    </w:p>
    <w:p>
      <w:pPr>
        <w:pStyle w:val="TextBody"/>
        <w:bidi w:val="0"/>
        <w:spacing w:before="12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ASSIGNMENT OF REGISTRATION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Required Investors;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 No Investor may assign its rights under this Agreement, other than to an affiliate of such Investor or to any other investment funds or accounts managed or advised by the investment manager who acts on behalf of the Investor, without the prior written consent of the Company. The provisions of this Agreement shall be binding upon and inure to the benefit of the Investor and its successors and permitted assigns.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AMENDMENTS AND WAIVERS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(i) the Company and (ii) the Required Investors, </w:t>
      </w:r>
      <w:r>
        <w:rPr>
          <w:rFonts w:ascii="Times New Roman" w:hAnsi="Times New Roman"/>
          <w:sz w:val="20"/>
          <w:u w:val="single"/>
        </w:rPr>
        <w:t>provided</w:t>
      </w:r>
      <w:r>
        <w:rPr>
          <w:rFonts w:ascii="Times New Roman" w:hAnsi="Times New Roman"/>
          <w:sz w:val="20"/>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hAnsi="Times New Roman"/>
          <w:sz w:val="20"/>
          <w:u w:val="single"/>
        </w:rPr>
        <w:t>Section 6</w:t>
      </w:r>
      <w:r>
        <w:rPr>
          <w:rFonts w:ascii="Times New Roman" w:hAnsi="Times New Roman"/>
          <w:sz w:val="20"/>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14th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bidi w:val="0"/>
        <w:spacing w:before="0" w:after="0"/>
        <w:jc w:val="left"/>
        <w:rPr>
          <w:rFonts w:ascii="Times New Roman" w:hAnsi="Times New Roman"/>
          <w:sz w:val="20"/>
        </w:rPr>
      </w:pPr>
      <w:r>
        <w:rPr>
          <w:rFonts w:ascii="Times New Roman" w:hAnsi="Times New Roman"/>
          <w:sz w:val="20"/>
        </w:rPr>
        <w:t xml:space="preserve">Crow, Madison Jones </w:t>
      </w:r>
    </w:p>
    <w:p>
      <w:pPr>
        <w:pStyle w:val="TextBody"/>
        <w:bidi w:val="0"/>
        <w:spacing w:before="0" w:after="0"/>
        <w:jc w:val="left"/>
        <w:rPr>
          <w:rFonts w:ascii="Times New Roman" w:hAnsi="Times New Roman"/>
          <w:sz w:val="20"/>
        </w:rPr>
      </w:pPr>
      <w:r>
        <w:rPr>
          <w:rFonts w:ascii="Times New Roman" w:hAnsi="Times New Roman"/>
          <w:sz w:val="20"/>
        </w:rPr>
        <w:t xml:space="preserve">Email: [***], [***], [***], [***]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its e-mail address or address set forth on </w:t>
      </w:r>
      <w:r>
        <w:rPr>
          <w:rFonts w:ascii="Times New Roman" w:hAnsi="Times New Roman"/>
          <w:sz w:val="20"/>
          <w:u w:val="single"/>
        </w:rPr>
        <w:t>Exhibit B</w:t>
      </w:r>
      <w:r>
        <w:rPr>
          <w:rFonts w:ascii="Times New Roman" w:hAnsi="Times New Roman"/>
          <w:sz w:val="20"/>
        </w:rPr>
        <w:t xml:space="preserve"> to the Purchase Agreement or to such e-mail address, or address as subsequently modified by written notice given in accordance with this </w:t>
      </w:r>
      <w:r>
        <w:rPr>
          <w:rFonts w:ascii="Times New Roman" w:hAnsi="Times New Roman"/>
          <w:sz w:val="20"/>
          <w:u w:val="single"/>
        </w:rPr>
        <w:t>Section 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to Electronic Notice</w:t>
      </w:r>
      <w:r>
        <w:rPr>
          <w:rFonts w:ascii="Times New Roman" w:hAnsi="Times New Roman"/>
          <w:sz w:val="20"/>
        </w:rPr>
        <w:t>. Each Investor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mail pursuant to Section 232 of the DGCL (or any successor thereto) at the e-mail address set forth below the Investor’s name on the signature page or Exhibit B,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Waiver</w:t>
      </w:r>
      <w:r>
        <w:rPr>
          <w:rFonts w:ascii="Times New Roman" w:hAnsi="Times New Roman"/>
          <w:sz w:val="20"/>
        </w:rPr>
        <w:t xml:space="preserve">.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 Submission to Jurisdiction; Venue; Waiver of Trial by Jury</w:t>
      </w:r>
      <w:r>
        <w:rPr>
          <w:rFonts w:ascii="Times New Roman" w:hAnsi="Times New Roman"/>
          <w:sz w:val="20"/>
        </w:rPr>
        <w:t xml:space="preserve">. The provisions of Section 8.5 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sz w:val="20"/>
        </w:rPr>
        <w:t xml:space="preserve">.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Third-Party Beneficiaries</w:t>
      </w:r>
      <w:r>
        <w:rPr>
          <w:rFonts w:ascii="Times New Roman" w:hAnsi="Times New Roman"/>
          <w:sz w:val="20"/>
        </w:rPr>
        <w:t xml:space="preserve">. Except as set forth in Sections 6 and 7 of this Agreement, nothing in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any Investor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any Investor or of any affiliates or assignees thereof, as such for any obligation of any Investor under this Agreement or any documents or instruments delivered in connection with this Agreement for any claim based on, in respect of or by reason of such obligations or their creation.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pBdr>
                <w:bottom w:val="single" w:sz="2" w:space="1" w:color="000000"/>
              </w:pBdr>
              <w:bidi w:val="0"/>
              <w:spacing w:before="0" w:after="20"/>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 Questionnaire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24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
        <w:gridCol w:w="133"/>
        <w:gridCol w:w="696"/>
        <w:gridCol w:w="133"/>
        <w:gridCol w:w="8822"/>
      </w:tblGrid>
      <w:tr>
        <w:trPr/>
        <w:tc>
          <w:tcPr>
            <w:tcW w:w="42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822" w:type="dxa"/>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b/>
              </w:rPr>
            </w:pPr>
            <w:r>
              <w:rPr>
                <w:b/>
              </w:rPr>
              <w:t>1.</w:t>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b/>
              </w:rPr>
            </w:pPr>
            <w:r>
              <w:rPr>
                <w:b/>
              </w:rPr>
              <w:t>Name.</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sz w:val="4"/>
                <w:szCs w:val="4"/>
              </w:rPr>
            </w:pPr>
            <w:r>
              <w:rPr>
                <w:sz w:val="4"/>
                <w:szCs w:val="4"/>
              </w:rPr>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(a)</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r>
              <w:rPr/>
              <w:t>Full Legal Name of Investor</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(b)</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r>
              <w:rPr/>
              <w:t>Full Legal Name of Registered Holder (if not the same as (a) above) through which Registrable Securities are held:</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(c)</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r>
              <w:rPr/>
              <w:t>Full Legal Name of Natural Control Person (which means a natural person who directly or indirectly alone or with others has power to vote or dispose of the securities covered by this Questionnaire):</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b/>
              </w:rPr>
            </w:pPr>
            <w:r>
              <w:rPr>
                <w:b/>
              </w:rPr>
              <w:t>2.</w:t>
            </w:r>
          </w:p>
        </w:tc>
        <w:tc>
          <w:tcPr>
            <w:tcW w:w="133" w:type="dxa"/>
            <w:tcBorders/>
            <w:vAlign w:val="bottom"/>
          </w:tcPr>
          <w:p>
            <w:pPr>
              <w:pStyle w:val="TableContents"/>
              <w:bidi w:val="0"/>
              <w:spacing w:before="0" w:after="283"/>
              <w:jc w:val="left"/>
              <w:rPr/>
            </w:pPr>
            <w:r>
              <w:rPr/>
              <w:t>  </w:t>
            </w:r>
          </w:p>
        </w:tc>
        <w:tc>
          <w:tcPr>
            <w:tcW w:w="9651" w:type="dxa"/>
            <w:gridSpan w:val="3"/>
            <w:tcBorders/>
          </w:tcPr>
          <w:p>
            <w:pPr>
              <w:pStyle w:val="TableContents"/>
              <w:bidi w:val="0"/>
              <w:spacing w:before="0" w:after="283"/>
              <w:jc w:val="left"/>
              <w:rPr>
                <w:b/>
              </w:rPr>
            </w:pPr>
            <w:r>
              <w:rPr>
                <w:b/>
              </w:rPr>
              <w:t>Address for Notices to Investor:</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Telephone: </w:t>
      </w:r>
    </w:p>
    <w:tbl>
      <w:tblPr>
        <w:tblW w:w="5000" w:type="pct"/>
        <w:jc w:val="center"/>
        <w:tblInd w:w="0" w:type="dxa"/>
        <w:tblLayout w:type="fixed"/>
        <w:tblCellMar>
          <w:top w:w="0" w:type="dxa"/>
          <w:left w:w="0" w:type="dxa"/>
          <w:bottom w:w="0" w:type="dxa"/>
          <w:right w:w="0" w:type="dxa"/>
        </w:tblCellMar>
      </w:tblPr>
      <w:tblGrid>
        <w:gridCol w:w="407"/>
        <w:gridCol w:w="101"/>
        <w:gridCol w:w="23"/>
        <w:gridCol w:w="102"/>
        <w:gridCol w:w="9572"/>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57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Contact Person: </w:t>
      </w:r>
    </w:p>
    <w:tbl>
      <w:tblPr>
        <w:tblW w:w="5000" w:type="pct"/>
        <w:jc w:val="center"/>
        <w:tblInd w:w="0" w:type="dxa"/>
        <w:tblLayout w:type="fixed"/>
        <w:tblCellMar>
          <w:top w:w="0" w:type="dxa"/>
          <w:left w:w="0" w:type="dxa"/>
          <w:bottom w:w="0" w:type="dxa"/>
          <w:right w:w="0" w:type="dxa"/>
        </w:tblCellMar>
      </w:tblPr>
      <w:tblGrid>
        <w:gridCol w:w="407"/>
        <w:gridCol w:w="101"/>
        <w:gridCol w:w="23"/>
        <w:gridCol w:w="102"/>
        <w:gridCol w:w="9572"/>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57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16"/>
        <w:gridCol w:w="108"/>
        <w:gridCol w:w="778"/>
        <w:gridCol w:w="120"/>
        <w:gridCol w:w="8783"/>
      </w:tblGrid>
      <w:tr>
        <w:trPr/>
        <w:tc>
          <w:tcPr>
            <w:tcW w:w="41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8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9789"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b/>
              </w:rPr>
            </w:pPr>
            <w:r>
              <w:rPr>
                <w:b/>
              </w:rPr>
              <w:t>3.</w:t>
            </w:r>
          </w:p>
        </w:tc>
        <w:tc>
          <w:tcPr>
            <w:tcW w:w="108" w:type="dxa"/>
            <w:tcBorders/>
            <w:vAlign w:val="bottom"/>
          </w:tcPr>
          <w:p>
            <w:pPr>
              <w:pStyle w:val="TableContents"/>
              <w:bidi w:val="0"/>
              <w:spacing w:before="0" w:after="283"/>
              <w:jc w:val="left"/>
              <w:rPr/>
            </w:pPr>
            <w:r>
              <w:rPr/>
              <w:t> </w:t>
            </w:r>
          </w:p>
        </w:tc>
        <w:tc>
          <w:tcPr>
            <w:tcW w:w="9681" w:type="dxa"/>
            <w:gridSpan w:val="3"/>
            <w:tcBorders/>
          </w:tcPr>
          <w:p>
            <w:pPr>
              <w:pStyle w:val="TableContents"/>
              <w:bidi w:val="0"/>
              <w:spacing w:before="0" w:after="283"/>
              <w:jc w:val="left"/>
              <w:rPr>
                <w:b/>
              </w:rPr>
            </w:pPr>
            <w:r>
              <w:rPr>
                <w:b/>
              </w:rPr>
              <w:t>Broker-Dealer Status:</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Are you a broker-dealer?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“yes” to Section 3(a), did you receive your Registrable Securities as compensation for investment banking services to the Company?</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Note:</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“no” to Section 3(b), the SEC’s staff has indicated that you should be identified as an underwriter in the Registration Statement.</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Are you an affiliate of a broker-dealer?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Note:</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“no” to Section 3(d), the SEC’s staff has indicated that you should be identified as an underwriter in the Registration Statement.</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9789"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b/>
              </w:rPr>
            </w:pPr>
            <w:r>
              <w:rPr>
                <w:b/>
              </w:rPr>
              <w:t>4.</w:t>
            </w:r>
          </w:p>
        </w:tc>
        <w:tc>
          <w:tcPr>
            <w:tcW w:w="108" w:type="dxa"/>
            <w:tcBorders/>
            <w:vAlign w:val="bottom"/>
          </w:tcPr>
          <w:p>
            <w:pPr>
              <w:pStyle w:val="TableContents"/>
              <w:bidi w:val="0"/>
              <w:spacing w:before="0" w:after="283"/>
              <w:jc w:val="left"/>
              <w:rPr/>
            </w:pPr>
            <w:r>
              <w:rPr/>
              <w:t> </w:t>
            </w:r>
          </w:p>
        </w:tc>
        <w:tc>
          <w:tcPr>
            <w:tcW w:w="9681" w:type="dxa"/>
            <w:gridSpan w:val="3"/>
            <w:tcBorders/>
          </w:tcPr>
          <w:p>
            <w:pPr>
              <w:pStyle w:val="TableContents"/>
              <w:bidi w:val="0"/>
              <w:spacing w:before="0" w:after="283"/>
              <w:jc w:val="left"/>
              <w:rPr>
                <w:b/>
              </w:rPr>
            </w:pPr>
            <w:r>
              <w:rPr>
                <w:b/>
              </w:rPr>
              <w:t>Beneficial Ownership of Securities of the Company Owned by the Investor.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9789"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9681" w:type="dxa"/>
            <w:gridSpan w:val="3"/>
            <w:tcBorders/>
          </w:tcPr>
          <w:p>
            <w:pPr>
              <w:pStyle w:val="TableContents"/>
              <w:bidi w:val="0"/>
              <w:spacing w:before="0" w:after="283"/>
              <w:jc w:val="left"/>
              <w:rPr>
                <w:i/>
              </w:rPr>
            </w:pPr>
            <w:r>
              <w:rPr>
                <w:i/>
              </w:rPr>
              <w:t>Except as set forth below in this Item 4, the undersigned is not the beneficial or registered owner of any securities of the Company other than the securities issuable pursuant to the Purchase Agreement.</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Type and Amount of other securities beneficially owned by the Investor: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pBdr>
                <w:bottom w:val="single" w:sz="2" w:space="1" w:color="000000"/>
              </w:pBdr>
              <w:bidi w:val="0"/>
              <w:spacing w:before="0" w:after="20"/>
              <w:jc w:val="left"/>
              <w:rPr/>
            </w:pPr>
            <w:r>
              <w:rPr/>
              <w:t>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79"/>
        <w:gridCol w:w="143"/>
        <w:gridCol w:w="756"/>
        <w:gridCol w:w="860"/>
        <w:gridCol w:w="7967"/>
      </w:tblGrid>
      <w:tr>
        <w:trPr/>
        <w:tc>
          <w:tcPr>
            <w:tcW w:w="47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796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9726" w:type="dxa"/>
            <w:gridSpan w:val="4"/>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b/>
              </w:rPr>
            </w:pPr>
            <w:r>
              <w:rPr>
                <w:b/>
              </w:rPr>
              <w:t>5.</w:t>
            </w:r>
          </w:p>
        </w:tc>
        <w:tc>
          <w:tcPr>
            <w:tcW w:w="143" w:type="dxa"/>
            <w:tcBorders/>
            <w:vAlign w:val="bottom"/>
          </w:tcPr>
          <w:p>
            <w:pPr>
              <w:pStyle w:val="TableContents"/>
              <w:bidi w:val="0"/>
              <w:spacing w:before="0" w:after="283"/>
              <w:jc w:val="left"/>
              <w:rPr/>
            </w:pPr>
            <w:r>
              <w:rPr/>
              <w:t> </w:t>
            </w:r>
          </w:p>
        </w:tc>
        <w:tc>
          <w:tcPr>
            <w:tcW w:w="9583" w:type="dxa"/>
            <w:gridSpan w:val="3"/>
            <w:tcBorders/>
          </w:tcPr>
          <w:p>
            <w:pPr>
              <w:pStyle w:val="TableContents"/>
              <w:bidi w:val="0"/>
              <w:spacing w:before="0" w:after="283"/>
              <w:jc w:val="left"/>
              <w:rPr>
                <w:b/>
              </w:rPr>
            </w:pPr>
            <w:r>
              <w:rPr>
                <w:b/>
              </w:rPr>
              <w:t>Relationships with the Company:</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9726" w:type="dxa"/>
            <w:gridSpan w:val="4"/>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583" w:type="dxa"/>
            <w:gridSpan w:val="3"/>
            <w:tcBorders/>
          </w:tcPr>
          <w:p>
            <w:pPr>
              <w:pStyle w:val="TableContents"/>
              <w:bidi w:val="0"/>
              <w:spacing w:before="0" w:after="283"/>
              <w:jc w:val="left"/>
              <w:rPr>
                <w:i/>
              </w:rPr>
            </w:pPr>
            <w:r>
              <w:rPr>
                <w:i/>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9726" w:type="dxa"/>
            <w:gridSpan w:val="4"/>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583" w:type="dxa"/>
            <w:gridSpan w:val="3"/>
            <w:tcBorders/>
          </w:tcPr>
          <w:p>
            <w:pPr>
              <w:pStyle w:val="TableContents"/>
              <w:bidi w:val="0"/>
              <w:spacing w:before="0" w:after="283"/>
              <w:jc w:val="left"/>
              <w:rPr/>
            </w:pPr>
            <w:r>
              <w:rPr/>
              <w:t>State any exceptions here:</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899" w:type="dxa"/>
            <w:gridSpan w:val="2"/>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56" w:type="dxa"/>
            <w:tcBorders/>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pPr>
            <w:r>
              <w:rPr/>
              <w:t>  </w:t>
            </w:r>
          </w:p>
        </w:tc>
        <w:tc>
          <w:tcPr>
            <w:tcW w:w="7967" w:type="dxa"/>
            <w:tcBorders/>
          </w:tcPr>
          <w:p>
            <w:pPr>
              <w:pStyle w:val="TableContents"/>
              <w:pBdr>
                <w:bottom w:val="single" w:sz="2" w:space="1" w:color="000000"/>
              </w:pBdr>
              <w:bidi w:val="0"/>
              <w:spacing w:before="0" w:after="20"/>
              <w:jc w:val="left"/>
              <w:rPr/>
            </w:pPr>
            <w:r>
              <w:rPr/>
              <w:t> </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899" w:type="dxa"/>
            <w:gridSpan w:val="2"/>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56" w:type="dxa"/>
            <w:tcBorders/>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pPr>
            <w:r>
              <w:rPr/>
              <w:t>  </w:t>
            </w:r>
          </w:p>
        </w:tc>
        <w:tc>
          <w:tcPr>
            <w:tcW w:w="7967"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75"/>
        <w:gridCol w:w="120"/>
        <w:gridCol w:w="763"/>
        <w:gridCol w:w="166"/>
        <w:gridCol w:w="1265"/>
        <w:gridCol w:w="166"/>
        <w:gridCol w:w="3450"/>
      </w:tblGrid>
      <w:tr>
        <w:trPr/>
        <w:tc>
          <w:tcPr>
            <w:tcW w:w="42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4275" w:type="dxa"/>
            <w:tcBorders/>
          </w:tcPr>
          <w:p>
            <w:pPr>
              <w:pStyle w:val="TableContents"/>
              <w:bidi w:val="0"/>
              <w:spacing w:before="0" w:after="283"/>
              <w:jc w:val="left"/>
              <w:rPr/>
            </w:pPr>
            <w:r>
              <w:rPr/>
              <w:t xml:space="preserve">Date: </w:t>
            </w:r>
            <w:r>
              <w:rPr>
                <w:u w:val="single"/>
              </w:rPr>
              <w:t>     </w:t>
            </w:r>
          </w:p>
        </w:tc>
        <w:tc>
          <w:tcPr>
            <w:tcW w:w="120" w:type="dxa"/>
            <w:tcBorders/>
            <w:vAlign w:val="bottom"/>
          </w:tcPr>
          <w:p>
            <w:pPr>
              <w:pStyle w:val="TableContents"/>
              <w:bidi w:val="0"/>
              <w:spacing w:before="0" w:after="283"/>
              <w:jc w:val="left"/>
              <w:rPr/>
            </w:pPr>
            <w:r>
              <w:rPr/>
              <w:t> </w:t>
            </w:r>
          </w:p>
        </w:tc>
        <w:tc>
          <w:tcPr>
            <w:tcW w:w="5810" w:type="dxa"/>
            <w:gridSpan w:val="5"/>
            <w:tcBorders/>
          </w:tcPr>
          <w:p>
            <w:pPr>
              <w:pStyle w:val="TableContents"/>
              <w:bidi w:val="0"/>
              <w:spacing w:before="0" w:after="283"/>
              <w:jc w:val="left"/>
              <w:rPr/>
            </w:pPr>
            <w:r>
              <w:rPr/>
              <w:t xml:space="preserve">Beneficial Owner: </w:t>
            </w:r>
            <w:r>
              <w:rPr>
                <w:u w:val="single"/>
              </w:rPr>
              <w:t>         </w:t>
            </w:r>
          </w:p>
        </w:tc>
      </w:tr>
      <w:tr>
        <w:trPr>
          <w:trHeight w:val="240" w:hRule="atLeast"/>
        </w:trPr>
        <w:tc>
          <w:tcPr>
            <w:tcW w:w="4275" w:type="dxa"/>
            <w:tcBorders/>
            <w:vAlign w:val="center"/>
          </w:tcPr>
          <w:p>
            <w:pPr>
              <w:pStyle w:val="TableContents"/>
              <w:bidi w:val="0"/>
              <w:spacing w:before="0" w:after="283"/>
              <w:jc w:val="left"/>
              <w:rPr>
                <w:sz w:val="4"/>
                <w:szCs w:val="4"/>
              </w:rPr>
            </w:pPr>
            <w:r>
              <w:rPr>
                <w:sz w:val="4"/>
                <w:szCs w:val="4"/>
              </w:rPr>
            </w:r>
          </w:p>
        </w:tc>
        <w:tc>
          <w:tcPr>
            <w:tcW w:w="883" w:type="dxa"/>
            <w:gridSpan w:val="2"/>
            <w:tcBorders/>
            <w:vAlign w:val="center"/>
          </w:tcPr>
          <w:p>
            <w:pPr>
              <w:pStyle w:val="TableContents"/>
              <w:bidi w:val="0"/>
              <w:spacing w:before="0" w:after="283"/>
              <w:jc w:val="left"/>
              <w:rPr>
                <w:sz w:val="4"/>
                <w:szCs w:val="4"/>
              </w:rPr>
            </w:pPr>
            <w:r>
              <w:rPr>
                <w:sz w:val="4"/>
                <w:szCs w:val="4"/>
              </w:rPr>
            </w:r>
          </w:p>
        </w:tc>
        <w:tc>
          <w:tcPr>
            <w:tcW w:w="5047" w:type="dxa"/>
            <w:gridSpan w:val="4"/>
            <w:tcBorders/>
            <w:vAlign w:val="center"/>
          </w:tcPr>
          <w:p>
            <w:pPr>
              <w:pStyle w:val="TableContents"/>
              <w:bidi w:val="0"/>
              <w:spacing w:before="0" w:after="283"/>
              <w:jc w:val="left"/>
              <w:rPr>
                <w:sz w:val="4"/>
                <w:szCs w:val="4"/>
              </w:rPr>
            </w:pPr>
            <w:r>
              <w:rPr>
                <w:sz w:val="4"/>
                <w:szCs w:val="4"/>
              </w:rPr>
            </w:r>
          </w:p>
        </w:tc>
      </w:tr>
      <w:tr>
        <w:trPr/>
        <w:tc>
          <w:tcPr>
            <w:tcW w:w="42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3" w:type="dxa"/>
            <w:tcBorders/>
          </w:tcPr>
          <w:p>
            <w:pPr>
              <w:pStyle w:val="TableContents"/>
              <w:bidi w:val="0"/>
              <w:spacing w:before="0" w:after="283"/>
              <w:jc w:val="left"/>
              <w:rPr/>
            </w:pPr>
            <w:r>
              <w:rPr/>
              <w:t>By:</w:t>
            </w:r>
          </w:p>
        </w:tc>
        <w:tc>
          <w:tcPr>
            <w:tcW w:w="166" w:type="dxa"/>
            <w:tcBorders/>
            <w:vAlign w:val="bottom"/>
          </w:tcPr>
          <w:p>
            <w:pPr>
              <w:pStyle w:val="TableContents"/>
              <w:bidi w:val="0"/>
              <w:spacing w:before="0" w:after="283"/>
              <w:jc w:val="left"/>
              <w:rPr/>
            </w:pPr>
            <w:r>
              <w:rPr/>
              <w:t> </w:t>
            </w:r>
          </w:p>
        </w:tc>
        <w:tc>
          <w:tcPr>
            <w:tcW w:w="4881" w:type="dxa"/>
            <w:gridSpan w:val="3"/>
            <w:tcBorders/>
          </w:tcPr>
          <w:p>
            <w:pPr>
              <w:pStyle w:val="TableContents"/>
              <w:pBdr>
                <w:bottom w:val="single" w:sz="2" w:space="1" w:color="000000"/>
              </w:pBdr>
              <w:bidi w:val="0"/>
              <w:spacing w:before="0" w:after="20"/>
              <w:jc w:val="left"/>
              <w:rPr/>
            </w:pPr>
            <w:r>
              <w:rPr/>
              <w:t> </w:t>
            </w:r>
          </w:p>
        </w:tc>
      </w:tr>
      <w:tr>
        <w:trPr/>
        <w:tc>
          <w:tcPr>
            <w:tcW w:w="42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3" w:type="dxa"/>
            <w:tcBorders/>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265" w:type="dxa"/>
            <w:tcBorders/>
          </w:tcPr>
          <w:p>
            <w:pPr>
              <w:pStyle w:val="TableContents"/>
              <w:bidi w:val="0"/>
              <w:spacing w:before="0" w:after="283"/>
              <w:jc w:val="left"/>
              <w:rPr/>
            </w:pPr>
            <w:r>
              <w:rPr/>
              <w:t>Name:</w:t>
            </w:r>
          </w:p>
        </w:tc>
        <w:tc>
          <w:tcPr>
            <w:tcW w:w="166"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283"/>
              <w:jc w:val="left"/>
              <w:rPr>
                <w:sz w:val="4"/>
                <w:szCs w:val="4"/>
              </w:rPr>
            </w:pPr>
            <w:r>
              <w:rPr>
                <w:sz w:val="4"/>
                <w:szCs w:val="4"/>
              </w:rPr>
            </w:r>
          </w:p>
        </w:tc>
      </w:tr>
      <w:tr>
        <w:trPr/>
        <w:tc>
          <w:tcPr>
            <w:tcW w:w="42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3" w:type="dxa"/>
            <w:tcBorders/>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265" w:type="dxa"/>
            <w:tcBorders/>
          </w:tcPr>
          <w:p>
            <w:pPr>
              <w:pStyle w:val="TableContents"/>
              <w:bidi w:val="0"/>
              <w:spacing w:before="0" w:after="283"/>
              <w:jc w:val="left"/>
              <w:rPr/>
            </w:pPr>
            <w:r>
              <w:rPr/>
              <w:t>Title:</w:t>
            </w:r>
          </w:p>
        </w:tc>
        <w:tc>
          <w:tcPr>
            <w:tcW w:w="166"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PLEASE EMAIL A .PDF COPY OF THE COMPLETED AND EXECUTED QUESTIONNAIRE TO: </w:t>
      </w:r>
    </w:p>
    <w:p>
      <w:pPr>
        <w:pStyle w:val="TextBody"/>
        <w:bidi w:val="0"/>
        <w:spacing w:before="0" w:after="0"/>
        <w:jc w:val="right"/>
        <w:rPr>
          <w:rFonts w:ascii="Times New Roman" w:hAnsi="Times New Roman"/>
          <w:b/>
          <w:sz w:val="20"/>
        </w:rPr>
      </w:pPr>
      <w:bookmarkStart w:id="14" w:name="d136791dex991.htm"/>
      <w:bookmarkStart w:id="15" w:name="ksd136791dex991"/>
      <w:bookmarkEnd w:id="14"/>
      <w:bookmarkEnd w:id="1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and Slate Medicines Announce Merger Agreement to </w:t>
      </w:r>
    </w:p>
    <w:p>
      <w:pPr>
        <w:pStyle w:val="TextBody"/>
        <w:bidi w:val="0"/>
        <w:spacing w:before="0" w:after="0"/>
        <w:jc w:val="center"/>
        <w:rPr>
          <w:rFonts w:ascii="Times New Roman" w:hAnsi="Times New Roman"/>
          <w:b/>
          <w:sz w:val="20"/>
        </w:rPr>
      </w:pPr>
      <w:r>
        <w:rPr>
          <w:rFonts w:ascii="Times New Roman" w:hAnsi="Times New Roman"/>
          <w:b/>
          <w:sz w:val="20"/>
        </w:rPr>
        <w:t xml:space="preserve">Advance Next-Generation Migraine Therapies </w:t>
      </w:r>
    </w:p>
    <w:p>
      <w:pPr>
        <w:pStyle w:val="TextBody"/>
        <w:bidi w:val="0"/>
        <w:spacing w:before="240" w:after="0"/>
        <w:jc w:val="center"/>
        <w:rPr>
          <w:rFonts w:ascii="Times New Roman" w:hAnsi="Times New Roman"/>
          <w:i/>
          <w:sz w:val="20"/>
        </w:rPr>
      </w:pPr>
      <w:r>
        <w:rPr>
          <w:rFonts w:ascii="Times New Roman" w:hAnsi="Times New Roman"/>
          <w:i/>
          <w:sz w:val="20"/>
        </w:rPr>
        <w:t xml:space="preserve">Combined company to operate as Slate Medicines and focus on advancing Slate’s portfolio of next-generation migraine therapeutics </w:t>
      </w:r>
    </w:p>
    <w:p>
      <w:pPr>
        <w:pStyle w:val="TextBody"/>
        <w:bidi w:val="0"/>
        <w:spacing w:before="240" w:after="0"/>
        <w:jc w:val="center"/>
        <w:rPr>
          <w:rFonts w:ascii="Times New Roman" w:hAnsi="Times New Roman"/>
          <w:i/>
          <w:sz w:val="20"/>
        </w:rPr>
      </w:pPr>
      <w:r>
        <w:rPr>
          <w:rFonts w:ascii="Times New Roman" w:hAnsi="Times New Roman"/>
          <w:i/>
          <w:sz w:val="20"/>
        </w:rPr>
        <w:t xml:space="preserve">Slate’s lead product candidate, SLTE-1009, is a clinical stage, potentially best-in-class subcutaneous anti-PACAP/VIP monoclonal antibody for the preventative treatment of migraine </w:t>
      </w:r>
    </w:p>
    <w:p>
      <w:pPr>
        <w:pStyle w:val="TextBody"/>
        <w:bidi w:val="0"/>
        <w:spacing w:before="240" w:after="0"/>
        <w:jc w:val="center"/>
        <w:rPr>
          <w:rFonts w:ascii="Times New Roman" w:hAnsi="Times New Roman"/>
          <w:i/>
          <w:sz w:val="20"/>
        </w:rPr>
      </w:pPr>
      <w:r>
        <w:rPr>
          <w:rFonts w:ascii="Times New Roman" w:hAnsi="Times New Roman"/>
          <w:i/>
          <w:sz w:val="20"/>
        </w:rPr>
        <w:t xml:space="preserve">Concurrent oversubscribed private placement financing of $245 million from a leading syndicate of healthcare investors anticipated to fund operations into 2029 </w:t>
      </w:r>
    </w:p>
    <w:p>
      <w:pPr>
        <w:pStyle w:val="TextBody"/>
        <w:bidi w:val="0"/>
        <w:spacing w:before="240" w:after="0"/>
        <w:jc w:val="center"/>
        <w:rPr>
          <w:rFonts w:ascii="Times New Roman" w:hAnsi="Times New Roman"/>
          <w:i/>
          <w:sz w:val="20"/>
        </w:rPr>
      </w:pPr>
      <w:r>
        <w:rPr>
          <w:rFonts w:ascii="Times New Roman" w:hAnsi="Times New Roman"/>
          <w:i/>
          <w:sz w:val="20"/>
        </w:rPr>
        <w:t xml:space="preserve">Companies to hold conference call on August 17, 2026, at 8:00 a.m. ET </w:t>
      </w:r>
    </w:p>
    <w:p>
      <w:pPr>
        <w:pStyle w:val="TextBody"/>
        <w:bidi w:val="0"/>
        <w:spacing w:before="240" w:after="0"/>
        <w:jc w:val="left"/>
        <w:rPr>
          <w:rFonts w:ascii="Times New Roman" w:hAnsi="Times New Roman"/>
          <w:sz w:val="20"/>
        </w:rPr>
      </w:pPr>
      <w:r>
        <w:rPr>
          <w:rFonts w:ascii="Times New Roman" w:hAnsi="Times New Roman"/>
          <w:sz w:val="20"/>
        </w:rPr>
        <w:t xml:space="preserve">CAMBRIDGE, Mass., and RALEIGH, N.C. August 17, 2026 (GLOBE NEWSWIRE) – Fulcrum Therapeutics, Inc. (“Fulcrum”) (Nasdaq: FULC) and Slate Medicines, Inc. (“Slate”), a biotechnology company developing next-generation therapeutics for the treatment of migraine, announced today that they have entered into a definitive agreement to combine the companies in an all-stock transaction (the “Merger”). The resulting entity will focus on advancing Slate’s pipeline of potentially best-in-class therapeutics, including SLTE-1009, a clinical stage subcutaneous anti-PACAP/VIP monoclonal antibody for the prevention of migraine and other headache disorders. Upon completion of the merger, the combined company plans to operate under the name Slate Medicines, Inc. and is expected to trade on Nasdaq under the ticker symbol “SLTE.” </w:t>
      </w:r>
    </w:p>
    <w:p>
      <w:pPr>
        <w:pStyle w:val="TextBody"/>
        <w:bidi w:val="0"/>
        <w:spacing w:before="240" w:after="0"/>
        <w:jc w:val="left"/>
        <w:rPr>
          <w:rFonts w:ascii="Times New Roman" w:hAnsi="Times New Roman"/>
          <w:sz w:val="20"/>
        </w:rPr>
      </w:pPr>
      <w:r>
        <w:rPr>
          <w:rFonts w:ascii="Times New Roman" w:hAnsi="Times New Roman"/>
          <w:sz w:val="20"/>
        </w:rPr>
        <w:t xml:space="preserve">In support of the Merger, Slate has secured commitments for an oversubscribed concurrent private placement of $245 million from a syndicate of leading healthcare investors led by Frazier Life Sciences and including participation from Forbion, RA Capital Management, Deep Track Capital, Foresite Capital, OrbiMed, RTW Investments, and Mingxin Capital (the “Financing” and, together with the Merger, the “Transaction”). The combined company’s cash balance at closing is expected to fund Slate’s operations into 2029, support the advancement of SLTE-1009 through a Phase 1 healthy volunteer study and a Phase 2 dose-range finding study in migraine patients and advance Slate’s pipeline. The Financing is expected to close concurrently with the Merger, subject to the satisfaction of customary closing conditions. In addition, prior to closing of the Merger, Fulcrum expects to declare a cash dividend to the pre-merger Fulcrum stockholders equal to the amount by which Fulcrum’s net cash exceeds $20.3 million. </w:t>
      </w:r>
    </w:p>
    <w:p>
      <w:pPr>
        <w:pStyle w:val="TextBody"/>
        <w:bidi w:val="0"/>
        <w:spacing w:before="240" w:after="0"/>
        <w:jc w:val="left"/>
        <w:rPr/>
      </w:pPr>
      <w:r>
        <w:rPr/>
        <w:t>“</w:t>
      </w:r>
      <w:r>
        <w:rPr>
          <w:rFonts w:ascii="Times New Roman" w:hAnsi="Times New Roman"/>
          <w:sz w:val="20"/>
        </w:rPr>
        <w:t xml:space="preserve">Migraine remains one of the most prevalent and disabling neurological diseases, yet millions of patients continue to be underserved by existing therapies,” said Gregory Oakes, Chief Executive Officer of Slate Medicines. “This merger and the related financing are expected to provide the resources to advance SLTE-1009, along with the rest of our pipeline, through potentially meaningful clinical milestones.” </w:t>
      </w:r>
    </w:p>
    <w:p>
      <w:pPr>
        <w:pStyle w:val="TextBody"/>
        <w:bidi w:val="0"/>
        <w:spacing w:before="240" w:after="0"/>
        <w:jc w:val="left"/>
        <w:rPr/>
      </w:pPr>
      <w:r>
        <w:rPr/>
        <w:t>“</w:t>
      </w:r>
      <w:r>
        <w:rPr>
          <w:rFonts w:ascii="Times New Roman" w:hAnsi="Times New Roman"/>
          <w:sz w:val="20"/>
        </w:rPr>
        <w:t xml:space="preserve">Following our evaluation of strategic alternatives, we are pleased to announce this transaction with Slate, which we believe represents the best path forward for our stockholders and a compelling opportunity to participate in the development of a portfolio of next generation migraine therapeutics” said Alex C. Sapir, Fulcrum’s 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Slate is focused on advancing a pipeline of next-generation therapeutics focused on broadening the treatment paradigm for migraine and other headache disorders. Slate’s lead asset SLTE-1009 is a monoclonal antibody designed to bind both pituitary adenylate cyclase-activating peptide (“PACAP”) and vasoactive intestinal peptide (“VIP”), two neuropeptides with foundational roles in migraine pathophysiology, and offers the potential for enhanced efficacy relative to PACAP-only targeting therapeutics through more complete neutralization of the PACAP/VIP pathway. SLTE-1009 was engineered with half-life extension to enable subcutaneous dosing and potential for quarterly administration. The program has received clearance to enter Phase 1 clinical trials in Australia and initial pharmacokinetic and safety data is anticipated mid-year 2027. Slate is also developing SLTE-2100, a bispecific antibody targeting PACAP/VIP and calcitonin gene-related peptide (“CGRP”), currently in lead optimization. The program is expected to enter clinical trials in the second half of 2027 and is funded through a Phase 2a study in migraine patients. Slate is also developing an additional undisclosed program in the migraine space.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Slate is led by an experienced leadership team with deep expertise in migraine biology, drug development, and commercialization and includes Gregory Oakes, Chief Executive Officer; Neil Buckley, President and Chief Operating Officer; Dr. Roger Cady, Chief Medical Officer; and John Umstead, CPA, Chief Financial Officer. In addition to the executive leadership team Slate has built world-class Scientific and Clinical Advisory Boards, which include internationally recognized neurologists and headache researchers that will help shape Slate’s scientific and clinical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the pre-Merger Fulcrum stockholders are expected to own 5.0% of the combined company and the pre-Merger Slate stockholders (inclusive of those investors participating in the pre-closing financing) are expected to own 95.0% of the combined company. The percentage of the combined company that Fulcrum’s stockholders will own as of the close of the Merger is subject to adjustment based on the amount of Fulcrum’s net cash at the closing date. Fulcrum is expected to contribute approximately $20.3 million in net cash to the combined entity and pay a cash dividend of an estimated $270.0 million immediately prior to the close of the Merger to pre-merger Fulcrum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has received unanimous support by the Board of Directors of both companies and is expected to close in the fourth quarter of 2026, subject to the satisfaction or waiver of certain customary closing conditions, including, among other things, approval by the stockholders of each company, the effectiveness of a registration statement to be filed with the U.S. Securities and Exchange Commission (the “SEC”) to register the securities to be issued in connection with the Transaction, and the expiration or termination of the applicable waiting period under the Hart-Scott-Rodino Antitrust Improvements Act of 1976,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operate as Slate Medicines, Inc. and be led by Gregory Oakes, Chief Executive Officer. Slate’s Board of Directors will serve as the board for the combined company and is expected to include Peter Kolchinsky, Managing Partner, RA Capital Management; Tim Lohoff, Principal, Forbion; Michael Rome, Managing Director, Foresite Capital; and Mark Hahn, former CFO of Verona Pharma (acquired by Merck). </w:t>
      </w:r>
    </w:p>
    <w:p>
      <w:pPr>
        <w:pStyle w:val="TextBody"/>
        <w:bidi w:val="0"/>
        <w:spacing w:before="240" w:after="0"/>
        <w:jc w:val="left"/>
        <w:rPr>
          <w:rFonts w:ascii="Times New Roman" w:hAnsi="Times New Roman"/>
          <w:sz w:val="20"/>
        </w:rPr>
      </w:pPr>
      <w:r>
        <w:rPr>
          <w:rFonts w:ascii="Times New Roman" w:hAnsi="Times New Roman"/>
          <w:sz w:val="20"/>
        </w:rPr>
        <w:t xml:space="preserve">Wedbush Securities Inc. is serving as exclusive financial advisor and Cooley LLP is serving as legal counsel to Slate. Leerink Partners is serving as exclusive financial advisor and Goodwin Procter LLP is serving as legal counsel to Fulcrum </w:t>
      </w:r>
    </w:p>
    <w:p>
      <w:pPr>
        <w:pStyle w:val="TextBody"/>
        <w:bidi w:val="0"/>
        <w:spacing w:before="360" w:after="0"/>
        <w:jc w:val="left"/>
        <w:rPr>
          <w:rFonts w:ascii="Times New Roman" w:hAnsi="Times New Roman"/>
          <w:b/>
          <w:sz w:val="20"/>
        </w:rPr>
      </w:pPr>
      <w:r>
        <w:rPr>
          <w:rFonts w:ascii="Times New Roman" w:hAnsi="Times New Roman"/>
          <w:b/>
          <w:sz w:val="20"/>
        </w:rPr>
        <w:t xml:space="preserve">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Members of the management team will discuss today’s announcement during the webcast, which begins at 8:00 a.m. ET. Listeners can register for the webcast via this link. A replay of the webcast will be available via the Investor Relations section of Fulcrum’s website at https://ir.fulcrumtx.com/events-and-presentations approximately two hours after the call’s conclusion.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Slate Medicines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is developing next-generation therapeutics designed to expand treatment options for migraine and other headache disorders. Slate’s mission is to offer migraine patients more complete freedom from their disease than is possible with the current standard of care. Slate is advancing a portfolio of potentially best-in-class therapeutics, led by SLTE-1009, a clinical stage anti-PACAP/VIP monoclonal antibody designed to enable subcutaneous, infrequent dosing. For more information, please visit www.slatemedicines.com.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is a clinical-stage biopharmaceutical company focused on developing small molecules to improve the lives of patients with rare hematological disorders. Fulcrum uses proprietary technology to identify drug targets that can modulate gene expression to treat the known root cause of genetically defined diseases. For more information, visit www.fulcrumtx.com and follow it on X (@FulcrumTx) and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Private Securities Litigation Reform Act of 1995, including statements regarding the proposed transaction involving Fulcrum and Slate, including the conditions to, and timing of, closing of the proposed transaction, the Board of Directors and management of the combined company, the percentage ownership of the combined company (which is subject to adjustment based on the amount of Fulcrum’s net cash as of the closing of the proposed transaction), the potential of Fulcrum stockholders to receive cash distributions (including the amount thereof), the parties’ ability to consummate the proposed transaction and Slate private placement financing, including the intended use of net proceeds from the Slate private placement financing and the expected timing of closing and completion of the private placement financing, the combined company’s expected cash runway and the sufficiency of the combined company’s cash to fund operations into 2029, the listing of the combined company’s shares on Nasdaq, the expectations surrounding the potential, safety, efficacy, and regulatory and clinical progress of Slate’s product candidates, including SLTE-1009, and anticipated milestones and timing, among others.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with respect to: (i) the timely satisfaction of the conditions to the closing of the proposed transaction,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Slate to consummate the proposed transaction; (iii) the ability of Fulcrum and Slate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Fulcrum, Slate or their respective directors; (vi) possible disruptions from the proposed transaction that could harm Fulcrum’s and/or Slate’s respective businesses; (vii) the ability of Slate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Slate’s financial performance; (x) certain restrictions during the pendency of the proposed transaction that may impact Fulcrum’s or Slate’s ability to pursue certain business opportunities or strategic transactions; (xi) the combined company’s need for additional funding, which may not be available on favorable terms or at all; (xii) potential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the combined company’s product candidates may cause serious adverse side effects; (xviii) inability to maintain existing or future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 the possibility of system failures or security breaches; risks relating to intellectual property; (xxvii) significant costs incurred as a result of operating as a public company; (xxviii) the risk that, as a result of adjustments to the exchange ratio, Fulcrum stockholders and Slate stockholders could own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factors as are set forth in Fulcrum’s periodic public filings with the SEC, including but not limited to those described under the heading “Risk Factors” in Fulcrum’s Quarterly Report on Form 10-Q for the period ended June 30, 2026. Fulcrum and Slate can give no assurance that any or all of the conditions to the proposed transaction will be satisfied. Except as required by applicable law, Fulcrum and Slate undertake no obligation to revise or update any forward-looking statement, or to make any other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PRESS RELEASE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Merger Will be Filed with the SEC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not a substitute for the registration statement or for any other document that Fulcrum may file with the SEC in connection with the proposed merger. In connection with the proposed merger between Fulcrum and Slate,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SLATE,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Fulcrum, Slate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Fulcrum Therapeutics Investor &amp; Media Contact: </w:t>
      </w:r>
    </w:p>
    <w:p>
      <w:pPr>
        <w:pStyle w:val="TextBody"/>
        <w:bidi w:val="0"/>
        <w:spacing w:before="0" w:after="0"/>
        <w:jc w:val="left"/>
        <w:rPr>
          <w:rFonts w:ascii="Times New Roman" w:hAnsi="Times New Roman"/>
          <w:sz w:val="20"/>
        </w:rPr>
      </w:pPr>
      <w:r>
        <w:rPr>
          <w:rFonts w:ascii="Times New Roman" w:hAnsi="Times New Roman"/>
          <w:sz w:val="20"/>
        </w:rPr>
        <w:t xml:space="preserve">Kevin Gardner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rPr>
      </w:pPr>
      <w:r>
        <w:rPr>
          <w:rFonts w:ascii="Times New Roman" w:hAnsi="Times New Roman"/>
          <w:sz w:val="20"/>
        </w:rPr>
        <w:t xml:space="preserve">kgardner@lifesciadvisors.com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617-283-2856 </w:t>
      </w:r>
    </w:p>
    <w:p>
      <w:pPr>
        <w:pStyle w:val="TextBody"/>
        <w:bidi w:val="0"/>
        <w:spacing w:before="0" w:after="0"/>
        <w:jc w:val="left"/>
        <w:rPr>
          <w:rFonts w:ascii="Times New Roman" w:hAnsi="Times New Roman"/>
          <w:b/>
          <w:sz w:val="20"/>
        </w:rPr>
      </w:pPr>
      <w:r>
        <w:rPr>
          <w:rFonts w:ascii="Times New Roman" w:hAnsi="Times New Roman"/>
          <w:b/>
          <w:sz w:val="20"/>
        </w:rPr>
        <w:t xml:space="preserve">Slate Medicines Corporate Communications Contact: </w:t>
      </w:r>
    </w:p>
    <w:p>
      <w:pPr>
        <w:pStyle w:val="TextBody"/>
        <w:bidi w:val="0"/>
        <w:spacing w:before="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slate@icrhealthcare.com </w:t>
      </w:r>
    </w:p>
    <w:p>
      <w:pPr>
        <w:pStyle w:val="TextBody"/>
        <w:bidi w:val="0"/>
        <w:jc w:val="center"/>
        <w:rPr/>
      </w:pPr>
      <w:bookmarkStart w:id="16" w:name="d136791dex992.htm"/>
      <w:bookmarkStart w:id="17" w:name="ksd136791dex992"/>
      <w:bookmarkEnd w:id="16"/>
      <w:bookmarkEnd w:id="17"/>
      <w:r>
        <w:rPr/>
        <w:drawing>
          <wp:inline distT="0" distB="0" distL="0" distR="0">
            <wp:extent cx="2918460" cy="16440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401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Slate Medicines Corporate Overview August 17,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This presentation (this “Presentation”) has been prepared by Slate Medicines, Inc. (the “Company” or “Slate”) for informational purposes only and shall not form the basis for or be relied on in connection with any investment decision with respect to the Company, Fulcrum Therapeutics, Inc. (“Fulcrum”) or the combined company. This Presentation has been prepared by the Company based on information and data that the Company considers reliable, but no reliance shall be placed on, and no representation or warranty, express or implied, whatsoever is or will be given by the Company or any of its affiliates, directors, officers, employees or advisers or any other person as to the truth, accuracy, completeness, fairness and reasonableness of the contents of this Presentation. This Presentation may not be all inclusive and does not purport to contain all of the information that may be required to evaluate a possible investment decision with respect to the Company. The recipient agrees and acknowledges that (i) this Presentation is not intended to form the basis of any investment decision by the recipient and does not constitute investment, tax or legal advice, and (ii) the information contained in this Presentation is subject to change, and any such changes may be material. Certain matters discussed in this Presentation may contain forward-looking statements that are, by their nature, subject to significant risks and uncertainties. Forward-looking statements can be identified by words such as “may,” “will,” “should,” “would,” “could,” “believe,” “expect,” “anticipate,” “intend,” “plan,” “continue,” “seek,” “estimate,” “potential” or the negative of these terms or other similar terms. Forward-looking statements in this Presentation include, but are not limited to, statements about: expectations with respect to the proposed merger with Fulcrum (the “Merger”) and the proposed concurrent financing, the structure and timing thereof, the use of proceeds therefrom, the ability of the parties to consummate the transactions and the expected post-closing ownership of the combined company; the combined company's listing in Nasdaq after the closing of the proposed Merger; the expected management team of the combined company; the combined company's expected cash runway; the Company’s product candidates and the potential benefits thereof and potential new indications; the Company’s expectations with regard to the design and results of its research and development programs, preclinical studies, and clinical trials, including the timing and availability of data from such studies and trials; the potential for the Company’s portfolio to deliver clinical milestones across multiple programs with first or best in class potential; the potential market size and size of the potential patient populations for the Company’s product candidates and any future product candidates; and the Company’s business strategy. Such forward-looking statements reflect the current views of the Company’s management regarding future events; they are not guarantees of future performance. These forward-looking statements are subject to a number of risks and uncertainties, many of which involve factors or circumstances that are beyond Fulcrum’s and the Company’s control. The Company’s and the combined company’s actual results could differ materially from those stated or implied in forward-looking statements due to a number of factors, including but not limited to (i) the risk that the conditions to the closing of the proposed transaction are not satisfied,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the Company to consummate the proposed transaction; (iii) the ability of Fulcrum and the Company to integrate their businesses successfully and to achieve anticipated synergies; (iv) the possibility that other anticipated benefits of the proposed transaction will not be realized, including without limitation, anticipated revenues, expenses, earnings and other financal i results, and growth and expansion of the combined company’s operations, and the anticipated tax treatment of the combination; (v) potential litigation relating to the proposed transaction that could be instituted against Fulcrum, the Company or their respective directors; (vi) possible disruptions from the proposed transaction that could harm Fulcrum’s and/or the Company’s respective businesses; (vii) the ability of the Company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the Company’s financial performance; (x) certain restrictions during the pendency of the proposed transaction that may impact Fulcrum’s or the Company’s ability to pursue certain business opportunities or strategic transactions; (xi) the combined company’s need for additional funding, which may not be available; (xii)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Fulcrum’s and the Company’s product candidates may cause serious adverse side effects; (xviii) inability to maintain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(xxvi)t he possibility of system failures or security breaches; risks relating to intellectual property; (xxvii) significant costs incurred as a result of operating as a public company; (xxviii) the risk that, as a result of adjustments to the exchange ratio, Fulcrum stockholders and the Company stockholders could own more or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factors as are set forth in Fulcrum’s periodic public filings with the SEC, including but not limited to those described under the heading “Risk Factors” in Fulcrum’s Quarterly Report on Form 10-Q for the period ended June 30, 2026. All forward-looking statements contained in this Presentation speak only as of the date on which they were made. Fulcrum and the Company can give no assurance that the conditions to the proposed transaction will be satisfied. Except as required by applicable law, Fulcrum and the Company undertake no obligation to revise or update any forward-looking statement, or to make any other forward-looking statements, whether as a result of new information, future events or otherwise.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the Company will assert, to the fullest extent under applicable law, the rights of the owners to these trademarks, service marks, trade names and copyrights. No Offer or Solicitation This Presentation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 nal securities exchange, of any such jurisdiction. NEITHER THE SEC NOR ANY STATE SECURITIES COMMISSION HAS APPROVED OR DISAPPROVED OF THE SECURITIES OR DETERMINED IF THIS PRESENTATION IS TRUTHFUL OR COMPLETE. Important Additional Information About the Proposed Merger Will be Filed with the SEC This Presentation is not a substitute for the registration statement or for any other document that Fulcrum may file with the SEC in connection with the proposed merger. In connection with the proposed merger between Fulcrum and the Company,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THE COMPANY,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Participants in the Solicitation Fulcrum, the Company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Fulcrum Therapeutics announces merger with Slate Medicines • Stock-for-stock merger whereby all of Slate Medicine’s issued and outstanding capital stock will be exchanged for Fulcrum common stock • Concurrent $245 million private placement into Slate from a syndicate of leading healthcare investors led by Frazier Life Sciences, with participation from Forbion, RA Capital Management, Deep Track Capital, Foresite Capital, OrbiMed, RTW Investments, and Mingxin Capital. Overview • Prior to the closing of the merger, Fulcrum expects to declare a cash dividend to the pre-merger Fulcrum stockholders equal to the amount by which Fulcrum's net cash exceeds $20.3 million • Estimated pro forma ownership split: Fulcrum: 5.0%, Slate: 55.9%, Private Placement Investors: 39.1% • To support the advancement of SLTE-1009 through a Phase 1 healthy volunteer study and a Phase 2 dose-range finding study in migraine patients as well as advancement of Slate’s pipeline. Use of Proceeds • Pro forma cash balance at closing is anticipated to fund Slate’s current planned operations into 2029. • The combined company will operate as Slate Medicines, Inc. and be led by Gregory Oakes, Chief Executive Officer. Management and Board • Slate's Board of Directors is expected to serve as the board for the combined company. • Merger and financing expected to close in Q4 2026 Timing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Medicines is a biotech company advancing next- generation therapeutics for migraine The Science The Solution The Opportunity PACAP (pituitary adenylate cyclase- SLTE-1009 is a potentially Migraine is a prevalent, debilitating activating polypeptide) and VIP differentiated subcutaneous anti- neurological disease, and many (vasoactive intestinal peptide) play a PACAP/VIP monoclonal antibody for the patients are underserved with existing foundational role in migraine prevention of migraine and other therapies pathophysiology headache disorders Migraine is the leading cause of Slate is committed to understanding PACAP-ligand blockade is a clinically disability in people under the age of validated approach in the prevention and innovating in the biology of 1 50 and existing treatment options do migraine to better address the disease of migraines not provide millions of patients with complete control of their disease 1. Timothy J Steiner et al., “Migraine Is First Cause of Disability in under 50s: Will Health Politicians Now Take Notice?,” The journal of headache and pain, February 21, 2018, https://pmc.ncbi.nlm.nih.gov/articles/PMC5821623/#:~:text=With%20better%20knowledge,%20empirical%20data,7.2%25)%20(Table%201) 4 2. “Migraine and Other Headache Disorders,” World Health Organization, n.d., https://www.who.int/news-room/fact-sheets/detail/headache-disorders.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Medicines is seeking to broaden the treatment paradigm for migraine Program Discovery Preclinical Phase 1 Phase 2 Phase 3 Milestones SLTE-1009* HREC approval received for P1 (Anti-PACAP/VIP mAb) initiation in AUS Potential best-in-class subcutaneous July 2026 anti-PACAP/VIP monoclonal antibody SLTE-2100 Phase 1 initiation (Anti-PACAP/VIP x CGRP bsAb) targeted for 2H27 Subcutaneous anti-PACAP/VIP x anti- CGRP bispecific antibody Development candidate Undisclosed Program nomination targeted for 1Q28 *Slate licensed the ex-China development and commercialization rights for SLTE-1009 from DartsBio Pharmaceuticals (Guangdong), Ltd mAb = monoclonal antibody HREC = Human Research Ethics Committee CGRP = calcitonin gene-related peptide 5 bsAb = bispecific antibody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Led by a team of experienced biopharma executives with a personal commitment to migraine Executive Team Gregory Oakes, MBA Neil Buckley, MS Roger Cady, MD John Umstead, CPA Chief Executive Officer President and Chief Medical Officer Chief Financial Officer Chief Operating Officer Board Of Directors Tim Lohoff, PhD Gregory Oakes, MBA Peter Kolchinsky, PhD Michael Rome, PhD Mark W. Hahn Principal, Forbion Chief Executive Officer Managing Partner, RA Capital Managing Director, Foresite Capital Raised $130 million Series A; backed by top-tier investors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Migraine patients are underserved by the existing standard of care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Migraine is more than just a headache; it is one of the most prevalent, lifelong, and disabling neurological diseases Migraine is the leading cause of disability in 1 people under the age of 50 Migraine is often a lifelong disease that affects people of all ages; Headache disorders are among the top three most The disability caused by migraine is far broader than just 2 common neurological conditions ages 5-80 headache and comprises several phases and a spectrum of disabling symptoms, all of which can significantly impact a person’s ability to function Migraine affects women about 2–3 times Symptoms of migraine include moderate to severe throbbing and more often than men, especially during 3 pulsating pain on one side of the head, migraine aura, nausea, reproductive years vomiting, flushing, dizziness, difficulty focusing, and light sensitivity 1. Timothy J Steiner et al., “Migraine Is First Cause of Disability in under 50s: Will Health Politicians Now Take Notice?,” The journal of headache and pain, February 21, 2018, 2. “Migraine and Other Headache Disorders,” World Health Organization, n.d., https://www.who.int/news-room/fact-sheets/detail/headache-disorders. 8 3. Rosse, et. al. Sex and gender differences in migraines: a narrative review Neurol Sci. 2022 Sep;43(9):5729-5734. doi: 10.1007/s10072-022-06178-6. Epub 2022 Jun 8.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Existing preventative therapeutics, including CGRP antagonists, do not provide complete disease control for most patients • In pivotal studies in chronic migraine (CM) patients, only ~50% of patients experience a &gt;50% reduction in monthly migraine or headache days, and only ~20% of patients experience a &gt;75% reduction • American Headache Society clinical guidelines state patients experiencing ≥4 migraine days per month should be offered preven tative treatment Remaining Monthly Migraine Days (MMD)/Monthly Headache Days (MHD) after treatment Absolute reduction from baseline Placebo-adjusted reduction (drug effect) 1. https://d1fakw34cbtrm5.cloudfront.net/PDFs/Mig raine-Quick-Guides/AHS-First-Contact-PreventativeTreatment.pdf 2. REGAIN (NCT02614261) — Detke et al. Galcanezumab in chronic migraine: The randomized, double-blind, placebo-controlled REGAIN study. Neurology. 2018;91(24):e2211–e2221. 3. NCT02066415 — Tepper et al. Safety and efficacy of erenumab for preventive treatment of chronic migraine: a randomised, double-blind, placebo-controlled phase 2 trial. Lancet Neurology. 2017;16(6):425–434. 4. PROMISE-2 (NCT02974153) — Lipton et al. Efficacy and safety of eptinezumab in patients with chronic mig raine: PROMISE-2. Neurology. 2020;94(13):e1365–e1377. 9 5. HALO CM (NCT02621931) — Silberstein et al. Fremanezumab for the preventive treatment of chronic mig raine. New England Journal of Medicine. 2017;377(22):2113–2122. 6. PROGRESS (NCT03855137) — Pozo-Rosich et al. Atog epant for the preventive treatment of chronic mig raine (PROGRESS): a randomised, double-blind, placebo-controlled, phase 3 trial. Lancet. 2023;402(10404):775–785.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Despite modest efficacy, CGRP antagonists for prevention are a large and growing commercial market Company Drug Modality Dosing frequency 2025 Sales $1,424M* Small molecule QOD (Pfizer 2025 annual report) $1,036M Small molecule QD (Abbvie 2025 8-K) ~$700M (est) Subcutaneous QM (Estimate from Q3 Zack’s antibody Report) $700M (DKK 4,476M) Intravenous antibody Q3M (Lundbeck FY2025 Corporate Release) Subcutaneous $673M QM/Q3M (Teva FY2025 press release) antibody ~$500M (est) Subcutaneous (Novartis Form 6-K FY2025) QM (Amgen 3Q 25 8-K other antibody products estimate) In 2025, CGRP antagonists for migraine prevention sold approximately $5 billion and are expected to reach peak class sales of $12.5 billion in 2033* *includes gepants for acute use 10 QOD = every other day; QD = every day, QM – every month, Q3M = every 3 months Persistence Market Research. CGRP Inhibitors Market Size, Share, and Growth Forecast 2026–2033. Report ID: PMRREP33710. February 2026. 199 pages. Available at: https://www.persistencemarketresearch.com/market-research/cgrp-inhibitors-market.asp</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PACAP and VIP play a foundational role in migraine pathophysiology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PACAP and VIP are neuropeptides that signal through multiple receptors and ligand blockade is required for efficacy PACAP exists in two isoforms: PACAP-38 and PACAP-27 • AMG301, a PAC1 receptor binding antibody, failed to bocunebart show a statistically significant benefit over VIP is a neuropeptide that placebo in a Phase 2 shares 68% sequence migraine prevention study, homology with PACAP and signals through common receptors, VPAC1 and VPAC2 • Bocunebart (Lu AG09222) is a ligand-binding antibody that prevents PACAP-38 and PACAP-27 interaction with PAC1, VPAC1, and VPAC2, and has shown encouraging efficacy in randomized and controlled clinical trials Image: Rubio-Beltrán et al. The Journal of Headache and Pain (2018) 19:64 https://doi.org/10.1186/s10194-018-0893-8 12 AMG301 - NCT03238781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Like CGRP, PACAP and VIP have each been shown to independently induce migraine-like headaches PACAP, VIP, and CGRP are all neuropeptides and have been shown to induce cephalic vasodilation and the induction of migraine-like headache in patients Neuropeptide Migraine induction rate Notes • 20-minute IV infusion • Median time to onset of migraine 3 hours CGRP 63% • 9% premonitory symptoms • 20-minute IV infusion • Median time to onset of migraine 5 hours PACAP-38 72% • 48% of patients experienced premonitory symptoms • 2-hour IV infusion o 20-minute infusions of VIP do not induce migraine as with VIP 71% PACAP and CGRP • Mimicked a spontaneous migraine attack PACAP-38 and VIP each independently produce migraine-like headache in patients at high rates, each with a unique clinical signature 1. Guo S, et al. Premonitory and nonheadache symptoms induced by CGRP and PACAP38 in patients with migraine. Pain. 2016 Dec;157(12):2773 -2781. doi: 10.1097/j.pain.0000000000000702. 2. Pellesi L, et al. Effect of Vasoactive Intestinal Polypeptide on Development of Migraine Headaches: A Randomized Clinical Trial. JAMA Netw Open. 2021 Aug 2;4(8):e2118543. doi: 13 10.1001/jamanetworkopen.2021.18543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Challenge studies have demonstrated that PACAP induces migraine independent of CGRP signaling • Patients were randomized to receive either placebo or anti-CGRP monoclonal antibody eptinezumab (Vyepti) and then infused with PACAP-38 start at 120 minutes • There was no meaningful difference in physiologic parameters tested, including superficial temporal artery diameter, facial skin blood flow, mean arterial blood pressure, or heart rate In a randomized and controlled PACAP-38 challenge study, anti-CGRP treatment • There was no statistical did not prevent migraine induction by PACAP-38, indicating PACAP is an difference in migraine orthogonal driver of migraine to CGRP induction rates between the pre-treated and placebo group Al-Karagholi et al. PACAP38-induced migraine attacks are independent of CGRP signaling: a randomized controlled trial, The Journal of Headache and Pain 14 https://doi.org/10.1186/s10194-025-02022-2 (2025)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PACAP-ligand binding is a clinically-validated approach to migraine prevention • In the Phase 2a HOPE study, bocunebart (Lu AG09222), an anti-PACAP IV ligand binding mAb, demonstrated a significant monthly migraine reduction in high frequency, treatment experienced chronic migraine o Patients in HOPE had baseline average MMD of 16.7 and all had failed 2-4 preventative therapeutics • In June 2026, Lundbeck presented data from the Phase 2b PROCEED trial demonstrating a statistically significant reduction in a pooled episodic and chronic migraine study with IV administration o The subcutaneous portion of the study was discontinued in March 2025 after a planned interim futility analysis o Utilized a pooled analysis of HOPE and PROCEED bocunebart demonstrated a -2.3-placebo adjusted MMD reduction in chronic migraine o Dose A met statistical significance with a -1.4-placebo adjusted MMD reduction in a pooled episodic and chronic population Ashina M, et al. A Monoclonal Antibody to PACAP for Migraine Prevention. New England Journal of Medicine. 2024;391(9). DOI: 10.1056/NEJMoa2314577 15 Allaini, et. Al., Targeting PACAP in migraine prevention: Outcomes from the PROCEED phase 2b trial of bocunebart (Lu AG09222)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Bocunebart demonstrated complete reversal of PACAP-associated vasodilation, but only partial reversal of VIP associated effects In an infusion challenge study, bocunebart completely reversed PACAP-38 associated superficial temporal artery vasodilation, but only partially reverse the effects of VIP Rasmussen et al. The effect of Lu AG09222 on PACAP38- and VIP-induced vasodilation, heart rate increase, and headache in healthy subjects: an interventional, randomized, double-blind, parallel-group, placebo-controlled study. The Journal of Headache and Pain (2023) 24:60 https://doi.org/10.1186/s10194-023-01599-w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A potential best-in-class subcutaneous anti- PACAP/VIP monoclonal antibody for the prevention of migraine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A potentially differentiated subcutaneous anti- PACAP/VIP monoclonal antibody for the prevention of migraine Bocunebart Property SLTE-1009 (Lu AG09222) Ligand Binding Yes Yes Yes PACAP-38 and PACAP-27 Yes VIP Yes Low affinity, partial affect Half-life extended Yes - YTE No Being developed intravenous Subcutaneous Delivery and frequency Monthly with the potential for Q3M Monthly SLTE-1009 offers the potential for enhanced efficacy with enhanced VIP binding vs. PACAP-only targeting therapies and improved delivery over bocunebart, allowing for subcutaneous administration Internal Data Ashina et. al Pharmacokinetics and safety of bocunebart (Lu AG09222), an anti-PACAP monoclonal antibody in development for migraine prevention, AAN 2026 Poster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functional cellular assays SLTE-1009 demonstrated equivalent potency to bocunebart on PACAP and enhanced blockade of VIP Activity Antigen SLTE-1009 IC(50) Bocuenbart IC(50) PACAP38 0.23 nM 0.74 nM PAC1 neutralizing PACAP27 0.22 nM 0.29 nM PACAP38 PACAP27 PACAP38 0.53 nM 2.34 nM 3 2 7 2 4 A b s in h ib it P A C A P 2 7 s tim u la tio n c A M P p ro d u c tio n in P C -1 2 3 2 7 2 4 A b s in h ib it P A C A P 3 8 s tim u la tio n c A M P p ro d u c tio n in P C -1 2 VPAC1 neutralizing PACAP27 1.15 nM 0.34 nM (P C -1 2 6 0 0 0 /w e ll (p 3 8 4 ); P A C A P 2 7 , 1 .5 n M , A b s 1 0 0 n M , 1 :3 d ilu tio n ) (P C -1 2 6 0 0 0 /w e ll (p 3 8 4 ); P A C A P 3 8 , 0 .2 n M , A b s 1 0 0 n M , 1 :3 d ilu tio n ) (X H Q , 2 0 2 5 1 2 3 0 ) (X H Q , 2 0 2 5 1 2 2 6 ) IC50 /nM 0 .0 VIP 1.87 nM NI* IC50/nM 0 .0 S L 0 0 1 0.2848 S L 0 0 1 0.7401 S L 0 0 2 1.403 0 .1 S L 0 0 2 3.090 D S 0 0 9 0.2193 PACAP38 1.18 nM 4.05 nM 0 .1 D S 0 0 9 0.2276 h Ig G 17.94 0 .2 h Ig G 0 .2 VPAC2 neutralizing PACAP27 0.23 nM 0.16 nM 0 .3 PC-12 (PAC1R) 0 .4 0 .3 VIP 0.59 nM NI* 0 .5 0 .4 *High concentration of 100 nM in A b s C o n c ./n M VIP A b s C o n c ./n M cell assays, SPR indicates bocunebart KD in this range 3 2 7 2 4 A b s in h ib it P A C A P 3 8 s tim u la tio n c A M P p ro d u c tio n in C H O K 1 -h V P A C 1 R 3 2 7 2 4 A b s in h ib it P A C A P 2 7 s tim u la tio n c A M P p ro d u c tio n in C H O K 1 -h V P A C 1 R 3 2 7 2 4 A b s in h ib it V IP s tim u la tio n c A M P p ro d u c tio n in C H O K 1 -h V P A C 1 R (C H O K 1 -h V P A C 1 R 3 0 0 0 /w e ll (p 3 8 4 ); P A C A P 3 8 , 0 .2 n M , A b s 1 0 0 n M , 1 :3 d ilu tio n ) (C H O K 1 -h V P A C 1 R 3 0 0 0 /w e ll (p 3 8 4 ); P A C A P 2 7 0 .2 n M , A b s 1 0 0 n M , 1 :3 d ilu tio n ) (C H O K 1 -h V P A C 1 R 3 0 0 0 /w e ll (p 3 8 4 ); V IP , 0 .0 5 n M , A b s 1 0 0 n M , 1 :3 d ilu tio n ) (X H Q , 2 0 2 5 1 2 2 9 ) (X H Q , 2 0 2 5 1 2 3 0 ) (X H Q , 2 0 2 5 1 2 2 6 ) IC50 /nM IC50/nM IC50/nM 0 .0 0 .0 0 .0 S L 0 0 1 2.340 S L 0 0 1 0.3437 S L 0 0 1 6.140e+012 S L 0 0 2 13.18 S L 0 0 2 3.160 S L 0 0 2 ~ 101.3 0 .1 0 .1 0 .1 D S 0 0 9 0.5304 D S 0 0 9 1.145 D S 0 0 9 1.867 h Ig G ~ 5.283e-009 h Ig G 0.02491 h Ig G 0.03304 0 .2 0 .2 0 .2 CHOK1-VPAC1R 0 .3 0 .3 0 .3 0 .4 0 .4 0 .4 A b s C o n c ./n M A b s C o n c ./n M A b s C o n c ./n M 3 2 7 2 4 A b s in h ib it V IP s tim u la tio n c A M P p ro d u c tio n in C H O K 1 -h V P A C 2 R 3 2 7 2 4 A b s in h ib it P A C A P 3 8 s tim u la tio n c A M P p ro d u c tio n in C H O K 1 -h V P A C 2 R 3 2 7 2 4 A b s in h ib it P A C A P 2 7 s tim u la tio n c A M P p ro d u c tio n in C H O K 1 -h V P A C 2 R (C H O K 1 -h V P A C 2 R 3 0 0 0 /w e ll (p 3 8 4 ); V IP , 0 .2 n M , A b s 1 0 0 n M , 1 :3 d ilu tio n ) (C H O K 1 -h V P A C 2 R 3 0 0 0 /w e ll (p 3 8 4 ); P A C A P 3 8 , 0 .2 n M , A b s 1 0 0 n M , 1 :3 d ilu tio n ) (C H O K 1 -h V P A C 2 R 3 0 0 0 /w e ll (p 3 8 4 ); P A C A P 2 7 , 0 .2 n M , A b s 1 0 0 n M , 1 :3 d ilu tio n ) (X H Q , 2 0 2 5 1 2 2 6 ) (X H Q , 2 0 2 5 1 2 2 9 ) (X H Q , 2 0 2 5 1 2 2 9 ) /nM /nM /nM IC50 IC50 IC50 0 .0 0 .0 0 .0 S L 0 0 1 S L 0 0 1 S L 0 0 1 ~ 1.471e+006 4.049 0.1598 S L 0 0 2 S L 0 0 2 S L 0 0 2 ~ 31.48 17.57 0.5262 0 .1 0 .1 0 .1 D S 0 0 9 19 0.5874 D S 0 0 9 1.180 D S 0 0 9 0.2260 h Ig G CHOK1-VPAC2R h Ig G ~ 0.03352 0 .2 h Ig G ~ 1.098 0 .2 0 .2 0 .3 0 .3 0 .3 0 .4 0 .4 0 .4 0 .5 A b s C o n c ./n M A b s C o n c ./n M A b s C o n c ./n M 19 Internal Data. Assays for each compound run separately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c A M P 6 6 5 /6 2 0 c A M P 6 6 5 /6 2 0 c A M P 6 6 5 /6 2 0 c A M P 6 6 5 /6 2 0 c A M P 6 6 5 /6 2 0 c A M P 6 6 5 /6 2 0 c A M P 6 6 5 /6 2 0 c A M P 6 6 5 /6 2 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color w:val="FFFFFF"/>
        </w:rPr>
      </w:pPr>
      <w:r>
        <w:rPr>
          <w:rFonts w:ascii="Times New Roman" w:hAnsi="Times New Roman"/>
          <w:color w:val="FFFFFF"/>
          <w:sz w:val="2"/>
        </w:rPr>
        <w:t>Activity in preclinical models of migraine • Umbellulone (UMB) is a UMB</w:t>
      </w:r>
      <w:r>
        <w:rPr>
          <w:rFonts w:eastAsia="Times New Roman"/>
          <w:color w:val="FFFFFF"/>
          <w:sz w:val="2"/>
        </w:rPr>
        <w:t>：</w:t>
      </w:r>
      <w:r>
        <w:rPr>
          <w:rFonts w:ascii="Times New Roman" w:hAnsi="Times New Roman"/>
          <w:color w:val="FFFFFF"/>
          <w:sz w:val="2"/>
        </w:rPr>
        <w:t>12 mg Female C57BL/6J naturally occurring, 18-20 g, N = 8 allodynia-inducing -50 min Pain threshold Baseline test Priming by monoterpene ketone via Treatments (i.v.) test (1h) Randomization Restrain stress activation of Transient receptor potential cation channel, subfamily A, UMB-induced mouse migraine pain threshold UMB-induced mouse migraine pain threshold member 1 (TRPA1) (Von Frey) (Von Frey) n = 8, i.v. n = 8, i.v., 10 mpk 1.5 1.5 • UMB-induced sensory hypersensitivity responses 1.0 1.0 Normal Normal are associated with Hu318H4L9, 10mpk Hu318H4L9, 10 mpk activation of the trigeminal ALD1910, 10mpk Hu318H4L9, 3 mpk neurovascular pathway 0.5 0.5 Hu318H3L7, 10mpk Hu318H4L9, 1 mpk HuIgG1 10mpk HuIgG1, 10 mpk 0.0 0.0 0 1 • SLTE-1009 showed dose 0 1 Post-treatment hours Post-treatment hours dependent effects on allodynia and was superior to bocunebart head-to- Hu318H4L9 = SLTE-1009 ALD1910 = bocunebart (Lu AG09222) head at 1 hour 20 Internal Data MWT (g), Mean ± SEM MWT(g), Mean ± SEM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thus far has demonstrated favorable preclinical data Formulation Product Profile Property Target SLTE-1009 Concentration ≥150 mg/mL Viscosity &lt;15 cP Osmolality &lt;500 mSOM/kg Potency Subvisible particles Stability Charge distribution Aggregation Autoinjector compatible volume Single ≤2 mL injection In addition to favorable CMC-related properties, the highest dose tested in both non-human primates (NHP) and rodent GLP toxicology studies was determined to be the no observed adverse effect level (NOAEL) 21 Internal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Demonstrated half-life extension in NHPs and ability to match Lundbeck IV PK via subcutaneous delivery Bocunebart 750 mg IV (P2a high-dose) vs. SLTE-1009 QM SC Modeling of expected human PK vs. bocunebart 750 (P2a) and 480 mg IV (P2b) shows possibility to Bocunebart 480 mg IV (P2b high-dose) vs. SLTE-1009 QM SC match or Demonstrated half-life extension in NHP exceed both pharmacokinetic (PK) studies with a mean half-life ranging from 21-27 days across doses and a C and trough modeled predicted human half-life of 70-80 days C at 1-2 average Demonstrated &gt;80% subcutaneous bioavailability mL in NHP subcutaneous 22 Internal Data doses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has the potential for up to quarterly subcutaneous administration Bocunebart 750 mg IV (P2a high-dose) vs. SLTE-1009 Q2M SC Bocunebart 480 mg IV (P2b high-dose) vs. SLTE-1009 Q3M SC Dose level and frequency expected to be evaluated in a Phase 2 dose- range finding study based on actual observed human pharmacokinetics in the Phase 1 SLTE-1009 is modeled to potentially achieve Q3M dosing matching the high dose exposure from the Lundbeck P2b PROCEED trial and Q2M dosing healthy volunteer matching the high dose from the Lundbeck P2a HOPE trial study Q2M = Every 2 months dosing Q3M – Every 3 months dosing 23 Internal Data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has a potential path to early value creation and program derisking with Phase 1 PK Additional Potential Catalysts pipeline Today: potential Initiating Phase 1 topline Phase 1 PK program Full P1 data differentiated anti- healthy volunteer and half-life data (safety and PK) details on PACAP/VIP mAb with study expected and P2 initiation strong preclinical data SLTE-2100 and undisclosed 1H 2026 Mid-year 2026 Mid-year 2027 2H 2027 program expected to be announced in Healthy volunteer PK has the potential to derisk subcutaneous 2027 administration demonstrating half-life extension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a world-class migraine-focused biotech with a pipeline of potentially best-in-class, differentiated assets • SLTE-2100 An anti-PACAP/VIP x CGRP bispecific antibody o Complete blockade of three neuropeptides implicated in migraine, PACAP, VIP, and CGRP for potential differentiated efficacy in migraine prevention o Currently in lead optimization with DC nomination targeted for 2H26 and initiation of Phase 1 targeted for 2H27 • Undisclosed program is also intended for the treatment of migraine and other headache disorders with DC nomination targeted for 1Q28 Slate Medicines continues to evaluate additional assets focused on the prevention and treatment of migraine and other headache disorders in an effort to build a robust pipeline of differentiated assets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Medicines is a biotech company focused on expanding treatment options for migraine patients The Solution SLTE-1009 is a potential best-in-class subcutaneous anti-PACAP monoclonal Lead asset SLTE- Experienced team Building a pipeline antibody for the prevention of migraine and 1009 is a potential with a personal other headache disorders Building a world- of potentially best-in-class commitment to class migraine- differentiated subcutaneous anti- migraine focused biotech assets to broaden PACAP/VIP company the treatment monoclonal Backed by top-tier paradigm for antibody for the life sciences migraine patients prevention of investors migraine 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253</Pages>
  <Words>128280</Words>
  <Characters>681315</Characters>
  <CharactersWithSpaces>810165</CharactersWithSpaces>
  <Paragraphs>3728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