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May 9, 2022</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333-260754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POST-EFFECTIVE AMENDMENT NO. 3</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jc w:val="center"/>
        <w:spacing w:after="0" w:line="237" w:lineRule="auto"/>
        <w:rPr>
          <w:sz w:val="20"/>
          <w:szCs w:val="20"/>
          <w:color w:val="auto"/>
        </w:rPr>
      </w:pPr>
      <w:r>
        <w:rPr>
          <w:rFonts w:ascii="Arial" w:cs="Arial" w:eastAsia="Arial" w:hAnsi="Arial"/>
          <w:sz w:val="32"/>
          <w:szCs w:val="32"/>
          <w:b w:val="1"/>
          <w:bCs w:val="1"/>
          <w:color w:val="auto"/>
        </w:rPr>
        <w:t>FORM S-3</w:t>
      </w: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FULCRUM THERAPEUTICS,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840" w:type="dxa"/>
        <w:tblCellMar>
          <w:top w:w="0" w:type="dxa"/>
          <w:left w:w="0" w:type="dxa"/>
          <w:bottom w:w="0" w:type="dxa"/>
          <w:right w:w="0" w:type="dxa"/>
        </w:tblCellMar>
      </w:tblPr>
      <w:tr>
        <w:trPr>
          <w:trHeight w:val="212"/>
        </w:trPr>
        <w:tc>
          <w:tcPr>
            <w:tcW w:w="3840" w:type="dxa"/>
            <w:vAlign w:val="bottom"/>
          </w:tcPr>
          <w:p>
            <w:pPr>
              <w:jc w:val="center"/>
              <w:ind w:right="1882"/>
              <w:spacing w:after="0"/>
              <w:rPr>
                <w:sz w:val="20"/>
                <w:szCs w:val="20"/>
                <w:color w:val="auto"/>
              </w:rPr>
            </w:pPr>
            <w:r>
              <w:rPr>
                <w:rFonts w:ascii="Arial" w:cs="Arial" w:eastAsia="Arial" w:hAnsi="Arial"/>
                <w:sz w:val="18"/>
                <w:szCs w:val="18"/>
                <w:b w:val="1"/>
                <w:bCs w:val="1"/>
                <w:color w:val="auto"/>
                <w:w w:val="91"/>
              </w:rPr>
              <w:t>Delaware</w:t>
            </w:r>
          </w:p>
        </w:tc>
        <w:tc>
          <w:tcPr>
            <w:tcW w:w="3380" w:type="dxa"/>
            <w:vAlign w:val="bottom"/>
          </w:tcPr>
          <w:p>
            <w:pPr>
              <w:jc w:val="center"/>
              <w:ind w:left="1862"/>
              <w:spacing w:after="0"/>
              <w:rPr>
                <w:sz w:val="20"/>
                <w:szCs w:val="20"/>
                <w:color w:val="auto"/>
              </w:rPr>
            </w:pPr>
            <w:r>
              <w:rPr>
                <w:rFonts w:ascii="Arial" w:cs="Arial" w:eastAsia="Arial" w:hAnsi="Arial"/>
                <w:sz w:val="18"/>
                <w:szCs w:val="18"/>
                <w:b w:val="1"/>
                <w:bCs w:val="1"/>
                <w:color w:val="auto"/>
                <w:w w:val="91"/>
              </w:rPr>
              <w:t>47-4839948</w:t>
            </w:r>
          </w:p>
        </w:tc>
      </w:tr>
      <w:tr>
        <w:trPr>
          <w:trHeight w:val="148"/>
        </w:trPr>
        <w:tc>
          <w:tcPr>
            <w:tcW w:w="3840" w:type="dxa"/>
            <w:vAlign w:val="bottom"/>
          </w:tcPr>
          <w:p>
            <w:pPr>
              <w:jc w:val="center"/>
              <w:ind w:right="188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380" w:type="dxa"/>
            <w:vAlign w:val="bottom"/>
          </w:tcPr>
          <w:p>
            <w:pPr>
              <w:jc w:val="center"/>
              <w:ind w:left="18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840" w:type="dxa"/>
            <w:vAlign w:val="bottom"/>
          </w:tcPr>
          <w:p>
            <w:pPr>
              <w:jc w:val="center"/>
              <w:ind w:right="1882"/>
              <w:spacing w:after="0"/>
              <w:rPr>
                <w:sz w:val="20"/>
                <w:szCs w:val="20"/>
                <w:color w:val="auto"/>
              </w:rPr>
            </w:pPr>
            <w:r>
              <w:rPr>
                <w:rFonts w:ascii="Arial" w:cs="Arial" w:eastAsia="Arial" w:hAnsi="Arial"/>
                <w:sz w:val="14"/>
                <w:szCs w:val="14"/>
                <w:b w:val="1"/>
                <w:bCs w:val="1"/>
                <w:color w:val="auto"/>
                <w:w w:val="94"/>
              </w:rPr>
              <w:t>incorporation or organization)</w:t>
            </w:r>
          </w:p>
        </w:tc>
        <w:tc>
          <w:tcPr>
            <w:tcW w:w="3380" w:type="dxa"/>
            <w:vAlign w:val="bottom"/>
          </w:tcPr>
          <w:p>
            <w:pPr>
              <w:jc w:val="center"/>
              <w:ind w:left="1862"/>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26 Landsdowne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Cambridge, Massachusetts 02139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(617) 651-8851</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Bryan E. Stuart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26 Landsdowne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Cambridge, Massachusetts 02139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(617) 651-8851</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tbl>
      <w:tblPr>
        <w:tblLayout w:type="fixed"/>
        <w:tblInd w:w="1660" w:type="dxa"/>
        <w:tblCellMar>
          <w:top w:w="0" w:type="dxa"/>
          <w:left w:w="0" w:type="dxa"/>
          <w:bottom w:w="0" w:type="dxa"/>
          <w:right w:w="0" w:type="dxa"/>
        </w:tblCellMar>
      </w:tblPr>
      <w:tr>
        <w:trPr>
          <w:trHeight w:val="230"/>
        </w:trPr>
        <w:tc>
          <w:tcPr>
            <w:tcW w:w="2860" w:type="dxa"/>
            <w:vAlign w:val="bottom"/>
          </w:tcPr>
          <w:p>
            <w:pPr>
              <w:spacing w:after="0"/>
              <w:rPr>
                <w:sz w:val="20"/>
                <w:szCs w:val="20"/>
                <w:color w:val="auto"/>
              </w:rPr>
            </w:pPr>
          </w:p>
        </w:tc>
        <w:tc>
          <w:tcPr>
            <w:tcW w:w="5100" w:type="dxa"/>
            <w:vAlign w:val="bottom"/>
          </w:tcPr>
          <w:p>
            <w:pPr>
              <w:ind w:left="620"/>
              <w:spacing w:after="0"/>
              <w:rPr>
                <w:sz w:val="20"/>
                <w:szCs w:val="20"/>
                <w:color w:val="auto"/>
              </w:rPr>
            </w:pPr>
            <w:r>
              <w:rPr>
                <w:rFonts w:ascii="Arial" w:cs="Arial" w:eastAsia="Arial" w:hAnsi="Arial"/>
                <w:sz w:val="18"/>
                <w:szCs w:val="18"/>
                <w:b w:val="1"/>
                <w:bCs w:val="1"/>
                <w:i w:val="1"/>
                <w:iCs w:val="1"/>
                <w:color w:val="auto"/>
              </w:rPr>
              <w:t>Copies to:</w:t>
            </w:r>
          </w:p>
        </w:tc>
      </w:tr>
      <w:tr>
        <w:trPr>
          <w:trHeight w:val="441"/>
        </w:trPr>
        <w:tc>
          <w:tcPr>
            <w:tcW w:w="2860" w:type="dxa"/>
            <w:vAlign w:val="bottom"/>
          </w:tcPr>
          <w:p>
            <w:pPr>
              <w:jc w:val="center"/>
              <w:ind w:right="530"/>
              <w:spacing w:after="0"/>
              <w:rPr>
                <w:sz w:val="20"/>
                <w:szCs w:val="20"/>
                <w:color w:val="auto"/>
              </w:rPr>
            </w:pPr>
            <w:r>
              <w:rPr>
                <w:rFonts w:ascii="Arial" w:cs="Arial" w:eastAsia="Arial" w:hAnsi="Arial"/>
                <w:sz w:val="18"/>
                <w:szCs w:val="18"/>
                <w:b w:val="1"/>
                <w:bCs w:val="1"/>
                <w:color w:val="auto"/>
                <w:w w:val="90"/>
              </w:rPr>
              <w:t>Mitchell Bloom, Esq.</w:t>
            </w:r>
          </w:p>
        </w:tc>
        <w:tc>
          <w:tcPr>
            <w:tcW w:w="5100" w:type="dxa"/>
            <w:vAlign w:val="bottom"/>
          </w:tcPr>
          <w:p>
            <w:pPr>
              <w:jc w:val="center"/>
              <w:ind w:left="2430"/>
              <w:spacing w:after="0"/>
              <w:rPr>
                <w:sz w:val="20"/>
                <w:szCs w:val="20"/>
                <w:color w:val="auto"/>
              </w:rPr>
            </w:pPr>
            <w:r>
              <w:rPr>
                <w:rFonts w:ascii="Arial" w:cs="Arial" w:eastAsia="Arial" w:hAnsi="Arial"/>
                <w:sz w:val="18"/>
                <w:szCs w:val="18"/>
                <w:b w:val="1"/>
                <w:bCs w:val="1"/>
                <w:color w:val="auto"/>
                <w:w w:val="91"/>
              </w:rPr>
              <w:t>Curtis Oltmans, Esq.</w:t>
            </w:r>
          </w:p>
        </w:tc>
      </w:tr>
      <w:tr>
        <w:trPr>
          <w:trHeight w:val="216"/>
        </w:trPr>
        <w:tc>
          <w:tcPr>
            <w:tcW w:w="2860" w:type="dxa"/>
            <w:vAlign w:val="bottom"/>
          </w:tcPr>
          <w:p>
            <w:pPr>
              <w:jc w:val="center"/>
              <w:ind w:right="550"/>
              <w:spacing w:after="0"/>
              <w:rPr>
                <w:sz w:val="20"/>
                <w:szCs w:val="20"/>
                <w:color w:val="auto"/>
              </w:rPr>
            </w:pPr>
            <w:r>
              <w:rPr>
                <w:rFonts w:ascii="Arial" w:cs="Arial" w:eastAsia="Arial" w:hAnsi="Arial"/>
                <w:sz w:val="18"/>
                <w:szCs w:val="18"/>
                <w:b w:val="1"/>
                <w:bCs w:val="1"/>
                <w:color w:val="auto"/>
                <w:w w:val="93"/>
              </w:rPr>
              <w:t>Marianne Sarrazin, Esq.</w:t>
            </w:r>
          </w:p>
        </w:tc>
        <w:tc>
          <w:tcPr>
            <w:tcW w:w="5100" w:type="dxa"/>
            <w:vAlign w:val="bottom"/>
          </w:tcPr>
          <w:p>
            <w:pPr>
              <w:jc w:val="center"/>
              <w:ind w:left="2450"/>
              <w:spacing w:after="0"/>
              <w:rPr>
                <w:sz w:val="20"/>
                <w:szCs w:val="20"/>
                <w:color w:val="auto"/>
              </w:rPr>
            </w:pPr>
            <w:r>
              <w:rPr>
                <w:rFonts w:ascii="Arial" w:cs="Arial" w:eastAsia="Arial" w:hAnsi="Arial"/>
                <w:sz w:val="18"/>
                <w:szCs w:val="18"/>
                <w:b w:val="1"/>
                <w:bCs w:val="1"/>
                <w:color w:val="auto"/>
                <w:w w:val="89"/>
              </w:rPr>
              <w:t>General Counsel</w:t>
            </w:r>
          </w:p>
        </w:tc>
      </w:tr>
      <w:tr>
        <w:trPr>
          <w:trHeight w:val="216"/>
        </w:trPr>
        <w:tc>
          <w:tcPr>
            <w:tcW w:w="2860" w:type="dxa"/>
            <w:vAlign w:val="bottom"/>
          </w:tcPr>
          <w:p>
            <w:pPr>
              <w:jc w:val="center"/>
              <w:ind w:right="530"/>
              <w:spacing w:after="0"/>
              <w:rPr>
                <w:sz w:val="20"/>
                <w:szCs w:val="20"/>
                <w:color w:val="auto"/>
              </w:rPr>
            </w:pPr>
            <w:r>
              <w:rPr>
                <w:rFonts w:ascii="Arial" w:cs="Arial" w:eastAsia="Arial" w:hAnsi="Arial"/>
                <w:sz w:val="18"/>
                <w:szCs w:val="18"/>
                <w:b w:val="1"/>
                <w:bCs w:val="1"/>
                <w:color w:val="auto"/>
                <w:w w:val="93"/>
              </w:rPr>
              <w:t>Goodwin Procter LLP</w:t>
            </w:r>
          </w:p>
        </w:tc>
        <w:tc>
          <w:tcPr>
            <w:tcW w:w="5100" w:type="dxa"/>
            <w:vAlign w:val="bottom"/>
          </w:tcPr>
          <w:p>
            <w:pPr>
              <w:jc w:val="center"/>
              <w:ind w:left="2450"/>
              <w:spacing w:after="0"/>
              <w:rPr>
                <w:sz w:val="20"/>
                <w:szCs w:val="20"/>
                <w:color w:val="auto"/>
              </w:rPr>
            </w:pPr>
            <w:r>
              <w:rPr>
                <w:rFonts w:ascii="Arial" w:cs="Arial" w:eastAsia="Arial" w:hAnsi="Arial"/>
                <w:sz w:val="18"/>
                <w:szCs w:val="18"/>
                <w:b w:val="1"/>
                <w:bCs w:val="1"/>
                <w:color w:val="auto"/>
                <w:w w:val="92"/>
              </w:rPr>
              <w:t>Fulcrum Therapeutics, Inc.</w:t>
            </w:r>
          </w:p>
        </w:tc>
      </w:tr>
      <w:tr>
        <w:trPr>
          <w:trHeight w:val="216"/>
        </w:trPr>
        <w:tc>
          <w:tcPr>
            <w:tcW w:w="2860" w:type="dxa"/>
            <w:vAlign w:val="bottom"/>
          </w:tcPr>
          <w:p>
            <w:pPr>
              <w:jc w:val="center"/>
              <w:ind w:right="530"/>
              <w:spacing w:after="0"/>
              <w:rPr>
                <w:sz w:val="20"/>
                <w:szCs w:val="20"/>
                <w:color w:val="auto"/>
              </w:rPr>
            </w:pPr>
            <w:r>
              <w:rPr>
                <w:rFonts w:ascii="Arial" w:cs="Arial" w:eastAsia="Arial" w:hAnsi="Arial"/>
                <w:sz w:val="18"/>
                <w:szCs w:val="18"/>
                <w:b w:val="1"/>
                <w:bCs w:val="1"/>
                <w:color w:val="auto"/>
                <w:w w:val="90"/>
              </w:rPr>
              <w:t>100 Northern Avenue</w:t>
            </w:r>
          </w:p>
        </w:tc>
        <w:tc>
          <w:tcPr>
            <w:tcW w:w="5100" w:type="dxa"/>
            <w:vAlign w:val="bottom"/>
          </w:tcPr>
          <w:p>
            <w:pPr>
              <w:jc w:val="center"/>
              <w:ind w:left="2450"/>
              <w:spacing w:after="0"/>
              <w:rPr>
                <w:sz w:val="20"/>
                <w:szCs w:val="20"/>
                <w:color w:val="auto"/>
              </w:rPr>
            </w:pPr>
            <w:r>
              <w:rPr>
                <w:rFonts w:ascii="Arial" w:cs="Arial" w:eastAsia="Arial" w:hAnsi="Arial"/>
                <w:sz w:val="18"/>
                <w:szCs w:val="18"/>
                <w:b w:val="1"/>
                <w:bCs w:val="1"/>
                <w:color w:val="auto"/>
                <w:w w:val="90"/>
              </w:rPr>
              <w:t>26 Landsdowne Street</w:t>
            </w:r>
          </w:p>
        </w:tc>
      </w:tr>
      <w:tr>
        <w:trPr>
          <w:trHeight w:val="216"/>
        </w:trPr>
        <w:tc>
          <w:tcPr>
            <w:tcW w:w="2860" w:type="dxa"/>
            <w:vAlign w:val="bottom"/>
          </w:tcPr>
          <w:p>
            <w:pPr>
              <w:jc w:val="center"/>
              <w:ind w:right="550"/>
              <w:spacing w:after="0"/>
              <w:rPr>
                <w:sz w:val="20"/>
                <w:szCs w:val="20"/>
                <w:color w:val="auto"/>
              </w:rPr>
            </w:pPr>
            <w:r>
              <w:rPr>
                <w:rFonts w:ascii="Arial" w:cs="Arial" w:eastAsia="Arial" w:hAnsi="Arial"/>
                <w:sz w:val="18"/>
                <w:szCs w:val="18"/>
                <w:b w:val="1"/>
                <w:bCs w:val="1"/>
                <w:color w:val="auto"/>
                <w:w w:val="86"/>
              </w:rPr>
              <w:t>Boston, Massachusetts 02210</w:t>
            </w:r>
          </w:p>
        </w:tc>
        <w:tc>
          <w:tcPr>
            <w:tcW w:w="5100" w:type="dxa"/>
            <w:vAlign w:val="bottom"/>
          </w:tcPr>
          <w:p>
            <w:pPr>
              <w:jc w:val="center"/>
              <w:ind w:left="2450"/>
              <w:spacing w:after="0"/>
              <w:rPr>
                <w:sz w:val="20"/>
                <w:szCs w:val="20"/>
                <w:color w:val="auto"/>
              </w:rPr>
            </w:pPr>
            <w:r>
              <w:rPr>
                <w:rFonts w:ascii="Arial" w:cs="Arial" w:eastAsia="Arial" w:hAnsi="Arial"/>
                <w:sz w:val="18"/>
                <w:szCs w:val="18"/>
                <w:b w:val="1"/>
                <w:bCs w:val="1"/>
                <w:color w:val="auto"/>
                <w:w w:val="88"/>
              </w:rPr>
              <w:t>Cambridge, Massachusetts 02139</w:t>
            </w:r>
          </w:p>
        </w:tc>
      </w:tr>
      <w:tr>
        <w:trPr>
          <w:trHeight w:val="234"/>
        </w:trPr>
        <w:tc>
          <w:tcPr>
            <w:tcW w:w="2860" w:type="dxa"/>
            <w:vAlign w:val="bottom"/>
          </w:tcPr>
          <w:p>
            <w:pPr>
              <w:jc w:val="center"/>
              <w:ind w:right="530"/>
              <w:spacing w:after="0"/>
              <w:rPr>
                <w:sz w:val="20"/>
                <w:szCs w:val="20"/>
                <w:color w:val="auto"/>
              </w:rPr>
            </w:pPr>
            <w:r>
              <w:rPr>
                <w:rFonts w:ascii="Arial" w:cs="Arial" w:eastAsia="Arial" w:hAnsi="Arial"/>
                <w:sz w:val="18"/>
                <w:szCs w:val="18"/>
                <w:b w:val="1"/>
                <w:bCs w:val="1"/>
                <w:color w:val="auto"/>
                <w:w w:val="90"/>
              </w:rPr>
              <w:t>(617) 570-1000</w:t>
            </w:r>
          </w:p>
        </w:tc>
        <w:tc>
          <w:tcPr>
            <w:tcW w:w="5100" w:type="dxa"/>
            <w:vAlign w:val="bottom"/>
          </w:tcPr>
          <w:p>
            <w:pPr>
              <w:jc w:val="center"/>
              <w:ind w:left="2450"/>
              <w:spacing w:after="0"/>
              <w:rPr>
                <w:sz w:val="20"/>
                <w:szCs w:val="20"/>
                <w:color w:val="auto"/>
              </w:rPr>
            </w:pPr>
            <w:r>
              <w:rPr>
                <w:rFonts w:ascii="Arial" w:cs="Arial" w:eastAsia="Arial" w:hAnsi="Arial"/>
                <w:sz w:val="18"/>
                <w:szCs w:val="18"/>
                <w:b w:val="1"/>
                <w:bCs w:val="1"/>
                <w:color w:val="auto"/>
                <w:w w:val="90"/>
              </w:rPr>
              <w:t>(617) 651-8851</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231775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 xml:space="preserve">Approximate date of commencement of proposed sale to the public: </w:t>
      </w:r>
      <w:r>
        <w:rPr>
          <w:rFonts w:ascii="Arial" w:cs="Arial" w:eastAsia="Arial" w:hAnsi="Arial"/>
          <w:sz w:val="17"/>
          <w:szCs w:val="17"/>
          <w:color w:val="auto"/>
        </w:rPr>
        <w:t>From time to time after this registration statement becomes effective.</w:t>
      </w:r>
    </w:p>
    <w:p>
      <w:pPr>
        <w:spacing w:after="0" w:line="241" w:lineRule="exact"/>
        <w:rPr>
          <w:sz w:val="24"/>
          <w:szCs w:val="24"/>
          <w:color w:val="auto"/>
        </w:rPr>
      </w:pPr>
    </w:p>
    <w:p>
      <w:pPr>
        <w:ind w:right="400"/>
        <w:spacing w:after="0" w:line="233"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120"/>
        <w:spacing w:after="0" w:line="233"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182" w:lineRule="exact"/>
        <w:rPr>
          <w:sz w:val="24"/>
          <w:szCs w:val="24"/>
          <w:color w:val="auto"/>
        </w:rPr>
      </w:pPr>
    </w:p>
    <w:p>
      <w:pPr>
        <w:ind w:right="100"/>
        <w:spacing w:after="0" w:line="234"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r>
        <w:rPr>
          <w:rFonts w:ascii="Arial" w:cs="Arial" w:eastAsia="Arial" w:hAnsi="Arial"/>
          <w:sz w:val="16"/>
          <w:szCs w:val="16"/>
          <w:color w:val="auto"/>
        </w:rPr>
        <w:t xml:space="preserve"> ________________</w:t>
      </w:r>
    </w:p>
    <w:p>
      <w:pPr>
        <w:spacing w:after="0" w:line="182" w:lineRule="exact"/>
        <w:rPr>
          <w:sz w:val="24"/>
          <w:szCs w:val="24"/>
          <w:color w:val="auto"/>
        </w:rPr>
      </w:pPr>
    </w:p>
    <w:p>
      <w:pPr>
        <w:ind w:right="32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right="60"/>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ectPr>
          <w:pgSz w:w="11900" w:h="16838" w:orient="portrait"/>
          <w:cols w:equalWidth="0" w:num="1">
            <w:col w:w="11020"/>
          </w:cols>
          <w:pgMar w:left="440" w:top="229" w:right="439" w:bottom="0" w:gutter="0" w:footer="0" w:header="0"/>
        </w:sectPr>
      </w:pPr>
    </w:p>
    <w:bookmarkStart w:id="1" w:name="page2"/>
    <w:bookmarkEnd w:id="1"/>
    <w:p>
      <w:pPr>
        <w:ind w:right="200"/>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8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right="2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78" w:lineRule="exact"/>
        <w:rPr>
          <w:sz w:val="20"/>
          <w:szCs w:val="20"/>
          <w:color w:val="auto"/>
        </w:rPr>
      </w:pPr>
    </w:p>
    <w:p>
      <w:pPr>
        <w:jc w:val="center"/>
        <w:ind w:left="460"/>
        <w:spacing w:after="0" w:line="282" w:lineRule="auto"/>
        <w:rPr>
          <w:sz w:val="20"/>
          <w:szCs w:val="20"/>
          <w:color w:val="auto"/>
        </w:rPr>
      </w:pPr>
      <w:r>
        <w:rPr>
          <w:rFonts w:ascii="Arial" w:cs="Arial" w:eastAsia="Arial" w:hAnsi="Arial"/>
          <w:sz w:val="18"/>
          <w:szCs w:val="18"/>
          <w:b w:val="1"/>
          <w:bCs w:val="1"/>
          <w:color w:val="auto"/>
        </w:rPr>
        <w:t>This post-effective amendment shall become effective upon filing in accordance with Rule 462(d) promulgated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165735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80"/>
          </w:cols>
          <w:pgMar w:left="440" w:top="125" w:right="4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Post-Effective Amendment No. 3 to Registration Statement on Form S-3 (File No. 333-260754) is filed pursuant to Rule 462(d) solely to update the hyperlinking for Exhibits 5.1, 23.2 and 107 (the “Exhibits”) with respect to such Registration Statement.</w:t>
      </w:r>
    </w:p>
    <w:p>
      <w:pPr>
        <w:sectPr>
          <w:pgSz w:w="11900" w:h="16838" w:orient="portrait"/>
          <w:cols w:equalWidth="0" w:num="1">
            <w:col w:w="11020"/>
          </w:cols>
          <w:pgMar w:left="440" w:top="270" w:right="439" w:bottom="1440" w:gutter="0" w:footer="0" w:header="0"/>
        </w:sectPr>
      </w:pPr>
    </w:p>
    <w:bookmarkStart w:id="3" w:name="page4"/>
    <w:bookmarkEnd w:id="3"/>
    <w:p>
      <w:pPr>
        <w:jc w:val="center"/>
        <w:ind w:right="-100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II</w:t>
      </w:r>
    </w:p>
    <w:p>
      <w:pPr>
        <w:spacing w:after="0" w:line="225" w:lineRule="exact"/>
        <w:rPr>
          <w:sz w:val="20"/>
          <w:szCs w:val="20"/>
          <w:color w:val="auto"/>
        </w:rPr>
      </w:pPr>
    </w:p>
    <w:p>
      <w:pPr>
        <w:jc w:val="right"/>
        <w:ind w:right="237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Item 16. Exhibits and financial statements.</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 Exhibits.</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Description of document</w:t>
      </w:r>
    </w:p>
    <w:p>
      <w:pPr>
        <w:spacing w:after="0" w:line="121" w:lineRule="exact"/>
        <w:rPr>
          <w:sz w:val="20"/>
          <w:szCs w:val="20"/>
          <w:color w:val="auto"/>
        </w:rPr>
      </w:pPr>
    </w:p>
    <w:p>
      <w:pPr>
        <w:ind w:left="4"/>
        <w:spacing w:after="0"/>
        <w:tabs>
          <w:tab w:leader="none" w:pos="644" w:val="left"/>
        </w:tabs>
        <w:rPr>
          <w:rFonts w:ascii="Arial" w:cs="Arial" w:eastAsia="Arial" w:hAnsi="Arial"/>
          <w:sz w:val="16"/>
          <w:szCs w:val="16"/>
          <w:u w:val="single" w:color="auto"/>
          <w:color w:val="0000EE"/>
        </w:rPr>
      </w:pPr>
      <w:r>
        <w:rPr>
          <w:rFonts w:ascii="Arial" w:cs="Arial" w:eastAsia="Arial" w:hAnsi="Arial"/>
          <w:sz w:val="18"/>
          <w:szCs w:val="18"/>
          <w:color w:val="auto"/>
        </w:rPr>
        <w:t>5.1</w:t>
      </w:r>
      <w:r>
        <w:rPr>
          <w:sz w:val="20"/>
          <w:szCs w:val="20"/>
          <w:color w:val="auto"/>
        </w:rPr>
        <w:tab/>
      </w:r>
      <w:hyperlink r:id="rId20">
        <w:r>
          <w:rPr>
            <w:rFonts w:ascii="Arial" w:cs="Arial" w:eastAsia="Arial" w:hAnsi="Arial"/>
            <w:sz w:val="16"/>
            <w:szCs w:val="16"/>
            <w:u w:val="single" w:color="auto"/>
            <w:color w:val="0000EE"/>
          </w:rPr>
          <w:t>Opinion of Goodwin Procter LLP</w:t>
        </w:r>
      </w:hyperlink>
    </w:p>
    <w:p>
      <w:pPr>
        <w:spacing w:after="0" w:line="117" w:lineRule="exact"/>
        <w:rPr>
          <w:sz w:val="20"/>
          <w:szCs w:val="20"/>
          <w:color w:val="auto"/>
        </w:rPr>
      </w:pPr>
    </w:p>
    <w:p>
      <w:pPr>
        <w:ind w:left="4"/>
        <w:spacing w:after="0"/>
        <w:tabs>
          <w:tab w:leader="none" w:pos="644" w:val="left"/>
        </w:tabs>
        <w:rPr>
          <w:rFonts w:ascii="Arial" w:cs="Arial" w:eastAsia="Arial" w:hAnsi="Arial"/>
          <w:sz w:val="16"/>
          <w:szCs w:val="16"/>
          <w:u w:val="single" w:color="auto"/>
          <w:color w:val="0000EE"/>
        </w:rPr>
      </w:pPr>
      <w:r>
        <w:rPr>
          <w:rFonts w:ascii="Arial" w:cs="Arial" w:eastAsia="Arial" w:hAnsi="Arial"/>
          <w:sz w:val="18"/>
          <w:szCs w:val="18"/>
          <w:color w:val="auto"/>
        </w:rPr>
        <w:t>23.2</w:t>
      </w:r>
      <w:r>
        <w:rPr>
          <w:sz w:val="20"/>
          <w:szCs w:val="20"/>
          <w:color w:val="auto"/>
        </w:rPr>
        <w:tab/>
      </w:r>
      <w:hyperlink r:id="rId20">
        <w:r>
          <w:rPr>
            <w:rFonts w:ascii="Arial" w:cs="Arial" w:eastAsia="Arial" w:hAnsi="Arial"/>
            <w:sz w:val="16"/>
            <w:szCs w:val="16"/>
            <w:u w:val="single" w:color="auto"/>
            <w:color w:val="0000EE"/>
          </w:rPr>
          <w:t>Consent of Goodwin Procter LLP (included in Exhibit 5.1)</w:t>
        </w:r>
      </w:hyperlink>
    </w:p>
    <w:p>
      <w:pPr>
        <w:spacing w:after="0" w:line="117" w:lineRule="exact"/>
        <w:rPr>
          <w:sz w:val="20"/>
          <w:szCs w:val="20"/>
          <w:color w:val="auto"/>
        </w:rPr>
      </w:pPr>
    </w:p>
    <w:p>
      <w:pPr>
        <w:ind w:left="4"/>
        <w:spacing w:after="0"/>
        <w:tabs>
          <w:tab w:leader="none" w:pos="644" w:val="left"/>
        </w:tabs>
        <w:rPr>
          <w:rFonts w:ascii="Arial" w:cs="Arial" w:eastAsia="Arial" w:hAnsi="Arial"/>
          <w:sz w:val="16"/>
          <w:szCs w:val="16"/>
          <w:u w:val="single" w:color="auto"/>
          <w:color w:val="0000EE"/>
        </w:rPr>
      </w:pPr>
      <w:r>
        <w:rPr>
          <w:rFonts w:ascii="Arial" w:cs="Arial" w:eastAsia="Arial" w:hAnsi="Arial"/>
          <w:sz w:val="18"/>
          <w:szCs w:val="18"/>
          <w:color w:val="auto"/>
        </w:rPr>
        <w:t>24.1</w:t>
      </w:r>
      <w:r>
        <w:rPr>
          <w:sz w:val="20"/>
          <w:szCs w:val="20"/>
          <w:color w:val="auto"/>
        </w:rPr>
        <w:tab/>
      </w:r>
      <w:hyperlink r:id="rId21">
        <w:r>
          <w:rPr>
            <w:rFonts w:ascii="Arial" w:cs="Arial" w:eastAsia="Arial" w:hAnsi="Arial"/>
            <w:sz w:val="16"/>
            <w:szCs w:val="16"/>
            <w:u w:val="single" w:color="auto"/>
            <w:color w:val="0000EE"/>
          </w:rPr>
          <w:t>Power of Attorney (included on the signature page to the Registration Statement)</w:t>
        </w:r>
      </w:hyperlink>
    </w:p>
    <w:p>
      <w:pPr>
        <w:spacing w:after="0" w:line="117" w:lineRule="exact"/>
        <w:rPr>
          <w:sz w:val="20"/>
          <w:szCs w:val="20"/>
          <w:color w:val="auto"/>
        </w:rPr>
      </w:pPr>
    </w:p>
    <w:p>
      <w:pPr>
        <w:ind w:left="664" w:hanging="664"/>
        <w:spacing w:after="0"/>
        <w:tabs>
          <w:tab w:leader="none" w:pos="664" w:val="left"/>
        </w:tabs>
        <w:numPr>
          <w:ilvl w:val="0"/>
          <w:numId w:val="1"/>
        </w:numPr>
        <w:rPr>
          <w:rFonts w:ascii="Arial" w:cs="Arial" w:eastAsia="Arial" w:hAnsi="Arial"/>
          <w:sz w:val="18"/>
          <w:szCs w:val="18"/>
          <w:u w:val="single" w:color="auto"/>
          <w:color w:val="0000EE"/>
        </w:rPr>
      </w:pPr>
      <w:hyperlink r:id="rId22">
        <w:r>
          <w:rPr>
            <w:rFonts w:ascii="Arial" w:cs="Arial" w:eastAsia="Arial" w:hAnsi="Arial"/>
            <w:sz w:val="18"/>
            <w:szCs w:val="18"/>
            <w:u w:val="single" w:color="auto"/>
            <w:color w:val="0000EE"/>
          </w:rPr>
          <w:t>Filing Fee Table</w:t>
        </w:r>
      </w:hyperlink>
    </w:p>
    <w:p>
      <w:pPr>
        <w:spacing w:after="0" w:line="158" w:lineRule="exact"/>
        <w:rPr>
          <w:sz w:val="20"/>
          <w:szCs w:val="20"/>
          <w:color w:val="auto"/>
        </w:rPr>
      </w:pPr>
    </w:p>
    <w:p>
      <w:pPr>
        <w:ind w:left="5364"/>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0023"/>
          </w:cols>
          <w:pgMar w:left="436" w:top="270"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Pursuant to the requirements of the Securities Act of 1933, as amended, the Registrant certifies that it has reasonable grounds to believe that it meets all of the requirements for filing on Form S-3 and has duly caused this Post-Effective Amendment No. 3 to Form S-3 ASR to be signed on its behalf by the undersigned, thereunto duly authorized, in the City of Cambridge, Commonwealth of Massachusetts, on May 9, 2022.</w:t>
      </w:r>
    </w:p>
    <w:p>
      <w:pPr>
        <w:spacing w:after="0" w:line="18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FULCRUM THERAPEUTICS,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Bryan E. Stuart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Bryan E. Stuart</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President and Chief Executive Officer</w:t>
      </w:r>
    </w:p>
    <w:p>
      <w:pPr>
        <w:spacing w:after="0" w:line="21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80" w:type="dxa"/>
            <w:vAlign w:val="bottom"/>
            <w:tcBorders>
              <w:bottom w:val="single" w:sz="8" w:color="auto"/>
            </w:tcBorders>
          </w:tcPr>
          <w:p>
            <w:pPr>
              <w:ind w:left="180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20" w:type="dxa"/>
            <w:vAlign w:val="bottom"/>
          </w:tcPr>
          <w:p>
            <w:pPr>
              <w:spacing w:after="0"/>
              <w:rPr>
                <w:sz w:val="16"/>
                <w:szCs w:val="16"/>
                <w:color w:val="auto"/>
              </w:rPr>
            </w:pPr>
          </w:p>
        </w:tc>
        <w:tc>
          <w:tcPr>
            <w:tcW w:w="176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Date</w:t>
            </w:r>
          </w:p>
        </w:tc>
      </w:tr>
      <w:tr>
        <w:trPr>
          <w:trHeight w:val="412"/>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Bryan E. Stuart</w:t>
            </w:r>
          </w:p>
        </w:tc>
        <w:tc>
          <w:tcPr>
            <w:tcW w:w="120" w:type="dxa"/>
            <w:vAlign w:val="bottom"/>
          </w:tcPr>
          <w:p>
            <w:pPr>
              <w:spacing w:after="0"/>
              <w:rPr>
                <w:sz w:val="24"/>
                <w:szCs w:val="24"/>
                <w:color w:val="auto"/>
              </w:rPr>
            </w:pPr>
          </w:p>
        </w:tc>
        <w:tc>
          <w:tcPr>
            <w:tcW w:w="49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President and Chief Executive Officer, Director</w:t>
            </w:r>
          </w:p>
        </w:tc>
        <w:tc>
          <w:tcPr>
            <w:tcW w:w="1760" w:type="dxa"/>
            <w:vAlign w:val="bottom"/>
          </w:tcPr>
          <w:p>
            <w:pPr>
              <w:spacing w:after="0"/>
              <w:rPr>
                <w:sz w:val="20"/>
                <w:szCs w:val="20"/>
                <w:color w:val="auto"/>
              </w:rPr>
            </w:pPr>
            <w:r>
              <w:rPr>
                <w:rFonts w:ascii="Arial" w:cs="Arial" w:eastAsia="Arial" w:hAnsi="Arial"/>
                <w:sz w:val="18"/>
                <w:szCs w:val="18"/>
                <w:color w:val="auto"/>
              </w:rPr>
              <w:t>May 9,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Bryan E. Stuart</w:t>
            </w:r>
          </w:p>
        </w:tc>
        <w:tc>
          <w:tcPr>
            <w:tcW w:w="120" w:type="dxa"/>
            <w:vAlign w:val="bottom"/>
          </w:tcPr>
          <w:p>
            <w:pPr>
              <w:spacing w:after="0"/>
              <w:rPr>
                <w:sz w:val="19"/>
                <w:szCs w:val="19"/>
                <w:color w:val="auto"/>
              </w:rPr>
            </w:pPr>
          </w:p>
        </w:tc>
        <w:tc>
          <w:tcPr>
            <w:tcW w:w="49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(Principal Executive Officer)</w:t>
            </w: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Esther Rajavelu</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Chief Financial Officer</w:t>
            </w:r>
          </w:p>
        </w:tc>
        <w:tc>
          <w:tcPr>
            <w:tcW w:w="1760" w:type="dxa"/>
            <w:vAlign w:val="bottom"/>
          </w:tcPr>
          <w:p>
            <w:pPr>
              <w:spacing w:after="0"/>
              <w:rPr>
                <w:sz w:val="20"/>
                <w:szCs w:val="20"/>
                <w:color w:val="auto"/>
              </w:rPr>
            </w:pPr>
            <w:r>
              <w:rPr>
                <w:rFonts w:ascii="Arial" w:cs="Arial" w:eastAsia="Arial" w:hAnsi="Arial"/>
                <w:sz w:val="18"/>
                <w:szCs w:val="18"/>
                <w:color w:val="auto"/>
              </w:rPr>
              <w:t>May 9,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Esther Rajavelu</w:t>
            </w:r>
          </w:p>
        </w:tc>
        <w:tc>
          <w:tcPr>
            <w:tcW w:w="120" w:type="dxa"/>
            <w:vAlign w:val="bottom"/>
          </w:tcPr>
          <w:p>
            <w:pPr>
              <w:spacing w:after="0"/>
              <w:rPr>
                <w:sz w:val="19"/>
                <w:szCs w:val="19"/>
                <w:color w:val="auto"/>
              </w:rPr>
            </w:pPr>
          </w:p>
        </w:tc>
        <w:tc>
          <w:tcPr>
            <w:tcW w:w="49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(Principal Financial Officer)</w:t>
            </w: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Tourangeau</w:t>
            </w:r>
          </w:p>
        </w:tc>
        <w:tc>
          <w:tcPr>
            <w:tcW w:w="120" w:type="dxa"/>
            <w:vAlign w:val="bottom"/>
          </w:tcPr>
          <w:p>
            <w:pPr>
              <w:spacing w:after="0"/>
              <w:rPr>
                <w:sz w:val="24"/>
                <w:szCs w:val="24"/>
                <w:color w:val="auto"/>
              </w:rPr>
            </w:pPr>
          </w:p>
        </w:tc>
        <w:tc>
          <w:tcPr>
            <w:tcW w:w="49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Controller and Principal Accounting Officer</w:t>
            </w:r>
          </w:p>
        </w:tc>
        <w:tc>
          <w:tcPr>
            <w:tcW w:w="1760" w:type="dxa"/>
            <w:vAlign w:val="bottom"/>
          </w:tcPr>
          <w:p>
            <w:pPr>
              <w:spacing w:after="0"/>
              <w:rPr>
                <w:sz w:val="20"/>
                <w:szCs w:val="20"/>
                <w:color w:val="auto"/>
              </w:rPr>
            </w:pPr>
            <w:r>
              <w:rPr>
                <w:rFonts w:ascii="Arial" w:cs="Arial" w:eastAsia="Arial" w:hAnsi="Arial"/>
                <w:sz w:val="18"/>
                <w:szCs w:val="18"/>
                <w:color w:val="auto"/>
              </w:rPr>
              <w:t>May 9,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Gregory Tourangeau</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ind w:left="20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9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Chairman of the Board</w:t>
            </w:r>
          </w:p>
        </w:tc>
        <w:tc>
          <w:tcPr>
            <w:tcW w:w="1760" w:type="dxa"/>
            <w:vAlign w:val="bottom"/>
          </w:tcPr>
          <w:p>
            <w:pPr>
              <w:spacing w:after="0"/>
              <w:rPr>
                <w:sz w:val="20"/>
                <w:szCs w:val="20"/>
                <w:color w:val="auto"/>
              </w:rPr>
            </w:pPr>
            <w:r>
              <w:rPr>
                <w:rFonts w:ascii="Arial" w:cs="Arial" w:eastAsia="Arial" w:hAnsi="Arial"/>
                <w:sz w:val="18"/>
                <w:szCs w:val="18"/>
                <w:color w:val="auto"/>
              </w:rPr>
              <w:t>May 9,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Kate Haviland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ind w:left="20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spacing w:after="0"/>
              <w:rPr>
                <w:sz w:val="20"/>
                <w:szCs w:val="20"/>
                <w:color w:val="auto"/>
              </w:rPr>
            </w:pPr>
            <w:r>
              <w:rPr>
                <w:rFonts w:ascii="Arial" w:cs="Arial" w:eastAsia="Arial" w:hAnsi="Arial"/>
                <w:sz w:val="18"/>
                <w:szCs w:val="18"/>
                <w:color w:val="auto"/>
              </w:rPr>
              <w:t>May 9,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Sonja Banks</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ind w:left="20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spacing w:after="0"/>
              <w:rPr>
                <w:sz w:val="20"/>
                <w:szCs w:val="20"/>
                <w:color w:val="auto"/>
              </w:rPr>
            </w:pPr>
            <w:r>
              <w:rPr>
                <w:rFonts w:ascii="Arial" w:cs="Arial" w:eastAsia="Arial" w:hAnsi="Arial"/>
                <w:sz w:val="18"/>
                <w:szCs w:val="18"/>
                <w:color w:val="auto"/>
              </w:rPr>
              <w:t>May 9,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James J. Collins</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ind w:left="20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spacing w:after="0"/>
              <w:rPr>
                <w:sz w:val="20"/>
                <w:szCs w:val="20"/>
                <w:color w:val="auto"/>
              </w:rPr>
            </w:pPr>
            <w:r>
              <w:rPr>
                <w:rFonts w:ascii="Arial" w:cs="Arial" w:eastAsia="Arial" w:hAnsi="Arial"/>
                <w:sz w:val="18"/>
                <w:szCs w:val="18"/>
                <w:color w:val="auto"/>
              </w:rPr>
              <w:t>May 9,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Katina Dorton</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ind w:left="20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spacing w:after="0"/>
              <w:rPr>
                <w:sz w:val="20"/>
                <w:szCs w:val="20"/>
                <w:color w:val="auto"/>
              </w:rPr>
            </w:pPr>
            <w:r>
              <w:rPr>
                <w:rFonts w:ascii="Arial" w:cs="Arial" w:eastAsia="Arial" w:hAnsi="Arial"/>
                <w:sz w:val="18"/>
                <w:szCs w:val="18"/>
                <w:color w:val="auto"/>
              </w:rPr>
              <w:t>May 9,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Alan Ezekowitz</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ind w:left="20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spacing w:after="0"/>
              <w:rPr>
                <w:sz w:val="20"/>
                <w:szCs w:val="20"/>
                <w:color w:val="auto"/>
              </w:rPr>
            </w:pPr>
            <w:r>
              <w:rPr>
                <w:rFonts w:ascii="Arial" w:cs="Arial" w:eastAsia="Arial" w:hAnsi="Arial"/>
                <w:sz w:val="18"/>
                <w:szCs w:val="18"/>
                <w:color w:val="auto"/>
              </w:rPr>
              <w:t>May 9,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James Geraghty</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ind w:left="20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spacing w:after="0"/>
              <w:rPr>
                <w:sz w:val="20"/>
                <w:szCs w:val="20"/>
                <w:color w:val="auto"/>
              </w:rPr>
            </w:pPr>
            <w:r>
              <w:rPr>
                <w:rFonts w:ascii="Arial" w:cs="Arial" w:eastAsia="Arial" w:hAnsi="Arial"/>
                <w:sz w:val="18"/>
                <w:szCs w:val="18"/>
                <w:color w:val="auto"/>
              </w:rPr>
              <w:t>May 9,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Robert J. Gould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bl>
    <w:p>
      <w:pPr>
        <w:spacing w:after="0" w:line="228"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Bryan E. Stuart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14605</wp:posOffset>
            </wp:positionV>
            <wp:extent cx="24860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Attorney-in-Fact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07"/>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0" Type="http://schemas.openxmlformats.org/officeDocument/2006/relationships/hyperlink" Target="http://www.sec.gov/Archives/edgar/data/1680581/000119312522063344/d296560dex51.htm" TargetMode="External"/><Relationship Id="rId21" Type="http://schemas.openxmlformats.org/officeDocument/2006/relationships/hyperlink" Target="http://www.sec.gov/Archives/edgar/data/0001680581/000119312521319344/d245897ds3asr.htm#sig" TargetMode="External"/><Relationship Id="rId22" Type="http://schemas.openxmlformats.org/officeDocument/2006/relationships/hyperlink" Target="http://www.sec.gov/Archives/edgar/data/1680581/000119312522063344/d296560d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2022-05-09T16:55:20Z</dcterms:created>
  <dcterms:modified xsi:type="dcterms:W3CDTF">2022-05-09T16:55:20Z</dcterms:modified>
</cp:coreProperties>
</file>