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Stuart Bryan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9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03/31/2021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See Remarks</w:t>
      </w:r>
    </w:p>
    <w:p>
      <w:pPr>
        <w:spacing w:after="0" w:line="387"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20" w:type="dxa"/>
            <w:vAlign w:val="bottom"/>
          </w:tcPr>
          <w:p>
            <w:pPr>
              <w:ind w:left="12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02139</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2"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11.78</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03/31/2021</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rPr>
                <w:sz w:val="20"/>
                <w:szCs w:val="20"/>
                <w:color w:val="auto"/>
              </w:rPr>
            </w:pPr>
            <w:r>
              <w:rPr>
                <w:rFonts w:ascii="Arial" w:cs="Arial" w:eastAsia="Arial" w:hAnsi="Arial"/>
                <w:sz w:val="13"/>
                <w:szCs w:val="13"/>
                <w:color w:val="0000FF"/>
              </w:rPr>
              <w:t>350,000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03/30/2031</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350,000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60"/>
              <w:spacing w:after="0"/>
              <w:rPr>
                <w:sz w:val="20"/>
                <w:szCs w:val="20"/>
                <w:color w:val="auto"/>
              </w:rPr>
            </w:pPr>
            <w:r>
              <w:rPr>
                <w:rFonts w:ascii="Arial" w:cs="Arial" w:eastAsia="Arial" w:hAnsi="Arial"/>
                <w:sz w:val="13"/>
                <w:szCs w:val="13"/>
                <w:color w:val="0000FF"/>
              </w:rPr>
              <w:t>350,000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1"/>
          <w:szCs w:val="11"/>
          <w:color w:val="008000"/>
        </w:rPr>
        <w:t>1. This option was granted on March 31, 2021 and is scheduled to vest in equal quarterly installments over four years beginning on the vesting commencement date of March 31, 2021, subject to continued service.</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&amp; Chief Executive Officer Exhibit Index: 24.1 Power of Attorney</w:t>
      </w:r>
    </w:p>
    <w:p>
      <w:pPr>
        <w:spacing w:after="0" w:line="2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5"/>
              </w:rPr>
              <w:t>/s/ Peter Thomson, as attorney-</w:t>
            </w:r>
          </w:p>
        </w:tc>
        <w:tc>
          <w:tcPr>
            <w:tcW w:w="14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04/02/2021</w:t>
            </w:r>
          </w:p>
        </w:tc>
        <w:tc>
          <w:tcPr>
            <w:tcW w:w="0" w:type="dxa"/>
            <w:vAlign w:val="bottom"/>
          </w:tcPr>
          <w:p>
            <w:pPr>
              <w:spacing w:after="0"/>
              <w:rPr>
                <w:sz w:val="1"/>
                <w:szCs w:val="1"/>
                <w:color w:val="auto"/>
              </w:rPr>
            </w:pPr>
          </w:p>
        </w:tc>
      </w:tr>
      <w:tr>
        <w:trPr>
          <w:trHeight w:val="87"/>
        </w:trPr>
        <w:tc>
          <w:tcPr>
            <w:tcW w:w="1540" w:type="dxa"/>
            <w:vAlign w:val="bottom"/>
            <w:vMerge w:val="restart"/>
          </w:tcPr>
          <w:p>
            <w:pPr>
              <w:spacing w:after="0" w:line="184" w:lineRule="exact"/>
              <w:rPr>
                <w:sz w:val="20"/>
                <w:szCs w:val="20"/>
                <w:color w:val="auto"/>
              </w:rPr>
            </w:pPr>
            <w:r>
              <w:rPr>
                <w:rFonts w:ascii="Arial" w:cs="Arial" w:eastAsia="Arial" w:hAnsi="Arial"/>
                <w:sz w:val="17"/>
                <w:szCs w:val="17"/>
                <w:color w:val="0000FF"/>
                <w:w w:val="89"/>
              </w:rPr>
              <w:t>in-fact for Bryan Stuart</w:t>
            </w:r>
          </w:p>
        </w:tc>
        <w:tc>
          <w:tcPr>
            <w:tcW w:w="66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jc w:val="right"/>
        <w:ind w:right="2059"/>
        <w:spacing w:after="0"/>
        <w:rPr>
          <w:sz w:val="20"/>
          <w:szCs w:val="20"/>
          <w:color w:val="auto"/>
        </w:rPr>
      </w:pPr>
      <w:r>
        <w:rPr>
          <w:rFonts w:ascii="Courier New" w:cs="Courier New" w:eastAsia="Courier New" w:hAnsi="Courier New"/>
          <w:sz w:val="17"/>
          <w:szCs w:val="17"/>
          <w:color w:val="auto"/>
        </w:rPr>
        <w:t>Exhibit 24.1</w:t>
      </w:r>
    </w:p>
    <w:p>
      <w:pPr>
        <w:spacing w:after="0" w:line="189"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LIMITED POWER OF ATTORNEY</w:t>
      </w:r>
    </w:p>
    <w:p>
      <w:pPr>
        <w:ind w:left="2180"/>
        <w:spacing w:after="0" w:line="237" w:lineRule="auto"/>
        <w:rPr>
          <w:sz w:val="20"/>
          <w:szCs w:val="20"/>
          <w:color w:val="auto"/>
        </w:rPr>
      </w:pPr>
      <w:r>
        <w:rPr>
          <w:rFonts w:ascii="Courier New" w:cs="Courier New" w:eastAsia="Courier New" w:hAnsi="Courier New"/>
          <w:sz w:val="17"/>
          <w:szCs w:val="17"/>
          <w:color w:val="auto"/>
        </w:rPr>
        <w:t>FOR SECTION 16 REPORTING OBLIGATIONS</w:t>
      </w:r>
    </w:p>
    <w:p>
      <w:pPr>
        <w:spacing w:after="0" w:line="196" w:lineRule="exact"/>
        <w:rPr>
          <w:sz w:val="20"/>
          <w:szCs w:val="20"/>
          <w:color w:val="auto"/>
        </w:rPr>
      </w:pPr>
    </w:p>
    <w:p>
      <w:pPr>
        <w:ind w:right="2059" w:firstLine="992"/>
        <w:spacing w:after="0" w:line="236"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Robert Gould, Bryan Stuart, Curt Oltmans and Peter Thomson, signing singly and each acting individually, as the undersigned's true and lawful attorney-in-fact with full power and authority as hereinafter described to:</w:t>
      </w:r>
    </w:p>
    <w:p>
      <w:pPr>
        <w:spacing w:after="0" w:line="198" w:lineRule="exact"/>
        <w:rPr>
          <w:sz w:val="20"/>
          <w:szCs w:val="20"/>
          <w:color w:val="auto"/>
        </w:rPr>
      </w:pPr>
    </w:p>
    <w:p>
      <w:pPr>
        <w:ind w:right="2059" w:firstLine="994"/>
        <w:spacing w:after="0" w:line="236" w:lineRule="auto"/>
        <w:tabs>
          <w:tab w:leader="none" w:pos="138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of Fulcrum Therapeutics, Inc. (the "Company"), Forms 3, 4, and 5 (including any amendments thereto) in accordance with Section 16(a) of the Securities Exchange Act of 1934, as amended, and the rules thereunder (the "Exchange Act");</w:t>
      </w:r>
    </w:p>
    <w:p>
      <w:pPr>
        <w:spacing w:after="0" w:line="197" w:lineRule="exact"/>
        <w:rPr>
          <w:rFonts w:ascii="Courier New" w:cs="Courier New" w:eastAsia="Courier New" w:hAnsi="Courier New"/>
          <w:sz w:val="17"/>
          <w:szCs w:val="17"/>
          <w:color w:val="auto"/>
        </w:rPr>
      </w:pPr>
    </w:p>
    <w:p>
      <w:pPr>
        <w:ind w:right="2059" w:firstLine="994"/>
        <w:spacing w:after="0" w:line="237" w:lineRule="auto"/>
        <w:tabs>
          <w:tab w:leader="none" w:pos="138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96" w:lineRule="exact"/>
        <w:rPr>
          <w:rFonts w:ascii="Courier New" w:cs="Courier New" w:eastAsia="Courier New" w:hAnsi="Courier New"/>
          <w:sz w:val="17"/>
          <w:szCs w:val="17"/>
          <w:color w:val="auto"/>
        </w:rPr>
      </w:pPr>
    </w:p>
    <w:p>
      <w:pPr>
        <w:ind w:right="2059" w:firstLine="1093"/>
        <w:spacing w:after="0" w:line="236" w:lineRule="auto"/>
        <w:tabs>
          <w:tab w:leader="none" w:pos="1488"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99" w:lineRule="exact"/>
        <w:rPr>
          <w:rFonts w:ascii="Courier New" w:cs="Courier New" w:eastAsia="Courier New" w:hAnsi="Courier New"/>
          <w:sz w:val="17"/>
          <w:szCs w:val="17"/>
          <w:color w:val="auto"/>
        </w:rPr>
      </w:pPr>
    </w:p>
    <w:p>
      <w:pPr>
        <w:ind w:right="2059" w:firstLine="1093"/>
        <w:spacing w:after="0" w:line="236" w:lineRule="auto"/>
        <w:tabs>
          <w:tab w:leader="none" w:pos="1488"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2159" w:firstLine="1190"/>
        <w:spacing w:after="0" w:line="252"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99" w:lineRule="exact"/>
        <w:rPr>
          <w:sz w:val="20"/>
          <w:szCs w:val="20"/>
          <w:color w:val="auto"/>
        </w:rPr>
      </w:pPr>
    </w:p>
    <w:p>
      <w:pPr>
        <w:ind w:right="2059" w:firstLine="1091"/>
        <w:spacing w:after="0" w:line="236"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 fact.</w:t>
      </w:r>
    </w:p>
    <w:p>
      <w:pPr>
        <w:spacing w:after="0" w:line="198" w:lineRule="exact"/>
        <w:rPr>
          <w:sz w:val="20"/>
          <w:szCs w:val="20"/>
          <w:color w:val="auto"/>
        </w:rPr>
      </w:pPr>
    </w:p>
    <w:p>
      <w:pPr>
        <w:ind w:right="2059" w:firstLine="1091"/>
        <w:spacing w:after="0" w:line="23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December, 2020.</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 Bryan Stuart</w:t>
      </w:r>
    </w:p>
    <w:p>
      <w:pPr>
        <w:ind w:left="2880"/>
        <w:spacing w:after="0" w:line="237" w:lineRule="auto"/>
        <w:rPr>
          <w:sz w:val="20"/>
          <w:szCs w:val="20"/>
          <w:color w:val="auto"/>
        </w:rPr>
      </w:pPr>
      <w:r>
        <w:rPr>
          <w:rFonts w:ascii="Courier New" w:cs="Courier New" w:eastAsia="Courier New" w:hAnsi="Courier New"/>
          <w:sz w:val="17"/>
          <w:szCs w:val="17"/>
          <w:color w:val="auto"/>
        </w:rPr>
        <w:t>----------------</w:t>
      </w:r>
    </w:p>
    <w:p>
      <w:pPr>
        <w:ind w:left="2880"/>
        <w:spacing w:after="0"/>
        <w:tabs>
          <w:tab w:leader="none" w:pos="356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Bryan Stuart</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lvl w:ilvl="1">
      <w:lvlJc w:val="left"/>
      <w:lvlText w:val="(%2)"/>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9846"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2021-04-02T15:33:09Z</dcterms:created>
  <dcterms:modified xsi:type="dcterms:W3CDTF">2021-04-02T15:33:09Z</dcterms:modified>
</cp:coreProperties>
</file>