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matters voted on at the 2025 annual meeting of stockholders of Fulcrum Therapeutics, Inc., or Fulcrum, held on June 26, 2025, or the Annual Meeting.</w:t>
      </w:r>
    </w:p>
    <w:p>
      <w:pPr>
        <w:spacing w:after="0" w:line="67" w:lineRule="exact"/>
        <w:rPr>
          <w:sz w:val="20"/>
          <w:szCs w:val="20"/>
          <w:color w:val="auto"/>
        </w:rPr>
      </w:pPr>
    </w:p>
    <w:p>
      <w:pPr>
        <w:jc w:val="both"/>
        <w:ind w:left="960" w:right="6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elected Katina Dorton, Robert Gould, and Kate Haviland as class III directors, each for a three-year term ending at the annual meeting of stockholders to be held in 2028 and each until her or his respective successor has been duly elected and qualified or until her or his earlier death, resignation or removal. The results of the stockholders’ vote with respect to the election of the three class III directors are as follows:</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0" w:type="dxa"/>
            <w:vAlign w:val="bottom"/>
            <w:vMerge w:val="restart"/>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8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Katina Dorton</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44,618,582</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1,601,489</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3,317,555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Gould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43,847,378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2,372,693</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3,317,555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Haviland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33,203,495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13,016,576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3,317,555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approved, on a non-binding advisory basis, the compensation of Fulcrum’s named executive officers. The results of the stockholders’ vote with respect to such vote are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46,099,800</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111,967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8,304</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3,317,555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8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selected “one” year as the non-binding recommended frequency for future non-binding advisory votes on the compensation of Fulcrum’s named executive officers. The results of the stockholders’ vote with respect to such non-binding advisory vote on frequency are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Two Years</w:t>
            </w:r>
          </w:p>
        </w:tc>
        <w:tc>
          <w:tcPr>
            <w:tcW w:w="19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1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87"/>
        </w:trPr>
        <w:tc>
          <w:tcPr>
            <w:tcW w:w="180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44,882,180</w:t>
            </w:r>
          </w:p>
        </w:tc>
        <w:tc>
          <w:tcPr>
            <w:tcW w:w="1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51,488</w:t>
            </w:r>
          </w:p>
        </w:tc>
        <w:tc>
          <w:tcPr>
            <w:tcW w:w="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1,273,388</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13,015</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3,317,555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right="160"/>
        <w:spacing w:after="0" w:line="258" w:lineRule="auto"/>
        <w:rPr>
          <w:sz w:val="20"/>
          <w:szCs w:val="20"/>
          <w:color w:val="auto"/>
        </w:rPr>
      </w:pPr>
      <w:r>
        <w:rPr>
          <w:rFonts w:ascii="Times New Roman" w:cs="Times New Roman" w:eastAsia="Times New Roman" w:hAnsi="Times New Roman"/>
          <w:sz w:val="18"/>
          <w:szCs w:val="18"/>
          <w:color w:val="auto"/>
        </w:rPr>
        <w:t>Consistent with the stockholder voting results above and the recommendation of Fulcrum’s board of directors as disclosed in Fulcrum’s proxy statement for the Annual Meeting, Fulcrum’s board of directors has determined to solicit a non-binding advisory vote on the compensation of its named executive officers every year until the next required stockholder vote on the frequency of such non-binding advisory vote, or until Fulcrum’s board of directors determines that a different frequency of such non-binding advisory vote is in the best interest of Fulcrum’s stockholders.</w:t>
      </w:r>
    </w:p>
    <w:p>
      <w:pPr>
        <w:spacing w:after="0" w:line="89" w:lineRule="exact"/>
        <w:rPr>
          <w:sz w:val="20"/>
          <w:szCs w:val="20"/>
          <w:color w:val="auto"/>
        </w:rPr>
      </w:pPr>
    </w:p>
    <w:p>
      <w:pPr>
        <w:ind w:left="960" w:right="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ratified the selection of Ernst &amp; Young LLP as its independent registered public accounting firm for the fiscal year ending December 31, 2025. The results of the stockholders’ vote with respect to such ratification are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49,513,190</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22,808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Curtis Oltmans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2025-06-27T15:22:17Z</dcterms:created>
  <dcterms:modified xsi:type="dcterms:W3CDTF">2025-06-27T15:22:17Z</dcterms:modified>
</cp:coreProperties>
</file>