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177"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Pursuant to Section 13 OR 15(d) of The Securities Exchange Act of 1934</w:t>
      </w:r>
    </w:p>
    <w:p>
      <w:pPr>
        <w:spacing w:after="0" w:line="206"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Date of Report (Date of earliest event reported): September 28, 2023</w:t>
      </w:r>
    </w:p>
    <w:p>
      <w:pPr>
        <w:spacing w:after="0" w:line="19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tbl>
      <w:tblPr>
        <w:tblLayout w:type="fixed"/>
        <w:tblInd w:w="4" w:type="dxa"/>
        <w:tblCellMar>
          <w:top w:w="0" w:type="dxa"/>
          <w:left w:w="0" w:type="dxa"/>
          <w:bottom w:w="0" w:type="dxa"/>
          <w:right w:w="0" w:type="dxa"/>
        </w:tblCellMar>
      </w:tblPr>
      <w:tr>
        <w:trPr>
          <w:trHeight w:val="220"/>
        </w:trPr>
        <w:tc>
          <w:tcPr>
            <w:tcW w:w="50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001-38978</w:t>
            </w:r>
          </w:p>
        </w:tc>
        <w:tc>
          <w:tcPr>
            <w:tcW w:w="2580" w:type="dxa"/>
            <w:vAlign w:val="bottom"/>
          </w:tcPr>
          <w:p>
            <w:pPr>
              <w:jc w:val="center"/>
              <w:ind w:left="1150"/>
              <w:spacing w:after="0"/>
              <w:rPr>
                <w:sz w:val="20"/>
                <w:szCs w:val="20"/>
                <w:color w:val="auto"/>
              </w:rPr>
            </w:pPr>
            <w:r>
              <w:rPr>
                <w:rFonts w:ascii="Arial" w:cs="Arial" w:eastAsia="Arial" w:hAnsi="Arial"/>
                <w:sz w:val="18"/>
                <w:szCs w:val="18"/>
                <w:b w:val="1"/>
                <w:bCs w:val="1"/>
                <w:color w:val="auto"/>
                <w:w w:val="89"/>
              </w:rPr>
              <w:t>47-4839948</w:t>
            </w:r>
          </w:p>
        </w:tc>
      </w:tr>
      <w:tr>
        <w:trPr>
          <w:trHeight w:val="216"/>
        </w:trPr>
        <w:tc>
          <w:tcPr>
            <w:tcW w:w="5020" w:type="dxa"/>
            <w:vAlign w:val="bottom"/>
          </w:tcPr>
          <w:p>
            <w:pPr>
              <w:jc w:val="center"/>
              <w:ind w:right="1190"/>
              <w:spacing w:after="0"/>
              <w:rPr>
                <w:sz w:val="20"/>
                <w:szCs w:val="20"/>
                <w:color w:val="auto"/>
              </w:rPr>
            </w:pPr>
            <w:r>
              <w:rPr>
                <w:rFonts w:ascii="Arial" w:cs="Arial" w:eastAsia="Arial" w:hAnsi="Arial"/>
                <w:sz w:val="18"/>
                <w:szCs w:val="18"/>
                <w:color w:val="auto"/>
                <w:w w:val="92"/>
              </w:rPr>
              <w:t>(State or other jurisdiction</w:t>
            </w:r>
          </w:p>
        </w:tc>
        <w:tc>
          <w:tcPr>
            <w:tcW w:w="2320" w:type="dxa"/>
            <w:vAlign w:val="bottom"/>
          </w:tcPr>
          <w:p>
            <w:pPr>
              <w:jc w:val="center"/>
              <w:ind w:right="1030"/>
              <w:spacing w:after="0"/>
              <w:rPr>
                <w:sz w:val="20"/>
                <w:szCs w:val="20"/>
                <w:color w:val="auto"/>
              </w:rPr>
            </w:pPr>
            <w:r>
              <w:rPr>
                <w:rFonts w:ascii="Arial" w:cs="Arial" w:eastAsia="Arial" w:hAnsi="Arial"/>
                <w:sz w:val="18"/>
                <w:szCs w:val="18"/>
                <w:color w:val="auto"/>
                <w:w w:val="91"/>
              </w:rPr>
              <w:t>(Commission</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5020" w:type="dxa"/>
            <w:vAlign w:val="bottom"/>
          </w:tcPr>
          <w:p>
            <w:pPr>
              <w:jc w:val="center"/>
              <w:ind w:right="1190"/>
              <w:spacing w:after="0"/>
              <w:rPr>
                <w:sz w:val="20"/>
                <w:szCs w:val="20"/>
                <w:color w:val="auto"/>
              </w:rPr>
            </w:pPr>
            <w:r>
              <w:rPr>
                <w:rFonts w:ascii="Arial" w:cs="Arial" w:eastAsia="Arial" w:hAnsi="Arial"/>
                <w:sz w:val="18"/>
                <w:szCs w:val="18"/>
                <w:color w:val="auto"/>
                <w:w w:val="93"/>
              </w:rPr>
              <w:t>of incorporation)</w:t>
            </w:r>
          </w:p>
        </w:tc>
        <w:tc>
          <w:tcPr>
            <w:tcW w:w="2320" w:type="dxa"/>
            <w:vAlign w:val="bottom"/>
          </w:tcPr>
          <w:p>
            <w:pPr>
              <w:jc w:val="center"/>
              <w:ind w:right="1030"/>
              <w:spacing w:after="0"/>
              <w:rPr>
                <w:sz w:val="20"/>
                <w:szCs w:val="20"/>
                <w:color w:val="auto"/>
              </w:rPr>
            </w:pPr>
            <w:r>
              <w:rPr>
                <w:rFonts w:ascii="Arial" w:cs="Arial" w:eastAsia="Arial" w:hAnsi="Arial"/>
                <w:sz w:val="18"/>
                <w:szCs w:val="18"/>
                <w:color w:val="auto"/>
                <w:w w:val="92"/>
              </w:rPr>
              <w:t>File 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5020" w:type="dxa"/>
            <w:vAlign w:val="bottom"/>
          </w:tcPr>
          <w:p>
            <w:pPr>
              <w:jc w:val="center"/>
              <w:ind w:right="1190"/>
              <w:spacing w:after="0"/>
              <w:rPr>
                <w:sz w:val="20"/>
                <w:szCs w:val="20"/>
                <w:color w:val="auto"/>
              </w:rPr>
            </w:pPr>
            <w:r>
              <w:rPr>
                <w:rFonts w:ascii="Arial" w:cs="Arial" w:eastAsia="Arial" w:hAnsi="Arial"/>
                <w:sz w:val="18"/>
                <w:szCs w:val="18"/>
                <w:b w:val="1"/>
                <w:bCs w:val="1"/>
                <w:color w:val="auto"/>
                <w:w w:val="88"/>
              </w:rPr>
              <w:t>26 Landsdowne Street</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220"/>
        </w:trPr>
        <w:tc>
          <w:tcPr>
            <w:tcW w:w="5020" w:type="dxa"/>
            <w:vAlign w:val="bottom"/>
          </w:tcPr>
          <w:p>
            <w:pPr>
              <w:jc w:val="center"/>
              <w:ind w:right="1190"/>
              <w:spacing w:after="0"/>
              <w:rPr>
                <w:sz w:val="20"/>
                <w:szCs w:val="20"/>
                <w:color w:val="auto"/>
              </w:rPr>
            </w:pPr>
            <w:r>
              <w:rPr>
                <w:rFonts w:ascii="Arial" w:cs="Arial" w:eastAsia="Arial" w:hAnsi="Arial"/>
                <w:sz w:val="18"/>
                <w:szCs w:val="18"/>
                <w:b w:val="1"/>
                <w:bCs w:val="1"/>
                <w:color w:val="auto"/>
                <w:w w:val="88"/>
              </w:rPr>
              <w:t>Cambridge, Massachusetts</w:t>
            </w:r>
          </w:p>
        </w:tc>
        <w:tc>
          <w:tcPr>
            <w:tcW w:w="2320" w:type="dxa"/>
            <w:vAlign w:val="bottom"/>
          </w:tcPr>
          <w:p>
            <w:pPr>
              <w:spacing w:after="0"/>
              <w:rPr>
                <w:sz w:val="19"/>
                <w:szCs w:val="19"/>
                <w:color w:val="auto"/>
              </w:rPr>
            </w:pPr>
          </w:p>
        </w:tc>
        <w:tc>
          <w:tcPr>
            <w:tcW w:w="2580" w:type="dxa"/>
            <w:vAlign w:val="bottom"/>
          </w:tcPr>
          <w:p>
            <w:pPr>
              <w:jc w:val="right"/>
              <w:ind w:right="290"/>
              <w:spacing w:after="0"/>
              <w:rPr>
                <w:sz w:val="20"/>
                <w:szCs w:val="20"/>
                <w:color w:val="auto"/>
              </w:rPr>
            </w:pPr>
            <w:r>
              <w:rPr>
                <w:rFonts w:ascii="Arial" w:cs="Arial" w:eastAsia="Arial" w:hAnsi="Arial"/>
                <w:sz w:val="18"/>
                <w:szCs w:val="18"/>
                <w:b w:val="1"/>
                <w:bCs w:val="1"/>
                <w:color w:val="auto"/>
              </w:rPr>
              <w:t>02139</w:t>
            </w:r>
          </w:p>
        </w:tc>
      </w:tr>
      <w:tr>
        <w:trPr>
          <w:trHeight w:val="230"/>
        </w:trPr>
        <w:tc>
          <w:tcPr>
            <w:tcW w:w="5020" w:type="dxa"/>
            <w:vAlign w:val="bottom"/>
          </w:tcPr>
          <w:p>
            <w:pPr>
              <w:jc w:val="center"/>
              <w:ind w:right="1190"/>
              <w:spacing w:after="0"/>
              <w:rPr>
                <w:sz w:val="20"/>
                <w:szCs w:val="20"/>
                <w:color w:val="auto"/>
              </w:rPr>
            </w:pPr>
            <w:r>
              <w:rPr>
                <w:rFonts w:ascii="Arial" w:cs="Arial" w:eastAsia="Arial" w:hAnsi="Arial"/>
                <w:sz w:val="18"/>
                <w:szCs w:val="18"/>
                <w:color w:val="auto"/>
                <w:w w:val="92"/>
              </w:rPr>
              <w:t>(Address of principal executive offices)</w:t>
            </w:r>
          </w:p>
        </w:tc>
        <w:tc>
          <w:tcPr>
            <w:tcW w:w="2320" w:type="dxa"/>
            <w:vAlign w:val="bottom"/>
          </w:tcPr>
          <w:p>
            <w:pPr>
              <w:spacing w:after="0"/>
              <w:rPr>
                <w:sz w:val="20"/>
                <w:szCs w:val="20"/>
                <w:color w:val="auto"/>
              </w:rPr>
            </w:pPr>
          </w:p>
        </w:tc>
        <w:tc>
          <w:tcPr>
            <w:tcW w:w="258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r>
        <w:trPr>
          <w:trHeight w:val="432"/>
        </w:trPr>
        <w:tc>
          <w:tcPr>
            <w:tcW w:w="5020" w:type="dxa"/>
            <w:vAlign w:val="bottom"/>
          </w:tcPr>
          <w:p>
            <w:pPr>
              <w:spacing w:after="0"/>
              <w:rPr>
                <w:sz w:val="20"/>
                <w:szCs w:val="20"/>
                <w:color w:val="auto"/>
              </w:rPr>
            </w:pPr>
            <w:r>
              <w:rPr>
                <w:rFonts w:ascii="Arial" w:cs="Arial" w:eastAsia="Arial" w:hAnsi="Arial"/>
                <w:sz w:val="18"/>
                <w:szCs w:val="18"/>
                <w:color w:val="auto"/>
                <w:w w:val="91"/>
              </w:rPr>
              <w:t xml:space="preserve">Registrant’s telephone number, including area code: </w:t>
            </w:r>
            <w:r>
              <w:rPr>
                <w:rFonts w:ascii="Arial" w:cs="Arial" w:eastAsia="Arial" w:hAnsi="Arial"/>
                <w:sz w:val="18"/>
                <w:szCs w:val="18"/>
                <w:b w:val="1"/>
                <w:bCs w:val="1"/>
                <w:color w:val="auto"/>
                <w:w w:val="91"/>
              </w:rPr>
              <w:t>(617) 651-8851</w:t>
            </w:r>
          </w:p>
        </w:tc>
        <w:tc>
          <w:tcPr>
            <w:tcW w:w="232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pacing w:after="0" w:line="198"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4"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445"/>
        </w:trPr>
        <w:tc>
          <w:tcPr>
            <w:tcW w:w="50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Title of each class</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Trading</w:t>
            </w:r>
          </w:p>
        </w:tc>
        <w:tc>
          <w:tcPr>
            <w:tcW w:w="49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5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 </w:t>
            </w:r>
          </w:p>
        </w:tc>
        <w:tc>
          <w:tcPr>
            <w:tcW w:w="9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Symbol(s)</w:t>
            </w:r>
          </w:p>
        </w:tc>
        <w:tc>
          <w:tcPr>
            <w:tcW w:w="4960" w:type="dxa"/>
            <w:vAlign w:val="bottom"/>
          </w:tcPr>
          <w:p>
            <w:pPr>
              <w:jc w:val="center"/>
              <w:spacing w:after="0"/>
              <w:rPr>
                <w:sz w:val="20"/>
                <w:szCs w:val="20"/>
                <w:color w:val="auto"/>
              </w:rPr>
            </w:pPr>
            <w:r>
              <w:rPr>
                <w:rFonts w:ascii="Arial" w:cs="Arial" w:eastAsia="Arial" w:hAnsi="Arial"/>
                <w:sz w:val="18"/>
                <w:szCs w:val="18"/>
                <w:color w:val="auto"/>
                <w:w w:val="99"/>
              </w:rPr>
              <w:t> </w:t>
            </w:r>
          </w:p>
        </w:tc>
      </w:tr>
      <w:tr>
        <w:trPr>
          <w:trHeight w:val="234"/>
        </w:trPr>
        <w:tc>
          <w:tcPr>
            <w:tcW w:w="4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20"/>
                <w:szCs w:val="20"/>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FULC</w:t>
            </w:r>
          </w:p>
        </w:tc>
        <w:tc>
          <w:tcPr>
            <w:tcW w:w="120" w:type="dxa"/>
            <w:vAlign w:val="bottom"/>
          </w:tcPr>
          <w:p>
            <w:pPr>
              <w:spacing w:after="0"/>
              <w:rPr>
                <w:sz w:val="20"/>
                <w:szCs w:val="20"/>
                <w:color w:val="auto"/>
              </w:rPr>
            </w:pPr>
          </w:p>
        </w:tc>
        <w:tc>
          <w:tcPr>
            <w:tcW w:w="49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r>
    </w:tbl>
    <w:p>
      <w:pPr>
        <w:spacing w:after="0" w:line="183"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ind w:left="840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170815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55" w:right="4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 Departure of Director or Certain Officers; Election of Directors; Appointment of Certain Officers; Compensatory Arrangements of Certain Officers.</w:t>
      </w:r>
    </w:p>
    <w:p>
      <w:pPr>
        <w:spacing w:after="0" w:line="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September 28, 2023, in connection with a decision to streamline certain functions within the company, Fulcrum Therapeutics, Inc., or Fulcrum, notified Mel Hayes, Fulcrum’s current chief operating officer (and principal operating officer) that it was eliminating his position effective October 2, 2023, following which, Fulcrum does not have a principal operating officer. Mr. Hayes agreed to remain with Fulcrum as its Executive Vice President, Patient Experience, and in connection therewith, entered into an amended and restated employment agreement reflecting his new role and title at Fulcrum. Such amended and restated employment agreement, which has a 12-month term, did not modify Mr. Hayes’ current compensation or severance arrangements.</w:t>
      </w:r>
    </w:p>
    <w:p>
      <w:pPr>
        <w:sectPr>
          <w:pgSz w:w="11900" w:h="16838" w:orient="portrait"/>
          <w:cols w:equalWidth="0" w:num="1">
            <w:col w:w="10840"/>
          </w:cols>
          <w:pgMar w:left="440" w:top="297" w:right="6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October 2,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Curtis Oltmans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Curtis Oltmans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Chief Legal Officer</w:t>
      </w:r>
    </w:p>
    <w:sectPr>
      <w:pgSz w:w="11900" w:h="16838" w:orient="portrait"/>
      <w:cols w:equalWidth="0" w:num="1">
        <w:col w:w="10700"/>
      </w:cols>
      <w:pgMar w:left="440" w:top="29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2023-10-02T15:12:08Z</dcterms:created>
  <dcterms:modified xsi:type="dcterms:W3CDTF">2023-10-02T15:12:08Z</dcterms:modified>
</cp:coreProperties>
</file>