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August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96520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Fulcrum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3" w:lineRule="exact"/>
        <w:rPr>
          <w:sz w:val="24"/>
          <w:szCs w:val="24"/>
          <w:color w:val="auto"/>
        </w:rPr>
      </w:pPr>
    </w:p>
    <w:tbl>
      <w:tblPr>
        <w:tblLayout w:type="fixed"/>
        <w:tblInd w:w="740" w:type="dxa"/>
        <w:tblCellMar>
          <w:top w:w="0" w:type="dxa"/>
          <w:left w:w="0" w:type="dxa"/>
          <w:bottom w:w="0" w:type="dxa"/>
          <w:right w:w="0" w:type="dxa"/>
        </w:tblCellMar>
      </w:tblPr>
      <w:tr>
        <w:trPr>
          <w:trHeight w:val="212"/>
        </w:trPr>
        <w:tc>
          <w:tcPr>
            <w:tcW w:w="3480" w:type="dxa"/>
            <w:vAlign w:val="bottom"/>
          </w:tcPr>
          <w:p>
            <w:pPr>
              <w:jc w:val="center"/>
              <w:ind w:right="919"/>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ind w:left="1020"/>
              <w:spacing w:after="0"/>
              <w:rPr>
                <w:sz w:val="20"/>
                <w:szCs w:val="20"/>
                <w:color w:val="auto"/>
              </w:rPr>
            </w:pPr>
            <w:r>
              <w:rPr>
                <w:rFonts w:ascii="Arial" w:cs="Arial" w:eastAsia="Arial" w:hAnsi="Arial"/>
                <w:sz w:val="18"/>
                <w:szCs w:val="18"/>
                <w:b w:val="1"/>
                <w:bCs w:val="1"/>
                <w:color w:val="auto"/>
              </w:rPr>
              <w:t>001-38978</w:t>
            </w:r>
          </w:p>
        </w:tc>
        <w:tc>
          <w:tcPr>
            <w:tcW w:w="2460" w:type="dxa"/>
            <w:vAlign w:val="bottom"/>
          </w:tcPr>
          <w:p>
            <w:pPr>
              <w:jc w:val="right"/>
              <w:ind w:right="41"/>
              <w:spacing w:after="0"/>
              <w:rPr>
                <w:sz w:val="20"/>
                <w:szCs w:val="20"/>
                <w:color w:val="auto"/>
              </w:rPr>
            </w:pPr>
            <w:r>
              <w:rPr>
                <w:rFonts w:ascii="Arial" w:cs="Arial" w:eastAsia="Arial" w:hAnsi="Arial"/>
                <w:sz w:val="18"/>
                <w:szCs w:val="18"/>
                <w:b w:val="1"/>
                <w:bCs w:val="1"/>
                <w:color w:val="auto"/>
              </w:rPr>
              <w:t>47-4839948</w:t>
            </w:r>
          </w:p>
        </w:tc>
      </w:tr>
      <w:tr>
        <w:trPr>
          <w:trHeight w:val="148"/>
        </w:trPr>
        <w:tc>
          <w:tcPr>
            <w:tcW w:w="3480" w:type="dxa"/>
            <w:vAlign w:val="bottom"/>
          </w:tcPr>
          <w:p>
            <w:pPr>
              <w:jc w:val="center"/>
              <w:ind w:right="919"/>
              <w:spacing w:after="0" w:line="149" w:lineRule="exact"/>
              <w:rPr>
                <w:sz w:val="20"/>
                <w:szCs w:val="20"/>
                <w:color w:val="auto"/>
              </w:rPr>
            </w:pPr>
            <w:r>
              <w:rPr>
                <w:rFonts w:ascii="Arial" w:cs="Arial" w:eastAsia="Arial" w:hAnsi="Arial"/>
                <w:sz w:val="14"/>
                <w:szCs w:val="14"/>
                <w:b w:val="1"/>
                <w:bCs w:val="1"/>
                <w:color w:val="auto"/>
                <w:w w:val="94"/>
              </w:rPr>
              <w:t>(State or Other Jurisdiction</w:t>
            </w:r>
          </w:p>
        </w:tc>
        <w:tc>
          <w:tcPr>
            <w:tcW w:w="3160" w:type="dxa"/>
            <w:vAlign w:val="bottom"/>
          </w:tcPr>
          <w:p>
            <w:pPr>
              <w:ind w:left="100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480" w:type="dxa"/>
            <w:vAlign w:val="bottom"/>
          </w:tcPr>
          <w:p>
            <w:pPr>
              <w:jc w:val="center"/>
              <w:ind w:right="919"/>
              <w:spacing w:after="0"/>
              <w:rPr>
                <w:sz w:val="20"/>
                <w:szCs w:val="20"/>
                <w:color w:val="auto"/>
              </w:rPr>
            </w:pPr>
            <w:r>
              <w:rPr>
                <w:rFonts w:ascii="Arial" w:cs="Arial" w:eastAsia="Arial" w:hAnsi="Arial"/>
                <w:sz w:val="14"/>
                <w:szCs w:val="14"/>
                <w:b w:val="1"/>
                <w:bCs w:val="1"/>
                <w:color w:val="auto"/>
                <w:w w:val="96"/>
              </w:rPr>
              <w:t>of Incorporation)</w:t>
            </w:r>
          </w:p>
        </w:tc>
        <w:tc>
          <w:tcPr>
            <w:tcW w:w="3160" w:type="dxa"/>
            <w:vAlign w:val="bottom"/>
          </w:tcPr>
          <w:p>
            <w:pPr>
              <w:ind w:left="100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61"/>
              <w:spacing w:after="0"/>
              <w:rPr>
                <w:sz w:val="20"/>
                <w:szCs w:val="20"/>
                <w:color w:val="auto"/>
              </w:rPr>
            </w:pPr>
            <w:r>
              <w:rPr>
                <w:rFonts w:ascii="Arial" w:cs="Arial" w:eastAsia="Arial" w:hAnsi="Arial"/>
                <w:sz w:val="14"/>
                <w:szCs w:val="14"/>
                <w:b w:val="1"/>
                <w:bCs w:val="1"/>
                <w:color w:val="auto"/>
                <w:w w:val="94"/>
              </w:rPr>
              <w:t>Identification No.)</w:t>
            </w:r>
          </w:p>
        </w:tc>
      </w:tr>
      <w:tr>
        <w:trPr>
          <w:trHeight w:val="345"/>
        </w:trPr>
        <w:tc>
          <w:tcPr>
            <w:tcW w:w="3480" w:type="dxa"/>
            <w:vAlign w:val="bottom"/>
          </w:tcPr>
          <w:p>
            <w:pPr>
              <w:jc w:val="center"/>
              <w:ind w:right="919"/>
              <w:spacing w:after="0"/>
              <w:rPr>
                <w:sz w:val="20"/>
                <w:szCs w:val="20"/>
                <w:color w:val="auto"/>
              </w:rPr>
            </w:pPr>
            <w:r>
              <w:rPr>
                <w:rFonts w:ascii="Arial" w:cs="Arial" w:eastAsia="Arial" w:hAnsi="Arial"/>
                <w:sz w:val="18"/>
                <w:szCs w:val="18"/>
                <w:b w:val="1"/>
                <w:bCs w:val="1"/>
                <w:color w:val="auto"/>
                <w:w w:val="90"/>
              </w:rPr>
              <w:t>26 Landsdowne Street</w:t>
            </w:r>
          </w:p>
        </w:tc>
        <w:tc>
          <w:tcPr>
            <w:tcW w:w="316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2"/>
        </w:trPr>
        <w:tc>
          <w:tcPr>
            <w:tcW w:w="3480" w:type="dxa"/>
            <w:vAlign w:val="bottom"/>
          </w:tcPr>
          <w:p>
            <w:pPr>
              <w:jc w:val="center"/>
              <w:ind w:right="919"/>
              <w:spacing w:after="0"/>
              <w:rPr>
                <w:sz w:val="20"/>
                <w:szCs w:val="20"/>
                <w:color w:val="auto"/>
              </w:rPr>
            </w:pPr>
            <w:r>
              <w:rPr>
                <w:rFonts w:ascii="Arial" w:cs="Arial" w:eastAsia="Arial" w:hAnsi="Arial"/>
                <w:sz w:val="18"/>
                <w:szCs w:val="18"/>
                <w:b w:val="1"/>
                <w:bCs w:val="1"/>
                <w:color w:val="auto"/>
                <w:w w:val="89"/>
              </w:rPr>
              <w:t>Cambridge, Massachusetts</w:t>
            </w:r>
          </w:p>
        </w:tc>
        <w:tc>
          <w:tcPr>
            <w:tcW w:w="3160" w:type="dxa"/>
            <w:vAlign w:val="bottom"/>
          </w:tcPr>
          <w:p>
            <w:pPr>
              <w:spacing w:after="0"/>
              <w:rPr>
                <w:sz w:val="18"/>
                <w:szCs w:val="18"/>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02139</w:t>
            </w:r>
          </w:p>
        </w:tc>
      </w:tr>
      <w:tr>
        <w:trPr>
          <w:trHeight w:val="186"/>
        </w:trPr>
        <w:tc>
          <w:tcPr>
            <w:tcW w:w="3480" w:type="dxa"/>
            <w:vAlign w:val="bottom"/>
          </w:tcPr>
          <w:p>
            <w:pPr>
              <w:jc w:val="center"/>
              <w:ind w:right="9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16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(617) 651-8851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90805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0"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00" w:firstLine="8"/>
        <w:spacing w:after="0" w:line="402" w:lineRule="auto"/>
        <w:tabs>
          <w:tab w:leader="none" w:pos="49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4520" w:type="dxa"/>
            <w:vAlign w:val="bottom"/>
            <w:gridSpan w:val="2"/>
          </w:tcPr>
          <w:p>
            <w:pPr>
              <w:ind w:left="1640"/>
              <w:spacing w:after="0"/>
              <w:rPr>
                <w:sz w:val="20"/>
                <w:szCs w:val="20"/>
                <w:color w:val="auto"/>
              </w:rPr>
            </w:pPr>
            <w:r>
              <w:rPr>
                <w:rFonts w:ascii="Arial" w:cs="Arial" w:eastAsia="Arial" w:hAnsi="Arial"/>
                <w:sz w:val="14"/>
                <w:szCs w:val="14"/>
                <w:b w:val="1"/>
                <w:bCs w:val="1"/>
                <w:color w:val="auto"/>
              </w:rPr>
              <w:t>Title of each class</w:t>
            </w:r>
          </w:p>
        </w:tc>
        <w:tc>
          <w:tcPr>
            <w:tcW w:w="2340" w:type="dxa"/>
            <w:vAlign w:val="bottom"/>
            <w:gridSpan w:val="2"/>
          </w:tcPr>
          <w:p>
            <w:pPr>
              <w:ind w:left="600"/>
              <w:spacing w:after="0"/>
              <w:rPr>
                <w:sz w:val="20"/>
                <w:szCs w:val="20"/>
                <w:color w:val="auto"/>
              </w:rPr>
            </w:pPr>
            <w:r>
              <w:rPr>
                <w:rFonts w:ascii="Arial" w:cs="Arial" w:eastAsia="Arial" w:hAnsi="Arial"/>
                <w:sz w:val="14"/>
                <w:szCs w:val="14"/>
                <w:b w:val="1"/>
                <w:bCs w:val="1"/>
                <w:color w:val="auto"/>
              </w:rPr>
              <w:t>Trading Symbol(s)</w:t>
            </w:r>
          </w:p>
        </w:tc>
        <w:tc>
          <w:tcPr>
            <w:tcW w:w="4380" w:type="dxa"/>
            <w:vAlign w:val="bottom"/>
          </w:tcPr>
          <w:p>
            <w:pPr>
              <w:ind w:left="90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8"/>
        </w:trPr>
        <w:tc>
          <w:tcPr>
            <w:tcW w:w="4400" w:type="dxa"/>
            <w:vAlign w:val="bottom"/>
            <w:tcBorders>
              <w:top w:val="single" w:sz="8" w:color="auto"/>
            </w:tcBorders>
          </w:tcPr>
          <w:p>
            <w:pPr>
              <w:ind w:left="560"/>
              <w:spacing w:after="0"/>
              <w:rPr>
                <w:sz w:val="20"/>
                <w:szCs w:val="20"/>
                <w:color w:val="auto"/>
              </w:rPr>
            </w:pPr>
            <w:r>
              <w:rPr>
                <w:rFonts w:ascii="Arial" w:cs="Arial" w:eastAsia="Arial" w:hAnsi="Arial"/>
                <w:sz w:val="18"/>
                <w:szCs w:val="18"/>
                <w:b w:val="1"/>
                <w:bCs w:val="1"/>
                <w:color w:val="auto"/>
              </w:rPr>
              <w:t>Common stock, par value $0.001 per share</w:t>
            </w:r>
          </w:p>
        </w:tc>
        <w:tc>
          <w:tcPr>
            <w:tcW w:w="120" w:type="dxa"/>
            <w:vAlign w:val="bottom"/>
          </w:tcPr>
          <w:p>
            <w:pPr>
              <w:spacing w:after="0"/>
              <w:rPr>
                <w:sz w:val="19"/>
                <w:szCs w:val="19"/>
                <w:color w:val="auto"/>
              </w:rPr>
            </w:pPr>
          </w:p>
        </w:tc>
        <w:tc>
          <w:tcPr>
            <w:tcW w:w="2240" w:type="dxa"/>
            <w:vAlign w:val="bottom"/>
            <w:tcBorders>
              <w:top w:val="single" w:sz="8" w:color="auto"/>
            </w:tcBorders>
          </w:tcPr>
          <w:p>
            <w:pPr>
              <w:ind w:left="880"/>
              <w:spacing w:after="0"/>
              <w:rPr>
                <w:sz w:val="20"/>
                <w:szCs w:val="20"/>
                <w:color w:val="auto"/>
              </w:rPr>
            </w:pPr>
            <w:r>
              <w:rPr>
                <w:rFonts w:ascii="Arial" w:cs="Arial" w:eastAsia="Arial" w:hAnsi="Arial"/>
                <w:sz w:val="18"/>
                <w:szCs w:val="18"/>
                <w:b w:val="1"/>
                <w:bCs w:val="1"/>
                <w:color w:val="auto"/>
              </w:rPr>
              <w:t>FULC</w:t>
            </w:r>
          </w:p>
        </w:tc>
        <w:tc>
          <w:tcPr>
            <w:tcW w:w="100" w:type="dxa"/>
            <w:vAlign w:val="bottom"/>
          </w:tcPr>
          <w:p>
            <w:pPr>
              <w:spacing w:after="0"/>
              <w:rPr>
                <w:sz w:val="19"/>
                <w:szCs w:val="19"/>
                <w:color w:val="auto"/>
              </w:rPr>
            </w:pPr>
          </w:p>
        </w:tc>
        <w:tc>
          <w:tcPr>
            <w:tcW w:w="4380" w:type="dxa"/>
            <w:vAlign w:val="bottom"/>
            <w:tcBorders>
              <w:top w:val="single" w:sz="8" w:color="auto"/>
            </w:tcBorders>
          </w:tcPr>
          <w:p>
            <w:pPr>
              <w:ind w:left="1300"/>
              <w:spacing w:after="0"/>
              <w:rPr>
                <w:sz w:val="20"/>
                <w:szCs w:val="20"/>
                <w:color w:val="auto"/>
              </w:rPr>
            </w:pPr>
            <w:r>
              <w:rPr>
                <w:rFonts w:ascii="Arial" w:cs="Arial" w:eastAsia="Arial" w:hAnsi="Arial"/>
                <w:sz w:val="18"/>
                <w:szCs w:val="18"/>
                <w:b w:val="1"/>
                <w:bCs w:val="1"/>
                <w:color w:val="auto"/>
              </w:rPr>
              <w:t>Nasdaq Global Market</w:t>
            </w:r>
          </w:p>
        </w:tc>
      </w:tr>
    </w:tbl>
    <w:p>
      <w:pPr>
        <w:spacing w:after="0" w:line="8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154940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On August 10, 2021, Fulcrum Therapeutics, Inc. (the “Company”) announced its financial results for the quarter ended June 30, 2021. The full text of the press release issued in connection with the announcement is being furnished as Exhibit 99.1 to this Current Report on Form 8-K and is incorporated herein by reference.</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this Item 2.02, including Exhibit 99.1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26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furnished herewith:</w:t>
      </w:r>
    </w:p>
    <w:p>
      <w:pPr>
        <w:spacing w:after="0" w:line="225" w:lineRule="exact"/>
        <w:rPr>
          <w:sz w:val="20"/>
          <w:szCs w:val="20"/>
          <w:color w:val="auto"/>
        </w:rPr>
      </w:pPr>
    </w:p>
    <w:p>
      <w:pPr>
        <w:ind w:left="140"/>
        <w:spacing w:after="0"/>
        <w:tabs>
          <w:tab w:leader="none" w:pos="6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issued by the Company on August 10,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7320" w:type="dxa"/>
            <w:vAlign w:val="bottom"/>
            <w:gridSpan w:val="2"/>
          </w:tcPr>
          <w:p>
            <w:pPr>
              <w:ind w:left="2280"/>
              <w:spacing w:after="0"/>
              <w:rPr>
                <w:sz w:val="20"/>
                <w:szCs w:val="20"/>
                <w:color w:val="auto"/>
              </w:rPr>
            </w:pPr>
            <w:r>
              <w:rPr>
                <w:rFonts w:ascii="Arial" w:cs="Arial" w:eastAsia="Arial" w:hAnsi="Arial"/>
                <w:sz w:val="18"/>
                <w:szCs w:val="18"/>
                <w:color w:val="auto"/>
              </w:rPr>
              <w:t>FULCRUM THERAPEUTICS, INC.</w:t>
            </w:r>
          </w:p>
        </w:tc>
      </w:tr>
      <w:tr>
        <w:trPr>
          <w:trHeight w:val="338"/>
        </w:trPr>
        <w:tc>
          <w:tcPr>
            <w:tcW w:w="3920" w:type="dxa"/>
            <w:vAlign w:val="bottom"/>
          </w:tcPr>
          <w:p>
            <w:pPr>
              <w:spacing w:after="0"/>
              <w:rPr>
                <w:sz w:val="20"/>
                <w:szCs w:val="20"/>
                <w:color w:val="auto"/>
              </w:rPr>
            </w:pPr>
            <w:r>
              <w:rPr>
                <w:rFonts w:ascii="Arial" w:cs="Arial" w:eastAsia="Arial" w:hAnsi="Arial"/>
                <w:sz w:val="18"/>
                <w:szCs w:val="18"/>
                <w:color w:val="auto"/>
              </w:rPr>
              <w:t>Date: August 10, 2021</w:t>
            </w:r>
          </w:p>
        </w:tc>
        <w:tc>
          <w:tcPr>
            <w:tcW w:w="7320" w:type="dxa"/>
            <w:vAlign w:val="bottom"/>
            <w:gridSpan w:val="2"/>
          </w:tcPr>
          <w:p>
            <w:pPr>
              <w:ind w:left="2280"/>
              <w:spacing w:after="0"/>
              <w:rPr>
                <w:sz w:val="20"/>
                <w:szCs w:val="20"/>
                <w:color w:val="auto"/>
              </w:rPr>
            </w:pPr>
            <w:r>
              <w:rPr>
                <w:rFonts w:ascii="Arial" w:cs="Arial" w:eastAsia="Arial" w:hAnsi="Arial"/>
                <w:sz w:val="18"/>
                <w:szCs w:val="18"/>
                <w:color w:val="auto"/>
              </w:rPr>
              <w:t>By: /s/ Bryan Stuart</w:t>
            </w:r>
          </w:p>
        </w:tc>
      </w:tr>
      <w:tr>
        <w:trPr>
          <w:trHeight w:val="195"/>
        </w:trPr>
        <w:tc>
          <w:tcPr>
            <w:tcW w:w="39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Bryan Stuart</w:t>
            </w:r>
          </w:p>
        </w:tc>
      </w:tr>
      <w:tr>
        <w:trPr>
          <w:trHeight w:val="230"/>
        </w:trPr>
        <w:tc>
          <w:tcPr>
            <w:tcW w:w="39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bl>
    <w:p>
      <w:pPr>
        <w:sectPr>
          <w:pgSz w:w="11900" w:h="16838" w:orient="portrait"/>
          <w:cols w:equalWidth="0" w:num="1">
            <w:col w:w="11240"/>
          </w:cols>
          <w:pgMar w:left="320" w:top="33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663065" cy="497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6306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Fulcrum Therapeutics Reports Recent Business Highlights and</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Second Quarter 2021 Financial Results</w:t>
      </w:r>
    </w:p>
    <w:p>
      <w:pPr>
        <w:spacing w:after="0" w:line="23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Reported positive interim results from ongoing Phase 1 trial in healthy adult volunteers with FTX-6058 for sickle cell disease demonstrating proof of</w:t>
      </w:r>
    </w:p>
    <w:p>
      <w:pPr>
        <w:spacing w:after="0" w:line="50" w:lineRule="exact"/>
        <w:rPr>
          <w:sz w:val="20"/>
          <w:szCs w:val="20"/>
          <w:color w:val="auto"/>
        </w:rPr>
      </w:pPr>
    </w:p>
    <w:p>
      <w:pPr>
        <w:ind w:left="4400"/>
        <w:spacing w:after="0"/>
        <w:rPr>
          <w:sz w:val="20"/>
          <w:szCs w:val="20"/>
          <w:color w:val="auto"/>
        </w:rPr>
      </w:pPr>
      <w:r>
        <w:rPr>
          <w:rFonts w:ascii="Arial" w:cs="Arial" w:eastAsia="Arial" w:hAnsi="Arial"/>
          <w:sz w:val="18"/>
          <w:szCs w:val="18"/>
          <w:i w:val="1"/>
          <w:iCs w:val="1"/>
          <w:color w:val="auto"/>
        </w:rPr>
        <w:t xml:space="preserve">mechanism and proof of biology </w:t>
      </w:r>
      <w:r>
        <w:rPr>
          <w:rFonts w:ascii="Arial" w:cs="Arial" w:eastAsia="Arial" w:hAnsi="Arial"/>
          <w:sz w:val="18"/>
          <w:szCs w:val="18"/>
          <w:b w:val="1"/>
          <w:bCs w:val="1"/>
          <w:color w:val="auto"/>
        </w:rPr>
        <w: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Company plans to initiate enrollment in a Phase 1b clinical trial in sickle cell patients in 4Q 2021</w:t>
      </w:r>
      <w:r>
        <w:rPr>
          <w:rFonts w:ascii="Arial" w:cs="Arial" w:eastAsia="Arial" w:hAnsi="Arial"/>
          <w:sz w:val="18"/>
          <w:szCs w:val="18"/>
          <w:b w:val="1"/>
          <w:bCs w:val="1"/>
          <w:color w:val="auto"/>
        </w:rPr>
        <w:t xml:space="preserve"> –</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Cash runway into 1Q 2023</w:t>
      </w:r>
      <w:r>
        <w:rPr>
          <w:rFonts w:ascii="Arial" w:cs="Arial" w:eastAsia="Arial" w:hAnsi="Arial"/>
          <w:sz w:val="18"/>
          <w:szCs w:val="18"/>
          <w:b w:val="1"/>
          <w:bCs w:val="1"/>
          <w:color w:val="auto"/>
        </w:rPr>
        <w:t xml:space="preserve">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Conference call scheduled for 8:00 a.m. ET today</w:t>
      </w:r>
      <w:r>
        <w:rPr>
          <w:rFonts w:ascii="Arial" w:cs="Arial" w:eastAsia="Arial" w:hAnsi="Arial"/>
          <w:sz w:val="18"/>
          <w:szCs w:val="18"/>
          <w:b w:val="1"/>
          <w:bCs w:val="1"/>
          <w:color w:val="auto"/>
        </w:rPr>
        <w:t xml:space="preserve"> –</w:t>
      </w:r>
    </w:p>
    <w:p>
      <w:pPr>
        <w:spacing w:after="0" w:line="22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CAMBRIDGE, Mass. – August 10, 2021 </w:t>
      </w:r>
      <w:r>
        <w:rPr>
          <w:rFonts w:ascii="Arial" w:cs="Arial" w:eastAsia="Arial" w:hAnsi="Arial"/>
          <w:sz w:val="18"/>
          <w:szCs w:val="18"/>
          <w:color w:val="auto"/>
        </w:rPr>
        <w:t>– Fulcrum Therapeutics, Inc. (Nasdaq: FULC), a clinical-stage biopharmaceutical company focused on</w:t>
      </w:r>
      <w:r>
        <w:rPr>
          <w:rFonts w:ascii="Arial" w:cs="Arial" w:eastAsia="Arial" w:hAnsi="Arial"/>
          <w:sz w:val="18"/>
          <w:szCs w:val="18"/>
          <w:b w:val="1"/>
          <w:bCs w:val="1"/>
          <w:color w:val="auto"/>
        </w:rPr>
        <w:t xml:space="preserve"> </w:t>
      </w:r>
      <w:r>
        <w:rPr>
          <w:rFonts w:ascii="Arial" w:cs="Arial" w:eastAsia="Arial" w:hAnsi="Arial"/>
          <w:sz w:val="18"/>
          <w:szCs w:val="18"/>
          <w:color w:val="auto"/>
        </w:rPr>
        <w:t>improving the lives of patients with genetically defined rare diseases, today provided a business update and reported financial results for the second quarter of 2021.</w:t>
      </w:r>
    </w:p>
    <w:p>
      <w:pPr>
        <w:spacing w:after="0" w:line="180"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“This quarter was marked by meaningful progress, particularly as we furthered our efforts with our lead candidates for FSHD and sickle cell disease,” said Bryan Stuart, president and chief executive officer. “We made groundbreaking progress with losmapimod and reported clinical data from ReDUX4 demonstrating slowed disease progression and improved function in FSHD. We are also pleased with the dose proportional target engagement data, fetal hemoglobin (HBG) mRNA induction and F-reticulocyte increases that we observed in our ongoing Phase 1 trial in healthy adult volunteers with FTX-6058, demonstrating proof of mechanism and proof of biology. These results, along with the safety, tolerability and pharmacokinetics observed to date, reinforce our belief in FTX-6058’s potential to be a best-in-class treatment for select hemoglobinopathies. Our team continues to optimize the potential of FulcrumSeek™, our proprietary product engine. Driven by our focus on the patient and our ability to rapidly identify novel, high quality targets that modulate the root cause of genetically defined rare diseases, we are on track to submit two investigational new drug applications (INDs) by the end of the first quarter of 2023. With these important advances and cash runway that takes us into the first quarter of 2023, we believe we are well positioned to continue to build on our momentum to bring important therapies to patients with genetically defined rare diseases.”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Business Highlights</w:t>
      </w:r>
    </w:p>
    <w:p>
      <w:pPr>
        <w:spacing w:after="0" w:line="121" w:lineRule="exact"/>
        <w:rPr>
          <w:sz w:val="20"/>
          <w:szCs w:val="20"/>
          <w:color w:val="auto"/>
        </w:rPr>
      </w:pPr>
    </w:p>
    <w:p>
      <w:pPr>
        <w:ind w:left="1120" w:hanging="370"/>
        <w:spacing w:after="0" w:line="329" w:lineRule="auto"/>
        <w:tabs>
          <w:tab w:leader="none" w:pos="1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Reported positive interim results today from the ongoing single- and multiple-ascending dose (SAD and MAD) Phase 1 trial in healthy adult volunteers with FTX-6058. FTX-6058 is an investigational, potent and selective small molecule inhibitor of EED designed to induce expression of fetal hemoglobin (HbF) with the potential to treat hemoglobinopathies, such as sickle cell disease and beta-thalassemia.</w:t>
      </w:r>
    </w:p>
    <w:p>
      <w:pPr>
        <w:spacing w:after="0" w:line="26" w:lineRule="exact"/>
        <w:rPr>
          <w:sz w:val="20"/>
          <w:szCs w:val="20"/>
          <w:color w:val="auto"/>
        </w:rPr>
      </w:pPr>
    </w:p>
    <w:p>
      <w:pPr>
        <w:ind w:left="1860" w:right="60" w:hanging="367"/>
        <w:spacing w:after="0" w:line="272" w:lineRule="auto"/>
        <w:tabs>
          <w:tab w:leader="none" w:pos="1860" w:val="left"/>
        </w:tabs>
        <w:numPr>
          <w:ilvl w:val="1"/>
          <w:numId w:val="5"/>
        </w:numPr>
        <w:rPr>
          <w:rFonts w:ascii="Courier New" w:cs="Courier New" w:eastAsia="Courier New" w:hAnsi="Courier New"/>
          <w:sz w:val="17"/>
          <w:szCs w:val="17"/>
          <w:color w:val="auto"/>
        </w:rPr>
      </w:pPr>
      <w:r>
        <w:rPr>
          <w:rFonts w:ascii="Arial" w:cs="Arial" w:eastAsia="Arial" w:hAnsi="Arial"/>
          <w:sz w:val="17"/>
          <w:szCs w:val="17"/>
          <w:color w:val="auto"/>
        </w:rPr>
        <w:t>Results from the MAD portion of the trial demonstrated proof of biology as evidenced by a dose proportional induction in HBG mRNA and accompanying increases in HbF-containing reticulocytes (F-reticulocytes). At 10mg, the highest dose studied to date, the mean changes were 4.5-fold and 4.2-fold, respectively. The increases in F-reticulocytes indicate that the HBG mRNA increases observed with FTX-6058 treatment are translating to HbF protein production.</w:t>
      </w:r>
    </w:p>
    <w:p>
      <w:pPr>
        <w:spacing w:after="0" w:line="68" w:lineRule="exact"/>
        <w:rPr>
          <w:rFonts w:ascii="Courier New" w:cs="Courier New" w:eastAsia="Courier New" w:hAnsi="Courier New"/>
          <w:sz w:val="17"/>
          <w:szCs w:val="17"/>
          <w:color w:val="auto"/>
        </w:rPr>
      </w:pPr>
    </w:p>
    <w:p>
      <w:pPr>
        <w:ind w:left="1860" w:hanging="367"/>
        <w:spacing w:after="0"/>
        <w:tabs>
          <w:tab w:leader="none" w:pos="1860" w:val="left"/>
        </w:tabs>
        <w:numPr>
          <w:ilvl w:val="1"/>
          <w:numId w:val="5"/>
        </w:numPr>
        <w:rPr>
          <w:rFonts w:ascii="Courier New" w:cs="Courier New" w:eastAsia="Courier New" w:hAnsi="Courier New"/>
          <w:sz w:val="18"/>
          <w:szCs w:val="18"/>
          <w:color w:val="auto"/>
        </w:rPr>
      </w:pPr>
      <w:r>
        <w:rPr>
          <w:rFonts w:ascii="Arial" w:cs="Arial" w:eastAsia="Arial" w:hAnsi="Arial"/>
          <w:sz w:val="18"/>
          <w:szCs w:val="18"/>
          <w:color w:val="auto"/>
        </w:rPr>
        <w:t>All FTX-6058 doses from the MAD portion of the trial achieved maximal target engagement.</w:t>
      </w:r>
    </w:p>
    <w:p>
      <w:pPr>
        <w:spacing w:after="0" w:line="128" w:lineRule="exact"/>
        <w:rPr>
          <w:rFonts w:ascii="Courier New" w:cs="Courier New" w:eastAsia="Courier New" w:hAnsi="Courier New"/>
          <w:sz w:val="18"/>
          <w:szCs w:val="18"/>
          <w:color w:val="auto"/>
        </w:rPr>
      </w:pPr>
    </w:p>
    <w:p>
      <w:pPr>
        <w:ind w:left="1860" w:hanging="367"/>
        <w:spacing w:after="0"/>
        <w:tabs>
          <w:tab w:leader="none" w:pos="1860" w:val="left"/>
        </w:tabs>
        <w:numPr>
          <w:ilvl w:val="1"/>
          <w:numId w:val="5"/>
        </w:numPr>
        <w:rPr>
          <w:rFonts w:ascii="Courier New" w:cs="Courier New" w:eastAsia="Courier New" w:hAnsi="Courier New"/>
          <w:sz w:val="18"/>
          <w:szCs w:val="18"/>
          <w:color w:val="auto"/>
        </w:rPr>
      </w:pPr>
      <w:r>
        <w:rPr>
          <w:rFonts w:ascii="Arial" w:cs="Arial" w:eastAsia="Arial" w:hAnsi="Arial"/>
          <w:sz w:val="18"/>
          <w:szCs w:val="18"/>
          <w:color w:val="auto"/>
        </w:rPr>
        <w:t>FTX-6058 was generally well-tolerated with no serious adverse events observed to date.</w:t>
      </w:r>
    </w:p>
    <w:p>
      <w:pPr>
        <w:spacing w:after="0" w:line="128" w:lineRule="exact"/>
        <w:rPr>
          <w:rFonts w:ascii="Courier New" w:cs="Courier New" w:eastAsia="Courier New" w:hAnsi="Courier New"/>
          <w:sz w:val="18"/>
          <w:szCs w:val="18"/>
          <w:color w:val="auto"/>
        </w:rPr>
      </w:pPr>
    </w:p>
    <w:p>
      <w:pPr>
        <w:ind w:left="1860" w:hanging="367"/>
        <w:spacing w:after="0"/>
        <w:tabs>
          <w:tab w:leader="none" w:pos="1860" w:val="left"/>
        </w:tabs>
        <w:numPr>
          <w:ilvl w:val="1"/>
          <w:numId w:val="5"/>
        </w:numPr>
        <w:rPr>
          <w:rFonts w:ascii="Courier New" w:cs="Courier New" w:eastAsia="Courier New" w:hAnsi="Courier New"/>
          <w:sz w:val="16"/>
          <w:szCs w:val="16"/>
          <w:color w:val="auto"/>
        </w:rPr>
      </w:pPr>
      <w:r>
        <w:rPr>
          <w:rFonts w:ascii="Arial" w:cs="Arial" w:eastAsia="Arial" w:hAnsi="Arial"/>
          <w:sz w:val="16"/>
          <w:szCs w:val="16"/>
          <w:color w:val="auto"/>
        </w:rPr>
        <w:t>Fulcrum plans to initiate enrollment in a Phase 1b clinical trial in sickle cell patients with FTX-6058 in the fourth quarter of 2021.</w:t>
      </w:r>
    </w:p>
    <w:p>
      <w:pPr>
        <w:spacing w:after="0" w:line="152" w:lineRule="exact"/>
        <w:rPr>
          <w:rFonts w:ascii="Courier New" w:cs="Courier New" w:eastAsia="Courier New" w:hAnsi="Courier New"/>
          <w:sz w:val="16"/>
          <w:szCs w:val="16"/>
          <w:color w:val="auto"/>
        </w:rPr>
      </w:pPr>
    </w:p>
    <w:p>
      <w:pPr>
        <w:ind w:left="1860" w:hanging="367"/>
        <w:spacing w:after="0"/>
        <w:tabs>
          <w:tab w:leader="none" w:pos="1860" w:val="left"/>
        </w:tabs>
        <w:numPr>
          <w:ilvl w:val="1"/>
          <w:numId w:val="5"/>
        </w:numPr>
        <w:rPr>
          <w:rFonts w:ascii="Courier New" w:cs="Courier New" w:eastAsia="Courier New" w:hAnsi="Courier New"/>
          <w:sz w:val="17"/>
          <w:szCs w:val="17"/>
          <w:color w:val="auto"/>
        </w:rPr>
      </w:pPr>
      <w:r>
        <w:rPr>
          <w:rFonts w:ascii="Arial" w:cs="Arial" w:eastAsia="Arial" w:hAnsi="Arial"/>
          <w:sz w:val="17"/>
          <w:szCs w:val="17"/>
          <w:color w:val="auto"/>
        </w:rPr>
        <w:t>Fulcrum plans to submit an IND in non-sickle cell disease hemoglobinopathies (e.g., beta thalassemia) by year-end 2021.</w:t>
      </w:r>
    </w:p>
    <w:p>
      <w:pPr>
        <w:spacing w:after="0" w:line="140" w:lineRule="exact"/>
        <w:rPr>
          <w:rFonts w:ascii="Courier New" w:cs="Courier New" w:eastAsia="Courier New" w:hAnsi="Courier New"/>
          <w:sz w:val="17"/>
          <w:szCs w:val="17"/>
          <w:color w:val="auto"/>
        </w:rPr>
      </w:pPr>
    </w:p>
    <w:p>
      <w:pPr>
        <w:ind w:left="1120" w:right="680" w:hanging="370"/>
        <w:spacing w:after="0" w:line="277"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Data reported in June from ReDUX4, a Phase 2b trial of losmapimod, a selective p38α/β mitogen activated protein kinase (MAPK) inhibitor, demonstrated slowed disease progression and improved function in FSHD.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1860" w:right="260" w:hanging="367"/>
        <w:spacing w:after="0" w:line="197" w:lineRule="auto"/>
        <w:tabs>
          <w:tab w:leader="none" w:pos="1860" w:val="left"/>
        </w:tabs>
        <w:numPr>
          <w:ilvl w:val="1"/>
          <w:numId w:val="6"/>
        </w:numPr>
        <w:rPr>
          <w:rFonts w:ascii="Courier New" w:cs="Courier New" w:eastAsia="Courier New" w:hAnsi="Courier New"/>
          <w:sz w:val="36"/>
          <w:szCs w:val="36"/>
          <w:color w:val="auto"/>
          <w:vertAlign w:val="superscript"/>
        </w:rPr>
      </w:pPr>
      <w:r>
        <w:rPr>
          <w:rFonts w:ascii="Arial" w:cs="Arial" w:eastAsia="Arial" w:hAnsi="Arial"/>
          <w:sz w:val="18"/>
          <w:szCs w:val="18"/>
          <w:color w:val="auto"/>
        </w:rPr>
        <w:t>Results showed clinically relevant and nominally statistically significant benefits versus placebo on multiple measures of structural and functional FSHD disease progression and patient reported outcomes at 48 weeks. Consistent with the previously reported interim analyses, the primary endpoint was not met.</w:t>
      </w:r>
    </w:p>
    <w:p>
      <w:pPr>
        <w:spacing w:after="0" w:line="94" w:lineRule="exact"/>
        <w:rPr>
          <w:rFonts w:ascii="Courier New" w:cs="Courier New" w:eastAsia="Courier New" w:hAnsi="Courier New"/>
          <w:sz w:val="36"/>
          <w:szCs w:val="36"/>
          <w:color w:val="auto"/>
          <w:vertAlign w:val="superscript"/>
        </w:rPr>
      </w:pPr>
    </w:p>
    <w:p>
      <w:pPr>
        <w:ind w:left="1860" w:hanging="367"/>
        <w:spacing w:after="0"/>
        <w:tabs>
          <w:tab w:leader="none" w:pos="1860" w:val="left"/>
        </w:tabs>
        <w:numPr>
          <w:ilvl w:val="1"/>
          <w:numId w:val="6"/>
        </w:numPr>
        <w:rPr>
          <w:rFonts w:ascii="Courier New" w:cs="Courier New" w:eastAsia="Courier New" w:hAnsi="Courier New"/>
          <w:sz w:val="18"/>
          <w:szCs w:val="18"/>
          <w:color w:val="auto"/>
        </w:rPr>
      </w:pPr>
      <w:r>
        <w:rPr>
          <w:rFonts w:ascii="Arial" w:cs="Arial" w:eastAsia="Arial" w:hAnsi="Arial"/>
          <w:sz w:val="18"/>
          <w:szCs w:val="18"/>
          <w:color w:val="auto"/>
        </w:rPr>
        <w:t>Losmapimod was generally well-tolerated, with no drug-related serious adverse events reported.</w:t>
      </w:r>
    </w:p>
    <w:p>
      <w:pPr>
        <w:spacing w:after="0" w:line="128" w:lineRule="exact"/>
        <w:rPr>
          <w:rFonts w:ascii="Courier New" w:cs="Courier New" w:eastAsia="Courier New" w:hAnsi="Courier New"/>
          <w:sz w:val="18"/>
          <w:szCs w:val="18"/>
          <w:color w:val="auto"/>
        </w:rPr>
      </w:pPr>
    </w:p>
    <w:p>
      <w:pPr>
        <w:ind w:left="1860" w:right="340" w:hanging="367"/>
        <w:spacing w:after="0" w:line="259" w:lineRule="auto"/>
        <w:tabs>
          <w:tab w:leader="none" w:pos="1860" w:val="left"/>
        </w:tabs>
        <w:numPr>
          <w:ilvl w:val="1"/>
          <w:numId w:val="6"/>
        </w:numPr>
        <w:rPr>
          <w:rFonts w:ascii="Courier New" w:cs="Courier New" w:eastAsia="Courier New" w:hAnsi="Courier New"/>
          <w:sz w:val="18"/>
          <w:szCs w:val="18"/>
          <w:color w:val="auto"/>
        </w:rPr>
      </w:pPr>
      <w:r>
        <w:rPr>
          <w:rFonts w:ascii="Arial" w:cs="Arial" w:eastAsia="Arial" w:hAnsi="Arial"/>
          <w:sz w:val="18"/>
          <w:szCs w:val="18"/>
          <w:color w:val="auto"/>
        </w:rPr>
        <w:t>Fulcrum plans to meet with health authorities, including the U.S. Food and Drug Administration (FDA), in the second half of 2021 to determine the regulatory path for losmapimod in FSHD.</w:t>
      </w:r>
    </w:p>
    <w:p>
      <w:pPr>
        <w:spacing w:after="0" w:line="76" w:lineRule="exact"/>
        <w:rPr>
          <w:rFonts w:ascii="Courier New" w:cs="Courier New" w:eastAsia="Courier New" w:hAnsi="Courier New"/>
          <w:sz w:val="18"/>
          <w:szCs w:val="18"/>
          <w:color w:val="auto"/>
        </w:rPr>
      </w:pPr>
    </w:p>
    <w:p>
      <w:pPr>
        <w:ind w:left="1120" w:right="180" w:hanging="370"/>
        <w:spacing w:after="0" w:line="263"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Presented the medicinal chemistry strategy for FTX-6058 at the First Time Disclosure Session at the American Chemical Society (ACS) Spring 2021 National Meeting. The presentation included initial pharmacokinetic data from the SAD cohort of the Phase 1 trial in healthy adult volunteers.</w:t>
      </w:r>
    </w:p>
    <w:p>
      <w:pPr>
        <w:spacing w:after="0" w:line="75" w:lineRule="exact"/>
        <w:rPr>
          <w:rFonts w:ascii="Arial" w:cs="Arial" w:eastAsia="Arial" w:hAnsi="Arial"/>
          <w:sz w:val="18"/>
          <w:szCs w:val="18"/>
          <w:color w:val="auto"/>
        </w:rPr>
      </w:pPr>
    </w:p>
    <w:p>
      <w:pPr>
        <w:ind w:left="1120" w:right="540" w:hanging="370"/>
        <w:spacing w:after="0" w:line="277"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Advanced FulcrumSeek discovery efforts and strategic collaborations with Acceleron and MyoKardia, a wholly owned subsidiary of Bristol-Myers Squibb Company.</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Mani Sundararajan, Ph.D., joined Fulcrum in July 2021 as Senior Vice President, Technical Operations.</w:t>
      </w:r>
    </w:p>
    <w:p>
      <w:pPr>
        <w:spacing w:after="0" w:line="144"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Christopher J. Morabito, M.D. joined Fulcrum in May 2021 as Chief Medical Officer.</w:t>
      </w:r>
    </w:p>
    <w:p>
      <w:pPr>
        <w:spacing w:after="0" w:line="144"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Judith A. Dunn, Ph.D. joined Fulcrum in April 2021 as President of Research and Development.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 Quarter 2021 Financial Results</w:t>
      </w:r>
    </w:p>
    <w:p>
      <w:pPr>
        <w:spacing w:after="0" w:line="117" w:lineRule="exact"/>
        <w:rPr>
          <w:sz w:val="20"/>
          <w:szCs w:val="20"/>
          <w:color w:val="auto"/>
        </w:rPr>
      </w:pPr>
    </w:p>
    <w:p>
      <w:pPr>
        <w:ind w:left="1140" w:right="100" w:hanging="376"/>
        <w:spacing w:after="0" w:line="314" w:lineRule="auto"/>
        <w:tabs>
          <w:tab w:leader="none" w:pos="114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Cash Position: </w:t>
      </w:r>
      <w:r>
        <w:rPr>
          <w:rFonts w:ascii="Arial" w:cs="Arial" w:eastAsia="Arial" w:hAnsi="Arial"/>
          <w:sz w:val="16"/>
          <w:szCs w:val="16"/>
          <w:color w:val="auto"/>
        </w:rPr>
        <w:t>As of June 30, 2021, cash, cash equivalents, and marketable securities were $125.6 million, as compared to $112.9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as of December 31, 2020. Based on current plans, the company expects that its existing cash, cash equivalents, and marketable securities will be sufficient to enable it to fund its operating expenses and capital expenditure requirements into the first quarter of 2023.</w:t>
      </w:r>
    </w:p>
    <w:p>
      <w:pPr>
        <w:spacing w:after="0" w:line="33" w:lineRule="exact"/>
        <w:rPr>
          <w:rFonts w:ascii="Arial" w:cs="Arial" w:eastAsia="Arial" w:hAnsi="Arial"/>
          <w:sz w:val="16"/>
          <w:szCs w:val="16"/>
          <w:color w:val="auto"/>
        </w:rPr>
      </w:pPr>
    </w:p>
    <w:p>
      <w:pPr>
        <w:ind w:left="1140" w:hanging="376"/>
        <w:spacing w:after="0" w:line="261"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Collaboration Revenue: </w:t>
      </w:r>
      <w:r>
        <w:rPr>
          <w:rFonts w:ascii="Arial" w:cs="Arial" w:eastAsia="Arial" w:hAnsi="Arial"/>
          <w:sz w:val="18"/>
          <w:szCs w:val="18"/>
          <w:color w:val="auto"/>
        </w:rPr>
        <w:t>Collaboration revenue was $4.4 million for the second quarter of 2021, as compared to $2.0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 quarter of 2020. The increase in collaboration revenue was due to the execution of the company’s collaboration and license agreement with MyoKardia in July 2020, as well as due to an increase in collaboration revenue associated with the company’s collaboration and license agreement with Acceleron.</w:t>
      </w:r>
    </w:p>
    <w:p>
      <w:pPr>
        <w:spacing w:after="0" w:line="71" w:lineRule="exact"/>
        <w:rPr>
          <w:rFonts w:ascii="Arial" w:cs="Arial" w:eastAsia="Arial" w:hAnsi="Arial"/>
          <w:sz w:val="18"/>
          <w:szCs w:val="18"/>
          <w:color w:val="auto"/>
        </w:rPr>
      </w:pPr>
    </w:p>
    <w:p>
      <w:pPr>
        <w:ind w:left="1140" w:right="100" w:hanging="376"/>
        <w:spacing w:after="0" w:line="266"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R&amp;D Expenses: </w:t>
      </w:r>
      <w:r>
        <w:rPr>
          <w:rFonts w:ascii="Arial" w:cs="Arial" w:eastAsia="Arial" w:hAnsi="Arial"/>
          <w:sz w:val="18"/>
          <w:szCs w:val="18"/>
          <w:color w:val="auto"/>
        </w:rPr>
        <w:t>Research and development expenses were $17.4 million for the second quarter of 2021, as compared to $12.8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second quarter of 2020. The increase of $4.6 million was primarily due to increased costs to support the company’s ongoing and planned clinical trials.</w:t>
      </w:r>
    </w:p>
    <w:p>
      <w:pPr>
        <w:spacing w:after="0" w:line="67" w:lineRule="exact"/>
        <w:rPr>
          <w:rFonts w:ascii="Arial" w:cs="Arial" w:eastAsia="Arial" w:hAnsi="Arial"/>
          <w:sz w:val="18"/>
          <w:szCs w:val="18"/>
          <w:color w:val="auto"/>
        </w:rPr>
      </w:pPr>
    </w:p>
    <w:p>
      <w:pPr>
        <w:jc w:val="both"/>
        <w:ind w:left="1140" w:hanging="376"/>
        <w:spacing w:after="0" w:line="314" w:lineRule="auto"/>
        <w:tabs>
          <w:tab w:leader="none" w:pos="114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G&amp;A Expenses: </w:t>
      </w:r>
      <w:r>
        <w:rPr>
          <w:rFonts w:ascii="Arial" w:cs="Arial" w:eastAsia="Arial" w:hAnsi="Arial"/>
          <w:sz w:val="16"/>
          <w:szCs w:val="16"/>
          <w:color w:val="auto"/>
        </w:rPr>
        <w:t>General and administrative expenses were $6.7 million for the second quarter of 2021, as compared to $5.1 million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second quarter of 2020. The increase of $1.6 million was primarily due to increased employee-compensation costs to support the growth of the organization, including increased stock-based compensation expense, as well as increased professional services costs.</w:t>
      </w:r>
    </w:p>
    <w:p>
      <w:pPr>
        <w:spacing w:after="0" w:line="33" w:lineRule="exact"/>
        <w:rPr>
          <w:rFonts w:ascii="Arial" w:cs="Arial" w:eastAsia="Arial" w:hAnsi="Arial"/>
          <w:sz w:val="16"/>
          <w:szCs w:val="16"/>
          <w:color w:val="auto"/>
        </w:rPr>
      </w:pPr>
    </w:p>
    <w:p>
      <w:pPr>
        <w:ind w:left="1140" w:right="240" w:hanging="376"/>
        <w:spacing w:after="0" w:line="282"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was $19.6 million for the second quarter of 2021, as compared to a net loss of $15.7 million for the second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2020.</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and Webcast</w:t>
      </w:r>
    </w:p>
    <w:p>
      <w:pPr>
        <w:spacing w:after="0" w:line="12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 xml:space="preserve">Fulcrum Therapeutics, Inc. will host a conference call and webcast today at 8:00 a.m. ET to discuss the Company’s second quarter 2021 recent business highlights and financial results. The webcast will be accessible through the Investor Relations section of Fulcrum’s website at </w:t>
      </w:r>
      <w:r>
        <w:rPr>
          <w:rFonts w:ascii="Arial" w:cs="Arial" w:eastAsia="Arial" w:hAnsi="Arial"/>
          <w:sz w:val="18"/>
          <w:szCs w:val="18"/>
          <w:u w:val="single" w:color="auto"/>
          <w:color w:val="auto"/>
        </w:rPr>
        <w:t>www.fulcrumtx.com</w:t>
      </w:r>
      <w:r>
        <w:rPr>
          <w:rFonts w:ascii="Arial" w:cs="Arial" w:eastAsia="Arial" w:hAnsi="Arial"/>
          <w:sz w:val="18"/>
          <w:szCs w:val="18"/>
          <w:color w:val="auto"/>
        </w:rPr>
        <w:t>. Following the live webcast, an archived replay will also be available.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Dial-in Number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U.S./Canada Dial-in Number: 800-527-6973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470-495-9162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3291056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Replay Dial-in Number: 855-859-2056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Replay International Dial-in Number: 404-537-3406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3291056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FSHD</w:t>
      </w:r>
    </w:p>
    <w:p>
      <w:pPr>
        <w:spacing w:after="0" w:line="121"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FSHD is characterized by progressive skeletal muscle loss that initially causes weakness in muscles in the face, shoulders, arms and trunk, and progresses to weakness throughout the lower body. Skeletal muscle weakness results in significant physical limitations, including an inability to smile and difficulty using arms for activities, with many patients ultimately becoming dependent upon the use of a wheelchair for daily mobility.</w:t>
      </w:r>
    </w:p>
    <w:p>
      <w:pPr>
        <w:spacing w:after="0" w:line="16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FSHD is caused by mis-expression of DUX4 in skeletal muscle, resulting in the presence of DUX4 proteins that are toxic to muscle tissue. Normally, DUX4-driven gene expression is limited to early embryonic development, after which time the DUX4 gene is silenced. In people with FSHD, the DUX4 gene is turned “on” as a result of a genetic mutation. The result is death of muscle and its replacement by fat, leading to skeletal muscle weakness and progressive disability. There are no approved therapies for FSHD, one of the most common forms of muscular dystrophy, with an estimated patient population of 16,000 to 38,000 in the United States alone.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Losmapimod</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Losmapimod is a selective p38α/β mitogen activated protein kinase (MAPK) inhibitor that was exclusively in-licensed from GSK by Fulcrum Therapeutics following Fulcrum’s discovery of the role of p38α/β inhibitors in the reduction of DUX4 expression and an extensive review of known compounds. Utilizing its internal product engine, Fulcrum discovered that inhibition of p38α/β reduced expression of the DUX4 gene in muscle cells derived from patients with FSHD. Losmapimod has been evaluated in more than 3,600 subjects in clinical research across multiple indications, including in several Phase 2 trials and a large Phase 3 trial in acute myocardial infarction. No safety signals were attributed to losmapimod in any of these trials. In 2020, the company received U.S. and European Orphan Drug Designation for losmapimod for the treatment of FSHD. Fulcrum is currently conducting Phase 2 trials investigating the safety, tolerability, and efficacy of losmapimod to treat the root cause of FSHD.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Sickle Cell Disease</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Sickle cell disease (SCD) is a genetic disorder of the red blood cells caused by a mutation in the HBB gene. This gene encodes a protein that is a key component of hemoglobin, a protein complex whose function is to transport oxygen in the body. The result of the mutation is less efficient oxygen transport and the formation of red blood cells that have a sickle shape. These sickle shaped cells are much less flexible than healthy cells and can block blood vessels or rupture cells. SCD patients typically suffer from serious clinical consequences, which may include anemia, pain, infections, stroke, heart disease, pulmonary hypertension, kidney failure, liver disease and reduced life expectancy.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FTX-6058</w:t>
      </w:r>
    </w:p>
    <w:p>
      <w:pPr>
        <w:spacing w:after="0" w:line="12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FTX-6058 is a highly potent small molecule inhibitor of Embryonic Ectoderm Development (EED) capable of inducing robust HbF protein expression in cell and murine models. Fulcrum believes the pharmacokinetics and human dose simulations support that FTX-6058 may be given as a once daily oral compound. The validation of EED as a target for sickle cell disease and the discovery of FTX-6058 as a novel HbF-inducing small molecule were conducted using Fulcrum’s proprietary product engine. Preclinical data with FTX-6058 showed an increase in HbF levels up to approximately 30% of total hemoglobin. Fulcrum is conducting a Phase 1 trial with FTX-6058 in healthy adult volunteers.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Fulcrum Therapeutics</w:t>
      </w:r>
    </w:p>
    <w:p>
      <w:pPr>
        <w:spacing w:after="0" w:line="12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Fulcrum Therapeutics is a clinical-stage biopharmaceutical company focused on improving the lives of patients with genetically defined rare diseases in areas of high unmet medical need. Fulcrum’s proprietary product engine, FulcrumSeek, identifies drug targets which can modulate gene expression to treat the known root cause of gene mis-expression. The company has advanced losmapimod to Phase 2 clinical development for the treatment of facioscapulohumeral muscular dystrophy (FSHD). Fulcrum has also advanced FTX-6058, a small molecule designed to increase expression of fetal hemoglobin for the treatment of sickle cell disease and beta-thalassemia into Phase 1 clinical development.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Please visit www.fulcrumtx.com.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that involve substantial risks and uncertainties, including statements regarding the development status of the Company’s product candidates, the potential advantages and therapeutic potential of Fulcrum’s product candidates, initiation and enrollment of clinical trials and availability of clinical trial data, the Company’s planned meetings with regulatory agencies, the Company’s ability to submit an IND by the end of 2021 and the Company’s ability to submit two INDs by the end of the first quarter of 2023, and the Company’s ability to fund its operations with cash on hand. All statements, other than statements of historical facts, contained in this press release, including statements regarding the Company’s strategy, future operations, future financial position, prospects, plans and objectives of management,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Fulcrum’s ability to obtain and maintain necessary approvals from the FDA and other regulatory authorities; continue to advance its product candidates in clinical trials; initiate and enroll clinical trials on the timeline expected or at all; correctly estimate the potential patient population and/or market for the Company’s product candidates; replicate in clinical trials positive results found in preclinical studies and/or earlier-stage clinical trials of losmapimod, FTX-6058 and its other product candidates; advance the development of its product candidates under the timelines it anticipates in current and future clinical trials; obtain, maintain or protect intellectual property rights related to its product candidates; manage expenses; and raise the substantial additional capital needed to achieve its business objectives. For a discussion of other risks and uncertainties, and other important factors, any of which could cause the Company’s actual results to differ from those contained in the forward-looking statements, see the “Risk Factors” section, as well as discussions of potential risks, uncertainties and other important factors, in the Company’s most recent filings with the Securities and Exchange Commission. In addition, the forward-looking statements included in this press release represent the Company’s views as of the date hereof and should not be relied upon as representing the Company’s views as of any date subsequent to the date hereof. The Company anticipates that subsequent events and developments will cause the Company’s views to change. However, while the Company may elect to update these forward-looking statements at some point in the future, the Company specifically disclaims any obligation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178435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Balance Sheet Data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right"/>
              <w:ind w:right="436"/>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marketable securities</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125,550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112,914</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106,001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92,785</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137,879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129,577</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110,890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95,181</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9512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40"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define working capital as current assets minus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5"/>
          </w:tcPr>
          <w:p>
            <w:pPr>
              <w:ind w:lef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17,378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33,712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12,183</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24,063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17,924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45,895</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(19,682)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(15,924)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(36,725)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(34,720)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(19,648)</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(15,685)</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(36,647)</w:t>
            </w:r>
          </w:p>
        </w:tc>
        <w:tc>
          <w:tcPr>
            <w:tcW w:w="2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(34,137)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(0.66)</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32,076</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Christi Waarich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cwaarich@fulcrumtx.com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617-651-8664</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Stephanie Ascher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Stern Investor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stephanie.ascher@sternir.com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212-362-1200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Kaitlin Gallagher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Berry &amp; Company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kgallagher@berrypr.com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212-253-8881</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endash "/>
      <w:numFmt w:val="bullet"/>
      <w:start w:val="1"/>
    </w:lvl>
    <w:lvl w:ilvl="1">
      <w:lvlJc w:val="left"/>
      <w:lvlText w:val="\endash "/>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o"/>
      <w:numFmt w:val="bullet"/>
      <w:start w:val="1"/>
    </w:lvl>
  </w:abstractNum>
  <w:abstractNum w:abstractNumId="5">
    <w:nsid w:val="41B71EFB"/>
    <w:multiLevelType w:val="hybridMultilevel"/>
    <w:lvl w:ilvl="0">
      <w:lvlJc w:val="left"/>
      <w:lvlText w:val="•"/>
      <w:numFmt w:val="bullet"/>
      <w:start w:val="1"/>
    </w:lvl>
    <w:lvl w:ilvl="1">
      <w:lvlJc w:val="left"/>
      <w:lvlText w:val="o"/>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2021-08-10T06:02:46Z</dcterms:created>
  <dcterms:modified xsi:type="dcterms:W3CDTF">2021-08-10T06:02:46Z</dcterms:modified>
</cp:coreProperties>
</file>