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May 6, 2021, Fulcrum Therapeutics, Inc. (the “Company”) announced its financial results for the quarter ended March 31, 2021.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May 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60" w:type="dxa"/>
            <w:vAlign w:val="bottom"/>
            <w:gridSpan w:val="2"/>
          </w:tcPr>
          <w:p>
            <w:pPr>
              <w:ind w:left="2420"/>
              <w:spacing w:after="0"/>
              <w:rPr>
                <w:sz w:val="20"/>
                <w:szCs w:val="20"/>
                <w:color w:val="auto"/>
              </w:rPr>
            </w:pPr>
            <w:r>
              <w:rPr>
                <w:rFonts w:ascii="Arial" w:cs="Arial" w:eastAsia="Arial" w:hAnsi="Arial"/>
                <w:sz w:val="18"/>
                <w:szCs w:val="18"/>
                <w:color w:val="auto"/>
              </w:rPr>
              <w:t>FULCRUM THERAPEUTICS,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Date: May 6, 2021</w:t>
            </w:r>
          </w:p>
        </w:tc>
        <w:tc>
          <w:tcPr>
            <w:tcW w:w="7460" w:type="dxa"/>
            <w:vAlign w:val="bottom"/>
            <w:gridSpan w:val="2"/>
          </w:tcPr>
          <w:p>
            <w:pPr>
              <w:ind w:left="2420"/>
              <w:spacing w:after="0"/>
              <w:rPr>
                <w:sz w:val="20"/>
                <w:szCs w:val="20"/>
                <w:color w:val="auto"/>
              </w:rPr>
            </w:pPr>
            <w:r>
              <w:rPr>
                <w:rFonts w:ascii="Arial" w:cs="Arial" w:eastAsia="Arial" w:hAnsi="Arial"/>
                <w:sz w:val="18"/>
                <w:szCs w:val="18"/>
                <w:color w:val="auto"/>
              </w:rPr>
              <w:t>By: /s/ Bryan Stuart</w:t>
            </w:r>
          </w:p>
        </w:tc>
      </w:tr>
      <w:tr>
        <w:trPr>
          <w:trHeight w:val="195"/>
        </w:trPr>
        <w:tc>
          <w:tcPr>
            <w:tcW w:w="3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Bryan Stuart</w:t>
            </w:r>
          </w:p>
        </w:tc>
      </w:tr>
      <w:tr>
        <w:trPr>
          <w:trHeight w:val="230"/>
        </w:trPr>
        <w:tc>
          <w:tcPr>
            <w:tcW w:w="3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6306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Quarter 2021 Financial Results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On track to present data from Phase 2b ReDUX4 trial with losmapimod in facioscapulohumeral muscular dystrophy (FSHD) at virtual FSHD</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 xml:space="preserve">International Research Congress in June 2021 </w:t>
      </w:r>
      <w:r>
        <w:rPr>
          <w:rFonts w:ascii="Arial" w:cs="Arial" w:eastAsia="Arial" w:hAnsi="Arial"/>
          <w:sz w:val="18"/>
          <w:szCs w:val="18"/>
          <w:b w:val="1"/>
          <w:bCs w:val="1"/>
          <w:color w:val="auto"/>
        </w:rPr>
        <w:t>–</w:t>
      </w:r>
    </w:p>
    <w:p>
      <w:pPr>
        <w:spacing w:after="0" w:line="20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track to report data from Phase 1 trial in healthy adult volunteers with FTX-6058 for sickle cell disease in mid-2021</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CAMBRIDGE, Mass. – May 6, 2021 </w:t>
      </w:r>
      <w:r>
        <w:rPr>
          <w:rFonts w:ascii="Arial" w:cs="Arial" w:eastAsia="Arial" w:hAnsi="Arial"/>
          <w:sz w:val="16"/>
          <w:szCs w:val="16"/>
          <w:color w:val="auto"/>
        </w:rPr>
        <w:t>– Fulcrum Therapeutics, Inc. (Nasdaq: FULC), a clinical-stage biopharmaceutical company focused on improving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lives of patients with genetically defined rare diseases, today provided a business update and reported financial results for the first quarter of 2021.</w:t>
      </w:r>
    </w:p>
    <w:p>
      <w:pPr>
        <w:spacing w:after="0" w:line="1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“Fulcrum has continued to make great progress in advancing our business and progressing our pipeline in the first quarter,” said Bryan E. Stuart, president and chief executive officer. “We are on track to report data from ReDUX4 in FSHD later this quarter. Our Phase 1 trial in healthy adult volunteers with FTX-6058 for sickle cell disease continues to move forward with the initiation of the multiple ascending dose cohort. Our team continues to optimize the potential of FulcrumSeek™, our proprietary product engine, driven by our focus on the patient and our ability to rapidly identify novel, high quality targets that modulate the root cause of genetically defined rare diseases. In addition, we have expanded our leadership team to include Dr. Judith Dunn, President of Research and Development, and today announced that Dr. Chris Morabito has been appointed Chief Medical Officer. With these important advances and cash runway that takes us into the fourth quarter of 2022, we believe we are well positioned to continue to build on our momentum to bring important therapies to patients with genetically defined rare diseases.”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21" w:lineRule="exact"/>
        <w:rPr>
          <w:sz w:val="20"/>
          <w:szCs w:val="20"/>
          <w:color w:val="auto"/>
        </w:rPr>
      </w:pPr>
    </w:p>
    <w:p>
      <w:pPr>
        <w:ind w:left="1120" w:right="50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track to present data from ReDUX4, a Phase 2b trial of losmapimod, a selective p38α/β mitogen activated protein kinase (MAPK) inhibitor, in FSHD at the virtual FSHD International Research Congress taking place June 24-25, 2021.</w:t>
      </w:r>
    </w:p>
    <w:p>
      <w:pPr>
        <w:spacing w:after="0" w:line="62" w:lineRule="exact"/>
        <w:rPr>
          <w:sz w:val="20"/>
          <w:szCs w:val="20"/>
          <w:color w:val="auto"/>
        </w:rPr>
      </w:pPr>
    </w:p>
    <w:p>
      <w:pPr>
        <w:ind w:left="1860" w:right="20" w:hanging="367"/>
        <w:spacing w:after="0" w:line="252"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Data will include the primary endpoint, reduction from baseline of DUX4-driven gene expression, as well as a pre-specified sensitivity analysis assessing biopsies with the highest pre-treatment level of DUX4-driven gene expression. Additional data to be reported include secondary endpoints evaluating disease progression via skeletal muscle MRI, exploratory endpoints assessing muscle function measures and patient reported outcomes.</w:t>
      </w:r>
    </w:p>
    <w:p>
      <w:pPr>
        <w:spacing w:after="0" w:line="85"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Continued evaluation of the Phase 2 Open Label Study.</w:t>
      </w:r>
    </w:p>
    <w:p>
      <w:pPr>
        <w:spacing w:after="0" w:line="128" w:lineRule="exact"/>
        <w:rPr>
          <w:rFonts w:ascii="Courier New" w:cs="Courier New" w:eastAsia="Courier New" w:hAnsi="Courier New"/>
          <w:sz w:val="18"/>
          <w:szCs w:val="18"/>
          <w:color w:val="auto"/>
        </w:rPr>
      </w:pPr>
    </w:p>
    <w:p>
      <w:pPr>
        <w:ind w:left="1120" w:right="32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track to report data from the Phase 1 trial in healthy adult volunteers with FTX-6058 in development for sickle cell disease (SCD) in mid-2021, and to begin dosing patients with SCD in a clinical trial by year end.</w:t>
      </w:r>
    </w:p>
    <w:p>
      <w:pPr>
        <w:spacing w:after="0" w:line="62" w:lineRule="exact"/>
        <w:rPr>
          <w:rFonts w:ascii="Arial" w:cs="Arial" w:eastAsia="Arial" w:hAnsi="Arial"/>
          <w:sz w:val="18"/>
          <w:szCs w:val="18"/>
          <w:color w:val="auto"/>
        </w:rPr>
      </w:pPr>
    </w:p>
    <w:p>
      <w:pPr>
        <w:ind w:left="1860" w:right="220" w:hanging="367"/>
        <w:spacing w:after="0" w:line="254"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FTX-6058, a highly potent small molecule EED inhibitor, is designed to induce expression of fetal hemoglobin (HbF) in red blood cells following oral administration to compensate for the mutated adult hemoglobin associated with hemoglobinopathies, including SCD and beta-thalassemia.</w:t>
      </w:r>
    </w:p>
    <w:p>
      <w:pPr>
        <w:spacing w:after="0" w:line="81" w:lineRule="exact"/>
        <w:rPr>
          <w:rFonts w:ascii="Courier New" w:cs="Courier New" w:eastAsia="Courier New" w:hAnsi="Courier New"/>
          <w:sz w:val="18"/>
          <w:szCs w:val="18"/>
          <w:color w:val="auto"/>
        </w:rPr>
      </w:pPr>
    </w:p>
    <w:p>
      <w:pPr>
        <w:jc w:val="both"/>
        <w:ind w:left="1860" w:right="140" w:hanging="367"/>
        <w:spacing w:after="0" w:line="323" w:lineRule="auto"/>
        <w:tabs>
          <w:tab w:leader="none" w:pos="186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Preclinical data generated in CD34+ cells from healthy and SCD donors with FTX-6058 showed an increase in HbF levels up to approximately 30% of total hemoglobin, indicating the potential to have a significant impact on patients with sickle cell disease.</w:t>
      </w:r>
    </w:p>
    <w:p>
      <w:pPr>
        <w:spacing w:after="0" w:line="25" w:lineRule="exact"/>
        <w:rPr>
          <w:rFonts w:ascii="Courier New" w:cs="Courier New" w:eastAsia="Courier New" w:hAnsi="Courier New"/>
          <w:sz w:val="16"/>
          <w:szCs w:val="16"/>
          <w:color w:val="auto"/>
        </w:rPr>
      </w:pPr>
    </w:p>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US patent 10,973,805 issued, providing composition of matter coverage for FTX-6058 until 2040.</w:t>
      </w:r>
    </w:p>
    <w:p>
      <w:pPr>
        <w:spacing w:after="0" w:line="128" w:lineRule="exact"/>
        <w:rPr>
          <w:rFonts w:ascii="Courier New" w:cs="Courier New" w:eastAsia="Courier New" w:hAnsi="Courier New"/>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scientific meeting presentations</w:t>
      </w:r>
    </w:p>
    <w:p>
      <w:pPr>
        <w:spacing w:after="0" w:line="144" w:lineRule="exact"/>
        <w:rPr>
          <w:rFonts w:ascii="Arial" w:cs="Arial" w:eastAsia="Arial" w:hAnsi="Arial"/>
          <w:sz w:val="18"/>
          <w:szCs w:val="18"/>
          <w:color w:val="auto"/>
        </w:rPr>
      </w:pPr>
    </w:p>
    <w:p>
      <w:pPr>
        <w:ind w:left="1860" w:right="140" w:hanging="367"/>
        <w:spacing w:after="0" w:line="252"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Presented new data related to the use of imaging biomarkers and clinical outcome assessments for FSHD at the virtual Muscular Dystrophy Association Clinical and Scientific Conference. Presentations included development of the whole-body musculoskeletal MRI (WB-MSK-MRI) protocol. Data showed that WB-MSK-MRI can capture heterogeneity and provide important information about disease severity. Meaningful composite MRI measurements demonstrated correlation with relevant FSHD clinical endpoints.</w:t>
      </w:r>
    </w:p>
    <w:p>
      <w:pPr>
        <w:spacing w:after="0" w:line="84" w:lineRule="exact"/>
        <w:rPr>
          <w:rFonts w:ascii="Courier New" w:cs="Courier New" w:eastAsia="Courier New" w:hAnsi="Courier New"/>
          <w:sz w:val="18"/>
          <w:szCs w:val="18"/>
          <w:color w:val="auto"/>
        </w:rPr>
      </w:pPr>
    </w:p>
    <w:p>
      <w:pPr>
        <w:ind w:left="1860" w:right="80" w:hanging="367"/>
        <w:spacing w:after="0" w:line="254" w:lineRule="auto"/>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Presented the medicinal chemistry strategy for FTX-6058 at the First Time Disclosure Session at the American Chemical Society (ACS) Spring 2021 National Meeting. The presentation included initial pharmacokinetic data from the single ascending dose cohort of the Phase 1 trial in healthy adult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120" w:right="54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FulcrumSeek discovery efforts and strategic collaborations with Acceleron and MyoKardia, a wholly owned subsidiary of Bristol-Myers Squibb Company.</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management updates:</w:t>
      </w:r>
    </w:p>
    <w:p>
      <w:pPr>
        <w:spacing w:after="0" w:line="144" w:lineRule="exact"/>
        <w:rPr>
          <w:sz w:val="20"/>
          <w:szCs w:val="20"/>
          <w:color w:val="auto"/>
        </w:rPr>
      </w:pPr>
    </w:p>
    <w:p>
      <w:pPr>
        <w:ind w:left="1860" w:right="400" w:hanging="367"/>
        <w:spacing w:after="0" w:line="254" w:lineRule="auto"/>
        <w:tabs>
          <w:tab w:leader="none" w:pos="186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CSO transition: </w:t>
      </w:r>
      <w:r>
        <w:rPr>
          <w:rFonts w:ascii="Arial" w:cs="Arial" w:eastAsia="Arial" w:hAnsi="Arial"/>
          <w:sz w:val="18"/>
          <w:szCs w:val="18"/>
          <w:color w:val="auto"/>
        </w:rPr>
        <w:t>On January 19, 2021, Fulcrum announced that Christopher Moxham, Ph.D. was promoted to chief scientific</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Owen Wallace, Ph.D. stepped down from his role as chief scientific officer, each effective February 5, 2021. Dr. Wallace was appointed to Fulcrum’s Scientific Advisory Board.</w:t>
      </w:r>
    </w:p>
    <w:p>
      <w:pPr>
        <w:spacing w:after="0" w:line="81" w:lineRule="exact"/>
        <w:rPr>
          <w:rFonts w:ascii="Courier New" w:cs="Courier New" w:eastAsia="Courier New" w:hAnsi="Courier New"/>
          <w:sz w:val="18"/>
          <w:szCs w:val="18"/>
          <w:color w:val="auto"/>
        </w:rPr>
      </w:pPr>
    </w:p>
    <w:p>
      <w:pPr>
        <w:ind w:left="1860" w:right="80" w:hanging="367"/>
        <w:spacing w:after="0" w:line="300" w:lineRule="auto"/>
        <w:tabs>
          <w:tab w:leader="none" w:pos="1860" w:val="left"/>
        </w:tabs>
        <w:numPr>
          <w:ilvl w:val="0"/>
          <w:numId w:val="7"/>
        </w:numPr>
        <w:rPr>
          <w:rFonts w:ascii="Courier New" w:cs="Courier New" w:eastAsia="Courier New" w:hAnsi="Courier New"/>
          <w:sz w:val="16"/>
          <w:szCs w:val="16"/>
          <w:color w:val="auto"/>
        </w:rPr>
      </w:pPr>
      <w:r>
        <w:rPr>
          <w:rFonts w:ascii="Arial" w:cs="Arial" w:eastAsia="Arial" w:hAnsi="Arial"/>
          <w:sz w:val="16"/>
          <w:szCs w:val="16"/>
          <w:i w:val="1"/>
          <w:iCs w:val="1"/>
          <w:color w:val="auto"/>
        </w:rPr>
        <w:t xml:space="preserve">CEO transition: </w:t>
      </w:r>
      <w:r>
        <w:rPr>
          <w:rFonts w:ascii="Arial" w:cs="Arial" w:eastAsia="Arial" w:hAnsi="Arial"/>
          <w:sz w:val="16"/>
          <w:szCs w:val="16"/>
          <w:color w:val="auto"/>
        </w:rPr>
        <w:t>On March 4, 2021, Fulcrum announced that Bryan E. Stuart was promoted to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was appointed to Fulcrum’s Board of Directors following the retirement of Robert J. Gould, Ph.D., each effective March 31, 2021. Dr. Gould continues to serve on Fulcrum’s Board and was appointed to the Scientific &amp; Technology committee.</w:t>
      </w:r>
    </w:p>
    <w:p>
      <w:pPr>
        <w:spacing w:after="0" w:line="48" w:lineRule="exact"/>
        <w:rPr>
          <w:rFonts w:ascii="Courier New" w:cs="Courier New" w:eastAsia="Courier New" w:hAnsi="Courier New"/>
          <w:sz w:val="16"/>
          <w:szCs w:val="16"/>
          <w:color w:val="auto"/>
        </w:rPr>
      </w:pPr>
    </w:p>
    <w:p>
      <w:pPr>
        <w:ind w:left="1860" w:right="260" w:hanging="367"/>
        <w:spacing w:after="0" w:line="259" w:lineRule="auto"/>
        <w:tabs>
          <w:tab w:leader="none" w:pos="186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President R&amp;D: </w:t>
      </w:r>
      <w:r>
        <w:rPr>
          <w:rFonts w:ascii="Arial" w:cs="Arial" w:eastAsia="Arial" w:hAnsi="Arial"/>
          <w:sz w:val="18"/>
          <w:szCs w:val="18"/>
          <w:color w:val="auto"/>
        </w:rPr>
        <w:t>On March 24, 2021, Fulcrum announced that Judith A. Dunn, Ph.D. was appointed President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effective April 1, 2021.</w:t>
      </w:r>
    </w:p>
    <w:p>
      <w:pPr>
        <w:spacing w:after="0" w:line="76" w:lineRule="exact"/>
        <w:rPr>
          <w:rFonts w:ascii="Courier New" w:cs="Courier New" w:eastAsia="Courier New" w:hAnsi="Courier New"/>
          <w:sz w:val="18"/>
          <w:szCs w:val="18"/>
          <w:color w:val="auto"/>
        </w:rPr>
      </w:pPr>
    </w:p>
    <w:p>
      <w:pPr>
        <w:ind w:left="1860" w:right="560" w:hanging="367"/>
        <w:spacing w:after="0" w:line="259" w:lineRule="auto"/>
        <w:tabs>
          <w:tab w:leader="none" w:pos="186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Chief Medical Officer: </w:t>
      </w:r>
      <w:r>
        <w:rPr>
          <w:rFonts w:ascii="Arial" w:cs="Arial" w:eastAsia="Arial" w:hAnsi="Arial"/>
          <w:sz w:val="18"/>
          <w:szCs w:val="18"/>
          <w:color w:val="auto"/>
        </w:rPr>
        <w:t>On May 6, 2021, Fulcrum announced that Christopher J. Morabito, M.D. has been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Officer, effective May 10,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2021 Financial Results</w:t>
      </w:r>
    </w:p>
    <w:p>
      <w:pPr>
        <w:spacing w:after="0" w:line="117" w:lineRule="exact"/>
        <w:rPr>
          <w:sz w:val="20"/>
          <w:szCs w:val="20"/>
          <w:color w:val="auto"/>
        </w:rPr>
      </w:pPr>
    </w:p>
    <w:p>
      <w:pPr>
        <w:ind w:left="1140" w:hanging="37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March 31, 2021, cash, cash equivalents, and marketable securities were $143.9 million, as compared to</w:t>
      </w:r>
    </w:p>
    <w:p>
      <w:pPr>
        <w:spacing w:after="0" w:line="27" w:lineRule="exact"/>
        <w:rPr>
          <w:rFonts w:ascii="Arial" w:cs="Arial" w:eastAsia="Arial" w:hAnsi="Arial"/>
          <w:sz w:val="18"/>
          <w:szCs w:val="18"/>
          <w:color w:val="auto"/>
        </w:rPr>
      </w:pPr>
    </w:p>
    <w:p>
      <w:pPr>
        <w:ind w:left="1140" w:right="480"/>
        <w:spacing w:after="0" w:line="255" w:lineRule="auto"/>
        <w:rPr>
          <w:rFonts w:ascii="Arial" w:cs="Arial" w:eastAsia="Arial" w:hAnsi="Arial"/>
          <w:sz w:val="18"/>
          <w:szCs w:val="18"/>
          <w:color w:val="auto"/>
        </w:rPr>
      </w:pPr>
      <w:r>
        <w:rPr>
          <w:rFonts w:ascii="Arial" w:cs="Arial" w:eastAsia="Arial" w:hAnsi="Arial"/>
          <w:sz w:val="18"/>
          <w:szCs w:val="18"/>
          <w:color w:val="auto"/>
        </w:rPr>
        <w:t>$112.9 million as of December 31, 2020. Based on current plans, the company expects that its existing cash, cash equivalents, and marketable securities will be sufficient to enable it to fund its operating expenses and capital expenditure requirements into the fourth quarter of 2022.</w:t>
      </w:r>
    </w:p>
    <w:p>
      <w:pPr>
        <w:spacing w:after="0" w:line="77" w:lineRule="exact"/>
        <w:rPr>
          <w:rFonts w:ascii="Arial" w:cs="Arial" w:eastAsia="Arial" w:hAnsi="Arial"/>
          <w:sz w:val="18"/>
          <w:szCs w:val="18"/>
          <w:color w:val="auto"/>
        </w:rPr>
      </w:pPr>
    </w:p>
    <w:p>
      <w:pPr>
        <w:ind w:left="1140" w:right="60" w:hanging="376"/>
        <w:spacing w:after="0" w:line="26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Revenues: </w:t>
      </w:r>
      <w:r>
        <w:rPr>
          <w:rFonts w:ascii="Arial" w:cs="Arial" w:eastAsia="Arial" w:hAnsi="Arial"/>
          <w:sz w:val="18"/>
          <w:szCs w:val="18"/>
          <w:color w:val="auto"/>
        </w:rPr>
        <w:t>Collaboration revenue was $4.8 million for the first quarter of 2021, as compared to $0.8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The increase in collaboration revenue was due to the execution of the company’s collaboration and license agreement with MyoKardia in July 2020, as well as due to an increase in collaboration revenue associated with the company’s collaboration and license agreement with Acceleron.</w:t>
      </w:r>
    </w:p>
    <w:p>
      <w:pPr>
        <w:spacing w:after="0" w:line="71" w:lineRule="exact"/>
        <w:rPr>
          <w:rFonts w:ascii="Arial" w:cs="Arial" w:eastAsia="Arial" w:hAnsi="Arial"/>
          <w:sz w:val="18"/>
          <w:szCs w:val="18"/>
          <w:color w:val="auto"/>
        </w:rPr>
      </w:pPr>
    </w:p>
    <w:p>
      <w:pPr>
        <w:ind w:left="1140" w:right="40" w:hanging="376"/>
        <w:spacing w:after="0" w:line="266"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$16.3 million for the first quarter of 2021, as compared to $14.5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2020. The increase of $1.8 million was primarily due to increased costs to support the company’s ongoing and planned clinical trials.</w:t>
      </w:r>
    </w:p>
    <w:p>
      <w:pPr>
        <w:spacing w:after="0" w:line="67" w:lineRule="exact"/>
        <w:rPr>
          <w:rFonts w:ascii="Arial" w:cs="Arial" w:eastAsia="Arial" w:hAnsi="Arial"/>
          <w:sz w:val="18"/>
          <w:szCs w:val="18"/>
          <w:color w:val="auto"/>
        </w:rPr>
      </w:pPr>
    </w:p>
    <w:p>
      <w:pPr>
        <w:ind w:left="1140" w:hanging="376"/>
        <w:spacing w:after="0" w:line="266"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$5.5 million for the first quarter of 2021, as compared to $5.1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2020. The increase of $0.4 million was primarily due to increased employee-compensation costs to support the growth of the organization, including increased stock-based compensation expense.</w:t>
      </w:r>
    </w:p>
    <w:p>
      <w:pPr>
        <w:spacing w:after="0" w:line="67"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$17.0 million for the first quarter of 2021, as compared to a net loss of $18.5 million for the first quarter of 2020.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first quarter 2021 recent business highlights and financial results.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5767008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5767008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trials investigating the safety, tolerability, and efficacy of losmapimod to treat the root cause of FSHD.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FTX-6058 is a highly potent small molecule inhibitor of Embryonic Ectoderm Development (EED) capable of inducing robust HbF protein expression in cell and murine models. Fulcrum believes the pharmacokinetics and human dose simulations support that FTX-6058 may be given as a once daily oral compound. The validation of EED as a target for sickle cell disease and the discovery of FTX-6058 as a novel HbF-inducing small molecule were conducted using Fulcrum’s proprietary product engine. Preclinical data with FTX-6058 showed an increase in HbF levels up to approximately 30% of total hemoglobin. Fulcrum is conducting a Phase 1 trial with FTX-6058 in healthy adult volunteers.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Fulcrum’s product candidates, initiation and enrollment of clinical trials and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124,356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92,785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127,754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95,181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(17,043)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(16,999)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endash "/>
      <w:numFmt w:val="bullet"/>
      <w:start w:val="1"/>
    </w:lvl>
    <w:lvl w:ilvl="1">
      <w:lvlJc w:val="left"/>
      <w:lvlText w:val="\en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2021-05-06T06:07:53Z</dcterms:created>
  <dcterms:modified xsi:type="dcterms:W3CDTF">2021-05-06T06:07:53Z</dcterms:modified>
</cp:coreProperties>
</file>