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Section 32 Fund 2,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4"/>
                <w:szCs w:val="14"/>
                <w:color w:val="auto"/>
              </w:rPr>
              <w:t>(Last)</w:t>
            </w:r>
          </w:p>
        </w:tc>
        <w:tc>
          <w:tcPr>
            <w:tcW w:w="740" w:type="dxa"/>
            <w:vAlign w:val="bottom"/>
          </w:tcPr>
          <w:p>
            <w:pPr>
              <w:ind w:left="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2033 SAN ELIJO AVENUE, #565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rPr>
              <w:t>CARDIFF</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92007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w w:val="98"/>
              </w:rPr>
              <w:t>BY THE SEA</w:t>
            </w:r>
          </w:p>
        </w:tc>
        <w:tc>
          <w:tcPr>
            <w:tcW w:w="7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Fulcrum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FULC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8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Series B Preferred Stock</w:t>
            </w:r>
          </w:p>
        </w:tc>
        <w:tc>
          <w:tcPr>
            <w:tcW w:w="1600" w:type="dxa"/>
            <w:vAlign w:val="bottom"/>
            <w:tcBorders>
              <w:bottom w:val="single" w:sz="8" w:color="2C2C2C"/>
            </w:tcBorders>
            <w:gridSpan w:val="2"/>
          </w:tcPr>
          <w:p>
            <w:pPr>
              <w:ind w:left="1060"/>
              <w:spacing w:after="0"/>
              <w:rPr>
                <w:sz w:val="20"/>
                <w:szCs w:val="20"/>
                <w:color w:val="auto"/>
              </w:rPr>
            </w:pPr>
            <w:r>
              <w:rPr>
                <w:rFonts w:ascii="Arial" w:cs="Arial" w:eastAsia="Arial" w:hAnsi="Arial"/>
                <w:sz w:val="11"/>
                <w:szCs w:val="11"/>
                <w:color w:val="008000"/>
              </w:rPr>
              <w:t>(1)</w:t>
            </w:r>
          </w:p>
        </w:tc>
        <w:tc>
          <w:tcPr>
            <w:tcW w:w="78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1"/>
                <w:szCs w:val="11"/>
                <w:color w:val="008000"/>
              </w:rPr>
              <w:t>(1)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464,285</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Section 32 Fund 2, LP</w:t>
              </w:r>
            </w:hyperlink>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2033 SAN ELIJO AVENUE, #565</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CARDIFF BY</w:t>
            </w: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0000FF"/>
              </w:rPr>
              <w:t>CA</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w w:val="95"/>
              </w:rPr>
              <w:t>92007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THE SEA</w:t>
            </w:r>
          </w:p>
        </w:tc>
        <w:tc>
          <w:tcPr>
            <w:tcW w:w="13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Section 32 GP 2, LLC</w:t>
              </w:r>
            </w:hyperlink>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2033 SAN ELIJO AVENUE, #565</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CARDIFF BY</w:t>
            </w: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color w:val="0000FF"/>
              </w:rPr>
              <w:t>CA</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w w:val="95"/>
              </w:rPr>
              <w:t>92007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THE SEA</w:t>
            </w:r>
          </w:p>
        </w:tc>
        <w:tc>
          <w:tcPr>
            <w:tcW w:w="13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6"/>
              </w:rPr>
            </w:pPr>
            <w:hyperlink r:id="rId14">
              <w:r>
                <w:rPr>
                  <w:rFonts w:ascii="Arial" w:cs="Arial" w:eastAsia="Arial" w:hAnsi="Arial"/>
                  <w:sz w:val="22"/>
                  <w:szCs w:val="22"/>
                  <w:color w:val="0000EE"/>
                  <w:w w:val="96"/>
                </w:rPr>
                <w:t>Maris William J</w:t>
              </w:r>
            </w:hyperlink>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2033 SAN ELIJO AVENUE, #565</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0000FF"/>
              </w:rPr>
              <w:t>CARDIFF BY</w:t>
            </w:r>
          </w:p>
        </w:tc>
        <w:tc>
          <w:tcPr>
            <w:tcW w:w="1060" w:type="dxa"/>
            <w:vAlign w:val="bottom"/>
            <w:vMerge w:val="restart"/>
          </w:tcPr>
          <w:p>
            <w:pPr>
              <w:ind w:left="200"/>
              <w:spacing w:after="0"/>
              <w:rPr>
                <w:sz w:val="20"/>
                <w:szCs w:val="20"/>
                <w:color w:val="auto"/>
              </w:rPr>
            </w:pPr>
            <w:r>
              <w:rPr>
                <w:rFonts w:ascii="Arial" w:cs="Arial" w:eastAsia="Arial" w:hAnsi="Arial"/>
                <w:sz w:val="18"/>
                <w:szCs w:val="18"/>
                <w:color w:val="0000FF"/>
              </w:rPr>
              <w:t>CA</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0000FF"/>
              </w:rPr>
              <w:t>92007</w:t>
            </w:r>
          </w:p>
        </w:tc>
        <w:tc>
          <w:tcPr>
            <w:tcW w:w="0" w:type="dxa"/>
            <w:vAlign w:val="bottom"/>
          </w:tcPr>
          <w:p>
            <w:pPr>
              <w:spacing w:after="0"/>
              <w:rPr>
                <w:sz w:val="1"/>
                <w:szCs w:val="1"/>
                <w:color w:val="auto"/>
              </w:rPr>
            </w:pPr>
          </w:p>
        </w:tc>
      </w:tr>
      <w:tr>
        <w:trPr>
          <w:trHeight w:val="114"/>
        </w:trPr>
        <w:tc>
          <w:tcPr>
            <w:tcW w:w="1260" w:type="dxa"/>
            <w:vAlign w:val="bottom"/>
            <w:vMerge w:val="restart"/>
          </w:tcPr>
          <w:p>
            <w:pPr>
              <w:spacing w:after="0"/>
              <w:rPr>
                <w:sz w:val="20"/>
                <w:szCs w:val="20"/>
                <w:color w:val="auto"/>
              </w:rPr>
            </w:pPr>
            <w:r>
              <w:rPr>
                <w:rFonts w:ascii="Arial" w:cs="Arial" w:eastAsia="Arial" w:hAnsi="Arial"/>
                <w:sz w:val="18"/>
                <w:szCs w:val="18"/>
                <w:color w:val="0000FF"/>
              </w:rPr>
              <w:t>THE SEA</w:t>
            </w:r>
          </w:p>
        </w:tc>
        <w:tc>
          <w:tcPr>
            <w:tcW w:w="10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95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295910"/>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6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B Preferred Stock is convertible into Common Stock on a seven-for-one basis into the number of shares of Common Stock as shown in Column 3 at any time at the holder's election, and automatically upon the closing of the Issuer's initial public offering without payment of further consideration. The shares have no expiration date.</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held of record by Section 32 Fund 2, LP ("Fund 2"). Section 32 GP 2, LLC (the "GP"), the general partner of Fund 2, and William J. Maris, the managing member of the GP, may be deemed to share voting and dispositive power over the shares held by Fund 2. Such person and entity disclaim beneficial ownership of shares held by Fund 2 except to the extent of any pecuniary interest therein.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Index: 24.1 Power of Attorney 24.2 Power of Attorney 24.3 Power of Attorney</w:t>
      </w:r>
    </w:p>
    <w:p>
      <w:pPr>
        <w:sectPr>
          <w:pgSz w:w="11900" w:h="16838" w:orient="portrait"/>
          <w:cols w:equalWidth="0" w:num="1">
            <w:col w:w="11220"/>
          </w:cols>
          <w:pgMar w:left="280" w:top="314" w:right="399" w:bottom="1440" w:gutter="0" w:footer="0" w:header="0"/>
        </w:sectPr>
      </w:pPr>
    </w:p>
    <w:p>
      <w:pPr>
        <w:spacing w:after="0" w:line="7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2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Section 32 Fund 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00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26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Section 32 GP 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3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937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Jennifer L. Kercher,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2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59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William J. Maris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48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48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8820" w:space="300"/>
            <w:col w:w="2100"/>
          </w:cols>
          <w:pgMar w:left="280" w:top="314" w:right="3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20"/>
          </w:cols>
          <w:pgMar w:left="280" w:top="314" w:right="3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Know all by these presents, that the undersigned hereby makes, constitutes and appoints Jennifer L. Kercher as the undersigned’s true and lawful attorney-in-fact with full power and authority as hereinafter described to:</w:t>
      </w:r>
    </w:p>
    <w:p>
      <w:pPr>
        <w:spacing w:after="0" w:line="170" w:lineRule="exact"/>
        <w:rPr>
          <w:sz w:val="20"/>
          <w:szCs w:val="20"/>
          <w:color w:val="auto"/>
        </w:rPr>
      </w:pPr>
    </w:p>
    <w:p>
      <w:pPr>
        <w:ind w:right="120" w:firstLine="656"/>
        <w:spacing w:after="0" w:line="264" w:lineRule="auto"/>
        <w:tabs>
          <w:tab w:leader="none" w:pos="1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and/or 10% or greater stockholder of Fulcrum Therapeutics, Inc. (the “Company”), any and all Forms 3, 4, and 5 (including any amendments thereto) in accordance with Section 16(a) of the Securities Exchange Act of 1934 and the rules thereunder (the “Exchange Act”);</w:t>
      </w:r>
    </w:p>
    <w:p>
      <w:pPr>
        <w:spacing w:after="0" w:line="181" w:lineRule="exact"/>
        <w:rPr>
          <w:rFonts w:ascii="Arial" w:cs="Arial" w:eastAsia="Arial" w:hAnsi="Arial"/>
          <w:sz w:val="18"/>
          <w:szCs w:val="18"/>
          <w:color w:val="auto"/>
        </w:rPr>
      </w:pPr>
    </w:p>
    <w:p>
      <w:pPr>
        <w:ind w:right="340" w:firstLine="656"/>
        <w:spacing w:after="0" w:line="286" w:lineRule="auto"/>
        <w:tabs>
          <w:tab w:leader="none" w:pos="1628"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w:t>
      </w:r>
    </w:p>
    <w:p>
      <w:pPr>
        <w:spacing w:after="0" w:line="165" w:lineRule="exact"/>
        <w:rPr>
          <w:rFonts w:ascii="Arial" w:cs="Arial" w:eastAsia="Arial" w:hAnsi="Arial"/>
          <w:sz w:val="17"/>
          <w:szCs w:val="17"/>
          <w:color w:val="auto"/>
        </w:rPr>
      </w:pPr>
    </w:p>
    <w:p>
      <w:pPr>
        <w:ind w:right="40" w:firstLine="656"/>
        <w:spacing w:after="0" w:line="312" w:lineRule="auto"/>
        <w:tabs>
          <w:tab w:leader="none" w:pos="1628"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so requested by the undersigned, seek or obtain, as the undersigned’s representative and on the undersigned’s behalf, information regarding transactions in the Company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46" w:lineRule="exact"/>
        <w:rPr>
          <w:rFonts w:ascii="Arial" w:cs="Arial" w:eastAsia="Arial" w:hAnsi="Arial"/>
          <w:sz w:val="16"/>
          <w:szCs w:val="16"/>
          <w:color w:val="auto"/>
        </w:rPr>
      </w:pPr>
    </w:p>
    <w:p>
      <w:pPr>
        <w:jc w:val="both"/>
        <w:ind w:right="20" w:firstLine="656"/>
        <w:spacing w:after="0" w:line="259" w:lineRule="auto"/>
        <w:tabs>
          <w:tab w:leader="none" w:pos="1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relieving, nor is the Company assuming nor relieving, any of the undersigned’s responsibilities to comply with Section 16 of the Exchange Act. The undersigned acknowledges that neither the Company nor the foregoing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IN WITNESS WHEREOF, the undersigned has caused this Power of Attorney to be executed as of this 15th day of July, 2019.</w:t>
      </w:r>
    </w:p>
    <w:p>
      <w:pPr>
        <w:spacing w:after="0" w:line="24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SECTION 32 FUND 2, LP</w:t>
      </w:r>
    </w:p>
    <w:p>
      <w:pPr>
        <w:spacing w:after="0" w:line="225" w:lineRule="exact"/>
        <w:rPr>
          <w:sz w:val="20"/>
          <w:szCs w:val="20"/>
          <w:color w:val="auto"/>
        </w:rPr>
      </w:pPr>
    </w:p>
    <w:p>
      <w:pPr>
        <w:ind w:left="512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Section 32 GP 2, LLC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12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J. Maris</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William J. Maris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Know all by these presents, that the undersigned hereby makes, constitutes and appoints Jennifer L. Kercher as the undersigned’s true and lawful attorney-in-fact with full power and authority as hereinafter described to:</w:t>
      </w:r>
    </w:p>
    <w:p>
      <w:pPr>
        <w:spacing w:after="0" w:line="170" w:lineRule="exact"/>
        <w:rPr>
          <w:sz w:val="20"/>
          <w:szCs w:val="20"/>
          <w:color w:val="auto"/>
        </w:rPr>
      </w:pPr>
    </w:p>
    <w:p>
      <w:pPr>
        <w:ind w:right="120" w:firstLine="656"/>
        <w:spacing w:after="0" w:line="264" w:lineRule="auto"/>
        <w:tabs>
          <w:tab w:leader="none" w:pos="1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and/or 10% or greater stockholder of Fulcrum Therapeutics, Inc. (the “Company”), any and all Forms 3, 4, and 5 (including any amendments thereto) in accordance with Section 16(a) of the Securities Exchange Act of 1934 and the rules thereunder (the “Exchange Act”);</w:t>
      </w:r>
    </w:p>
    <w:p>
      <w:pPr>
        <w:spacing w:after="0" w:line="181" w:lineRule="exact"/>
        <w:rPr>
          <w:rFonts w:ascii="Arial" w:cs="Arial" w:eastAsia="Arial" w:hAnsi="Arial"/>
          <w:sz w:val="18"/>
          <w:szCs w:val="18"/>
          <w:color w:val="auto"/>
        </w:rPr>
      </w:pPr>
    </w:p>
    <w:p>
      <w:pPr>
        <w:ind w:right="340" w:firstLine="656"/>
        <w:spacing w:after="0" w:line="286" w:lineRule="auto"/>
        <w:tabs>
          <w:tab w:leader="none" w:pos="1628"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w:t>
      </w:r>
    </w:p>
    <w:p>
      <w:pPr>
        <w:spacing w:after="0" w:line="165" w:lineRule="exact"/>
        <w:rPr>
          <w:rFonts w:ascii="Arial" w:cs="Arial" w:eastAsia="Arial" w:hAnsi="Arial"/>
          <w:sz w:val="17"/>
          <w:szCs w:val="17"/>
          <w:color w:val="auto"/>
        </w:rPr>
      </w:pPr>
    </w:p>
    <w:p>
      <w:pPr>
        <w:ind w:right="40" w:firstLine="656"/>
        <w:spacing w:after="0" w:line="312" w:lineRule="auto"/>
        <w:tabs>
          <w:tab w:leader="none" w:pos="1628"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so requested by the undersigned, seek or obtain, as the undersigned’s representative and on the undersigned’s behalf, information regarding transactions in the Company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46" w:lineRule="exact"/>
        <w:rPr>
          <w:rFonts w:ascii="Arial" w:cs="Arial" w:eastAsia="Arial" w:hAnsi="Arial"/>
          <w:sz w:val="16"/>
          <w:szCs w:val="16"/>
          <w:color w:val="auto"/>
        </w:rPr>
      </w:pPr>
    </w:p>
    <w:p>
      <w:pPr>
        <w:jc w:val="both"/>
        <w:ind w:right="20" w:firstLine="656"/>
        <w:spacing w:after="0" w:line="259" w:lineRule="auto"/>
        <w:tabs>
          <w:tab w:leader="none" w:pos="1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relieving, nor is the Company assuming nor relieving, any of the undersigned’s responsibilities to comply with Section 16 of the Exchange Act. The undersigned acknowledges that neither the Company nor the foregoing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 WITNESS WHEREOF, the undersigned has caused this Power of Attorney to be executed as of this 15th day of July, 2019.</w:t>
      </w:r>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SECTION 32 GP 2, LLC</w:t>
      </w:r>
    </w:p>
    <w:p>
      <w:pPr>
        <w:spacing w:after="0" w:line="200" w:lineRule="exact"/>
        <w:rPr>
          <w:sz w:val="20"/>
          <w:szCs w:val="20"/>
          <w:color w:val="auto"/>
        </w:rPr>
      </w:pPr>
    </w:p>
    <w:p>
      <w:pPr>
        <w:spacing w:after="0" w:line="241" w:lineRule="exact"/>
        <w:rPr>
          <w:sz w:val="20"/>
          <w:szCs w:val="20"/>
          <w:color w:val="auto"/>
        </w:rPr>
      </w:pPr>
    </w:p>
    <w:p>
      <w:pPr>
        <w:ind w:left="5140"/>
        <w:spacing w:after="0"/>
        <w:tabs>
          <w:tab w:leader="none" w:pos="5560" w:val="left"/>
        </w:tabs>
        <w:rPr>
          <w:sz w:val="20"/>
          <w:szCs w:val="20"/>
          <w:color w:val="auto"/>
        </w:rPr>
      </w:pPr>
      <w:r>
        <w:rPr>
          <w:rFonts w:ascii="Arial" w:cs="Arial" w:eastAsia="Arial" w:hAnsi="Arial"/>
          <w:sz w:val="18"/>
          <w:szCs w:val="18"/>
          <w:color w:val="auto"/>
        </w:rPr>
        <w:t>By:</w:t>
        <w:tab/>
        <w:t>/s/ William J. Maris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William J. Maris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-130810</wp:posOffset>
            </wp:positionV>
            <wp:extent cx="3284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59"/>
          </w:cols>
          <w:pgMar w:left="900" w:top="341"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Know all by these presents, that the undersigned hereby makes, constitutes and appoints Jennifer L. Kercher as the undersigned’s true and lawful attorney-in-fact with full power and authority as hereinafter described to:</w:t>
      </w:r>
    </w:p>
    <w:p>
      <w:pPr>
        <w:spacing w:after="0" w:line="170" w:lineRule="exact"/>
        <w:rPr>
          <w:sz w:val="20"/>
          <w:szCs w:val="20"/>
          <w:color w:val="auto"/>
        </w:rPr>
      </w:pPr>
    </w:p>
    <w:p>
      <w:pPr>
        <w:ind w:right="120" w:firstLine="656"/>
        <w:spacing w:after="0" w:line="264" w:lineRule="auto"/>
        <w:tabs>
          <w:tab w:leader="none" w:pos="1628"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and/or 10% or greater stockholder of Fulcrum Therapeutics, Inc. (the “Company”), any and all Forms 3, 4, and 5 (including any amendments thereto) in accordance with Section 16(a) of the Securities Exchange Act of 1934 and the rules thereunder (the “Exchange Act”);</w:t>
      </w:r>
    </w:p>
    <w:p>
      <w:pPr>
        <w:spacing w:after="0" w:line="181" w:lineRule="exact"/>
        <w:rPr>
          <w:rFonts w:ascii="Arial" w:cs="Arial" w:eastAsia="Arial" w:hAnsi="Arial"/>
          <w:sz w:val="18"/>
          <w:szCs w:val="18"/>
          <w:color w:val="auto"/>
        </w:rPr>
      </w:pPr>
    </w:p>
    <w:p>
      <w:pPr>
        <w:ind w:right="340" w:firstLine="656"/>
        <w:spacing w:after="0" w:line="286" w:lineRule="auto"/>
        <w:tabs>
          <w:tab w:leader="none" w:pos="1628"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w:t>
      </w:r>
    </w:p>
    <w:p>
      <w:pPr>
        <w:spacing w:after="0" w:line="165" w:lineRule="exact"/>
        <w:rPr>
          <w:rFonts w:ascii="Arial" w:cs="Arial" w:eastAsia="Arial" w:hAnsi="Arial"/>
          <w:sz w:val="17"/>
          <w:szCs w:val="17"/>
          <w:color w:val="auto"/>
        </w:rPr>
      </w:pPr>
    </w:p>
    <w:p>
      <w:pPr>
        <w:ind w:right="40" w:firstLine="656"/>
        <w:spacing w:after="0" w:line="312" w:lineRule="auto"/>
        <w:tabs>
          <w:tab w:leader="none" w:pos="1628"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so requested by the undersigned, seek or obtain, as the undersigned’s representative and on the undersigned’s behalf, information regarding transactions in the Company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46" w:lineRule="exact"/>
        <w:rPr>
          <w:rFonts w:ascii="Arial" w:cs="Arial" w:eastAsia="Arial" w:hAnsi="Arial"/>
          <w:sz w:val="16"/>
          <w:szCs w:val="16"/>
          <w:color w:val="auto"/>
        </w:rPr>
      </w:pPr>
    </w:p>
    <w:p>
      <w:pPr>
        <w:jc w:val="both"/>
        <w:ind w:right="20" w:firstLine="656"/>
        <w:spacing w:after="0" w:line="259" w:lineRule="auto"/>
        <w:tabs>
          <w:tab w:leader="none" w:pos="16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relieving, nor is the Company assuming nor relieving, any of the undersigned’s responsibilities to comply with Section 16 of the Exchange Act. The undersigned acknowledges that neither the Company nor the foregoing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IN WITNESS WHEREOF, the undersigned has caused this Power of Attorney to be executed as of this 15th day of July, 2019.</w:t>
      </w:r>
    </w:p>
    <w:p>
      <w:pPr>
        <w:spacing w:after="0" w:line="200" w:lineRule="exact"/>
        <w:rPr>
          <w:sz w:val="20"/>
          <w:szCs w:val="20"/>
          <w:color w:val="auto"/>
        </w:rPr>
      </w:pP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William J. Maris</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William J. Maris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-130810</wp:posOffset>
            </wp:positionV>
            <wp:extent cx="3302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559"/>
      </w:cols>
      <w:pgMar w:left="90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1" Type="http://schemas.openxmlformats.org/officeDocument/2006/relationships/hyperlink" Target="http://www.sec.gov/cgi-bin/browse-edgar?action=getcompany&amp;CIK=0001725306" TargetMode="External"/><Relationship Id="rId12" Type="http://schemas.openxmlformats.org/officeDocument/2006/relationships/hyperlink" Target="http://www.sec.gov/cgi-bin/browse-edgar?action=getcompany&amp;CIK=0001680581" TargetMode="External"/><Relationship Id="rId13" Type="http://schemas.openxmlformats.org/officeDocument/2006/relationships/hyperlink" Target="http://www.sec.gov/cgi-bin/browse-edgar?action=getcompany&amp;CIK=0001725307" TargetMode="External"/><Relationship Id="rId14" Type="http://schemas.openxmlformats.org/officeDocument/2006/relationships/hyperlink" Target="http://www.sec.gov/cgi-bin/browse-edgar?action=getcompany&amp;CIK=0001722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2019-12-23T20:35:15Z</dcterms:created>
  <dcterms:modified xsi:type="dcterms:W3CDTF">2019-12-23T20:35:15Z</dcterms:modified>
</cp:coreProperties>
</file>