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March 5, 2020</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60" w:type="dxa"/>
            <w:vAlign w:val="bottom"/>
          </w:tcPr>
          <w:p>
            <w:pPr>
              <w:jc w:val="right"/>
              <w:ind w:right="59"/>
              <w:spacing w:after="0"/>
              <w:rPr>
                <w:sz w:val="20"/>
                <w:szCs w:val="20"/>
                <w:color w:val="auto"/>
              </w:rPr>
            </w:pPr>
            <w:r>
              <w:rPr>
                <w:rFonts w:ascii="Arial" w:cs="Arial" w:eastAsia="Arial" w:hAnsi="Arial"/>
                <w:sz w:val="18"/>
                <w:szCs w:val="18"/>
                <w:b w:val="1"/>
                <w:bCs w:val="1"/>
                <w:color w:val="auto"/>
              </w:rPr>
              <w:t>47-4839948</w:t>
            </w:r>
          </w:p>
        </w:tc>
      </w:tr>
      <w:tr>
        <w:trPr>
          <w:trHeight w:val="149"/>
        </w:trPr>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860" w:type="dxa"/>
            <w:vAlign w:val="bottom"/>
          </w:tcPr>
          <w:p>
            <w:pPr>
              <w:jc w:val="center"/>
              <w:ind w:left="3639"/>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4860" w:type="dxa"/>
            <w:vAlign w:val="bottom"/>
          </w:tcPr>
          <w:p>
            <w:pPr>
              <w:jc w:val="center"/>
              <w:ind w:left="3639"/>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8"/>
              </w:rPr>
              <w:t>26 Landsdowne Street</w:t>
            </w:r>
          </w:p>
        </w:tc>
        <w:tc>
          <w:tcPr>
            <w:tcW w:w="4860" w:type="dxa"/>
            <w:vAlign w:val="bottom"/>
          </w:tcPr>
          <w:p>
            <w:pPr>
              <w:spacing w:after="0"/>
              <w:rPr>
                <w:sz w:val="24"/>
                <w:szCs w:val="24"/>
                <w:color w:val="auto"/>
              </w:rPr>
            </w:pPr>
          </w:p>
        </w:tc>
      </w:tr>
      <w:tr>
        <w:trPr>
          <w:trHeight w:val="225"/>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8"/>
              </w:rPr>
              <w:t>Cambridge, Massachusetts</w:t>
            </w:r>
          </w:p>
        </w:tc>
        <w:tc>
          <w:tcPr>
            <w:tcW w:w="4860" w:type="dxa"/>
            <w:vAlign w:val="bottom"/>
          </w:tcPr>
          <w:p>
            <w:pPr>
              <w:jc w:val="right"/>
              <w:ind w:right="259"/>
              <w:spacing w:after="0"/>
              <w:rPr>
                <w:sz w:val="20"/>
                <w:szCs w:val="20"/>
                <w:color w:val="auto"/>
              </w:rPr>
            </w:pPr>
            <w:r>
              <w:rPr>
                <w:rFonts w:ascii="Arial" w:cs="Arial" w:eastAsia="Arial" w:hAnsi="Arial"/>
                <w:sz w:val="18"/>
                <w:szCs w:val="18"/>
                <w:b w:val="1"/>
                <w:bCs w:val="1"/>
                <w:color w:val="auto"/>
              </w:rPr>
              <w:t>02139</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60" w:type="dxa"/>
            <w:vAlign w:val="bottom"/>
          </w:tcPr>
          <w:p>
            <w:pPr>
              <w:jc w:val="center"/>
              <w:ind w:left="3639"/>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2500" w:type="dxa"/>
            <w:vAlign w:val="bottom"/>
          </w:tcPr>
          <w:p>
            <w:pPr>
              <w:spacing w:after="0"/>
              <w:rPr>
                <w:sz w:val="24"/>
                <w:szCs w:val="24"/>
                <w:color w:val="auto"/>
              </w:rPr>
            </w:pPr>
          </w:p>
        </w:tc>
        <w:tc>
          <w:tcPr>
            <w:tcW w:w="486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2019 Stock Incentive Plan</w:t>
            </w:r>
          </w:p>
        </w:tc>
      </w:tr>
      <w:tr>
        <w:trPr>
          <w:trHeight w:val="212"/>
        </w:trPr>
        <w:tc>
          <w:tcPr>
            <w:tcW w:w="2500" w:type="dxa"/>
            <w:vAlign w:val="bottom"/>
          </w:tcPr>
          <w:p>
            <w:pPr>
              <w:spacing w:after="0"/>
              <w:rPr>
                <w:sz w:val="18"/>
                <w:szCs w:val="18"/>
                <w:color w:val="auto"/>
              </w:rPr>
            </w:pPr>
          </w:p>
        </w:tc>
        <w:tc>
          <w:tcPr>
            <w:tcW w:w="4860" w:type="dxa"/>
            <w:vAlign w:val="bottom"/>
          </w:tcPr>
          <w:p>
            <w:pPr>
              <w:jc w:val="center"/>
              <w:ind w:right="1879"/>
              <w:spacing w:after="0"/>
              <w:rPr>
                <w:sz w:val="20"/>
                <w:szCs w:val="20"/>
                <w:color w:val="auto"/>
              </w:rPr>
            </w:pPr>
            <w:r>
              <w:rPr>
                <w:rFonts w:ascii="Arial" w:cs="Arial" w:eastAsia="Arial" w:hAnsi="Arial"/>
                <w:sz w:val="18"/>
                <w:szCs w:val="18"/>
                <w:b w:val="1"/>
                <w:bCs w:val="1"/>
                <w:color w:val="auto"/>
                <w:w w:val="88"/>
              </w:rPr>
              <w:t>2019 Employee Stock Purchase Plan</w:t>
            </w:r>
          </w:p>
        </w:tc>
      </w:tr>
      <w:tr>
        <w:trPr>
          <w:trHeight w:val="186"/>
        </w:trPr>
        <w:tc>
          <w:tcPr>
            <w:tcW w:w="2500" w:type="dxa"/>
            <w:vAlign w:val="bottom"/>
          </w:tcPr>
          <w:p>
            <w:pPr>
              <w:spacing w:after="0"/>
              <w:rPr>
                <w:sz w:val="16"/>
                <w:szCs w:val="16"/>
                <w:color w:val="auto"/>
              </w:rPr>
            </w:pPr>
          </w:p>
        </w:tc>
        <w:tc>
          <w:tcPr>
            <w:tcW w:w="4860" w:type="dxa"/>
            <w:vAlign w:val="bottom"/>
          </w:tcPr>
          <w:p>
            <w:pPr>
              <w:jc w:val="center"/>
              <w:ind w:right="1859"/>
              <w:spacing w:after="0"/>
              <w:rPr>
                <w:sz w:val="20"/>
                <w:szCs w:val="20"/>
                <w:color w:val="auto"/>
              </w:rPr>
            </w:pPr>
            <w:r>
              <w:rPr>
                <w:rFonts w:ascii="Arial" w:cs="Arial" w:eastAsia="Arial" w:hAnsi="Arial"/>
                <w:sz w:val="14"/>
                <w:szCs w:val="14"/>
                <w:b w:val="1"/>
                <w:bCs w:val="1"/>
                <w:color w:val="auto"/>
                <w:w w:val="95"/>
              </w:rPr>
              <w:t>(Full Title of the Plan)</w:t>
            </w:r>
          </w:p>
        </w:tc>
      </w:tr>
    </w:tbl>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Robert J. Gould, Ph.D.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Fulcrum Therapeutics,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26 Landsdowne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Cambridge, Massachusetts 02139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651-8851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8"/>
                <w:szCs w:val="18"/>
                <w:color w:val="auto"/>
              </w:rPr>
              <w:t>1,166,775(2)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$19.15(3)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$22,343,741.25(3)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$2,900.22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280" w:hanging="436"/>
        <w:spacing w:after="0" w:line="290"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spacing w:after="0" w:line="1" w:lineRule="exact"/>
        <w:rPr>
          <w:rFonts w:ascii="Arial" w:cs="Arial" w:eastAsia="Arial" w:hAnsi="Arial"/>
          <w:sz w:val="16"/>
          <w:szCs w:val="16"/>
          <w:color w:val="auto"/>
        </w:rPr>
      </w:pPr>
    </w:p>
    <w:p>
      <w:pPr>
        <w:ind w:left="440" w:right="76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an additional (i) 933,420 shares issuable under the 2019 Stock Incentive Plan and (ii) 233,355 shares issuable under the 2019 Employee Stock Purchase Plan.</w:t>
      </w:r>
    </w:p>
    <w:p>
      <w:pPr>
        <w:ind w:left="440" w:right="100" w:hanging="436"/>
        <w:spacing w:after="0" w:line="255"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457(c) and 457(h) of the Securities Act of 1933, as amended, and based upon the average of the high and low sale prices of the Registrant’s Common Stock as reported on the Nasdaq Global Market on 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181610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1"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OF INCORPORATION BY REFERENCE</w:t>
      </w:r>
    </w:p>
    <w:p>
      <w:pPr>
        <w:spacing w:after="0" w:line="229" w:lineRule="exact"/>
        <w:rPr>
          <w:sz w:val="20"/>
          <w:szCs w:val="20"/>
          <w:color w:val="auto"/>
        </w:rPr>
      </w:pPr>
    </w:p>
    <w:p>
      <w:pPr>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This Registration Statement on Form S-8, relating to the 2019 Stock Incentive Plan of Fulcrum Therapeutics, Inc. (the “Registrant”) and the 2019 Employee Stock Purchase Plan of the Registrant, is being filed for the purpose of registering additional securities of the same class as other securities for which a Registration Statement on Form S-8 relating to the 2019 Stock Incentive Plan and the 2019 Employee Stock Purchase Plan has previously been filed and is effective. Accordingly, this Registration Statement incorporates by reference the contents of the Registration Statement on </w:t>
      </w:r>
      <w:hyperlink r:id="rId18">
        <w:r>
          <w:rPr>
            <w:rFonts w:ascii="Arial" w:cs="Arial" w:eastAsia="Arial" w:hAnsi="Arial"/>
            <w:sz w:val="16"/>
            <w:szCs w:val="16"/>
            <w:u w:val="single" w:color="auto"/>
            <w:color w:val="0000EE"/>
          </w:rPr>
          <w:t>Form S-8</w:t>
        </w:r>
      </w:hyperlink>
      <w:r>
        <w:rPr>
          <w:rFonts w:ascii="Arial" w:cs="Arial" w:eastAsia="Arial" w:hAnsi="Arial"/>
          <w:sz w:val="16"/>
          <w:szCs w:val="16"/>
          <w:color w:val="auto"/>
        </w:rPr>
        <w:t>, File No. 333-233452, filed with the Securities and Exchange Commission on August 26, 2019 by the Registrant, relating to the Registrant’s 2016 Stock Incentive Plan, as amended, 2019 Stock Incentive Plan and 2019 Employee Stock Purchase Plan, except for Item 8, Exhibits.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9960" w:type="dxa"/>
            <w:vAlign w:val="bottom"/>
            <w:gridSpan w:val="13"/>
          </w:tcPr>
          <w:p>
            <w:pPr>
              <w:ind w:left="60"/>
              <w:spacing w:after="0"/>
              <w:rPr>
                <w:sz w:val="20"/>
                <w:szCs w:val="20"/>
                <w:color w:val="auto"/>
              </w:rPr>
            </w:pPr>
            <w:r>
              <w:rPr>
                <w:rFonts w:ascii="Arial" w:cs="Arial" w:eastAsia="Arial" w:hAnsi="Arial"/>
                <w:sz w:val="18"/>
                <w:szCs w:val="18"/>
                <w:color w:val="auto"/>
              </w:rPr>
              <w:t>Exhibits</w:t>
            </w:r>
          </w:p>
        </w:tc>
      </w:tr>
      <w:tr>
        <w:trPr>
          <w:trHeight w:val="392"/>
        </w:trPr>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96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6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20" w:type="dxa"/>
            <w:vAlign w:val="bottom"/>
            <w:gridSpan w:val="2"/>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3"/>
                <w:szCs w:val="23"/>
                <w:color w:val="auto"/>
              </w:rPr>
            </w:pPr>
          </w:p>
        </w:tc>
        <w:tc>
          <w:tcPr>
            <w:tcW w:w="9960" w:type="dxa"/>
            <w:vAlign w:val="bottom"/>
            <w:gridSpan w:val="13"/>
          </w:tcPr>
          <w:p>
            <w:pPr>
              <w:spacing w:after="0"/>
              <w:rPr>
                <w:rFonts w:ascii="Arial" w:cs="Arial" w:eastAsia="Arial" w:hAnsi="Arial"/>
                <w:sz w:val="18"/>
                <w:szCs w:val="18"/>
                <w:color w:val="0000EE"/>
                <w:w w:val="94"/>
              </w:rPr>
            </w:pPr>
            <w:hyperlink r:id="rId19">
              <w:r>
                <w:rPr>
                  <w:rFonts w:ascii="Arial" w:cs="Arial" w:eastAsia="Arial" w:hAnsi="Arial"/>
                  <w:sz w:val="18"/>
                  <w:szCs w:val="18"/>
                  <w:color w:val="0000EE"/>
                  <w:w w:val="94"/>
                </w:rPr>
                <w:t>Restated Certificate of Incorporation of the Registrant (incorporated by reference to Exhibit 3.1 to the Registrant’s Current Report on</w:t>
              </w:r>
            </w:hyperlink>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Form 8-K (File No. 001-38978) filed with the Securities and Exchange Commission on July 22, 2019)</w:t>
              </w:r>
            </w:hyperlink>
          </w:p>
        </w:tc>
        <w:tc>
          <w:tcPr>
            <w:tcW w:w="2200" w:type="dxa"/>
            <w:vAlign w:val="bottom"/>
            <w:tcBorders>
              <w:top w:val="single" w:sz="8" w:color="0000EE"/>
            </w:tcBorders>
            <w:gridSpan w:val="2"/>
          </w:tcPr>
          <w:p>
            <w:pPr>
              <w:spacing w:after="0"/>
              <w:rPr>
                <w:sz w:val="17"/>
                <w:szCs w:val="17"/>
                <w:color w:val="auto"/>
              </w:rPr>
            </w:pPr>
          </w:p>
        </w:tc>
        <w:tc>
          <w:tcPr>
            <w:tcW w:w="380" w:type="dxa"/>
            <w:vAlign w:val="bottom"/>
            <w:gridSpan w:val="3"/>
          </w:tcPr>
          <w:p>
            <w:pPr>
              <w:spacing w:after="0"/>
              <w:rPr>
                <w:sz w:val="17"/>
                <w:szCs w:val="17"/>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9960" w:type="dxa"/>
            <w:vAlign w:val="bottom"/>
            <w:tcBorders>
              <w:bottom w:val="single" w:sz="8" w:color="0000EE"/>
            </w:tcBorders>
            <w:gridSpan w:val="13"/>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Amended and Restated Bylaws of the Registrant (incorporated by reference to Exhibit 3.2 to the Registrant’s Current Report on Form 8-K</w:t>
              </w:r>
            </w:hyperlink>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(File No. 001-38978) filed with the Securities and Exchange Commission on July 22, 2019)</w:t>
              </w:r>
            </w:hyperlink>
          </w:p>
        </w:tc>
        <w:tc>
          <w:tcPr>
            <w:tcW w:w="3340" w:type="dxa"/>
            <w:vAlign w:val="bottom"/>
            <w:gridSpan w:val="7"/>
          </w:tcPr>
          <w:p>
            <w:pPr>
              <w:spacing w:after="0"/>
              <w:rPr>
                <w:sz w:val="17"/>
                <w:szCs w:val="17"/>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996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Opinion of Wilmer Cutler Pickering Hale and Dorr LLP, counsel to the Registrant</w:t>
              </w:r>
            </w:hyperlink>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5900" w:type="dxa"/>
            <w:vAlign w:val="bottom"/>
            <w:tcBorders>
              <w:top w:val="single" w:sz="8" w:color="0000EE"/>
            </w:tcBorders>
            <w:gridSpan w:val="5"/>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Consent of Ernst &amp; Young LLP, independent registered public accounting firm</w:t>
              </w:r>
            </w:hyperlink>
          </w:p>
        </w:tc>
        <w:tc>
          <w:tcPr>
            <w:tcW w:w="4060" w:type="dxa"/>
            <w:vAlign w:val="bottom"/>
            <w:gridSpan w:val="8"/>
          </w:tcPr>
          <w:p>
            <w:pPr>
              <w:spacing w:after="0"/>
              <w:rPr>
                <w:sz w:val="24"/>
                <w:szCs w:val="24"/>
                <w:color w:val="auto"/>
              </w:rPr>
            </w:pPr>
          </w:p>
        </w:tc>
      </w:tr>
      <w:tr>
        <w:trPr>
          <w:trHeight w:val="20"/>
        </w:trPr>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996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Consent of Wilmer Cutler Pickering Hale and Dorr LLP (included in Exhibit 5.1)</w:t>
              </w:r>
            </w:hyperlink>
          </w:p>
        </w:tc>
      </w:tr>
      <w:tr>
        <w:trPr>
          <w:trHeight w:val="20"/>
        </w:trPr>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58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Power of Attorney (included on the signature pages of this registration statement)</w:t>
              </w:r>
            </w:hyperlink>
          </w:p>
        </w:tc>
        <w:tc>
          <w:tcPr>
            <w:tcW w:w="4080" w:type="dxa"/>
            <w:vAlign w:val="bottom"/>
            <w:gridSpan w:val="9"/>
          </w:tcPr>
          <w:p>
            <w:pPr>
              <w:spacing w:after="0"/>
              <w:rPr>
                <w:sz w:val="24"/>
                <w:szCs w:val="24"/>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9860" w:type="dxa"/>
            <w:vAlign w:val="bottom"/>
            <w:tcBorders>
              <w:bottom w:val="single" w:sz="8" w:color="0000EE"/>
            </w:tcBorders>
            <w:gridSpan w:val="12"/>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2019 Stock Incentive Plan (incorporated by reference to Exhibit 10.6 to Amendment No. 1 to the Registrant’s Registration Statement on</w:t>
              </w:r>
            </w:hyperlink>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13"/>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Form S-1 (File No. 333-232260) filed with the Securities and Exchange Commission on July 8, 2019)</w:t>
              </w:r>
            </w:hyperlink>
          </w:p>
        </w:tc>
      </w:tr>
      <w:tr>
        <w:trPr>
          <w:trHeight w:val="20"/>
        </w:trPr>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40" w:type="dxa"/>
            <w:vAlign w:val="bottom"/>
            <w:gridSpan w:val="7"/>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99.2</w:t>
            </w:r>
          </w:p>
        </w:tc>
        <w:tc>
          <w:tcPr>
            <w:tcW w:w="520" w:type="dxa"/>
            <w:vAlign w:val="bottom"/>
          </w:tcPr>
          <w:p>
            <w:pPr>
              <w:spacing w:after="0"/>
              <w:rPr>
                <w:sz w:val="24"/>
                <w:szCs w:val="24"/>
                <w:color w:val="auto"/>
              </w:rPr>
            </w:pPr>
          </w:p>
        </w:tc>
        <w:tc>
          <w:tcPr>
            <w:tcW w:w="9620" w:type="dxa"/>
            <w:vAlign w:val="bottom"/>
            <w:tcBorders>
              <w:bottom w:val="single" w:sz="8" w:color="0000EE"/>
            </w:tcBorders>
            <w:gridSpan w:val="11"/>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2019 Employee Stock Purchase Plan (incorporated by reference to Exhibit 10.8 to Amendment No. 1 to the Registrant’s Registration</w:t>
              </w:r>
            </w:hyperlink>
          </w:p>
        </w:tc>
        <w:tc>
          <w:tcPr>
            <w:tcW w:w="3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3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Statement on Form S-1 (File No. 333-232260) filed with the Securities and Exchange Commission on July 8, 2019)</w:t>
              </w:r>
            </w:hyperlink>
          </w:p>
        </w:tc>
        <w:tc>
          <w:tcPr>
            <w:tcW w:w="1620" w:type="dxa"/>
            <w:vAlign w:val="bottom"/>
            <w:gridSpan w:val="4"/>
          </w:tcPr>
          <w:p>
            <w:pPr>
              <w:spacing w:after="0"/>
              <w:rPr>
                <w:sz w:val="17"/>
                <w:szCs w:val="17"/>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20"/>
          </w:cols>
          <w:pgMar w:left="440" w:top="270" w:right="4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5th day of March, 2020.</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Robert J. Gould,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the undersigned officers and directors of Fulcrum Therapeutics, Inc., hereby severally constitute and appoint Robert J. Gould and Bryan Stuart,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Fulcrum Therapeutics,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Signature</w:t>
            </w:r>
          </w:p>
        </w:tc>
        <w:tc>
          <w:tcPr>
            <w:tcW w:w="3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80" w:type="dxa"/>
            <w:vAlign w:val="bottom"/>
          </w:tcPr>
          <w:p>
            <w:pPr>
              <w:spacing w:after="0"/>
              <w:rPr>
                <w:sz w:val="14"/>
                <w:szCs w:val="14"/>
                <w:color w:val="auto"/>
              </w:rPr>
            </w:pPr>
          </w:p>
        </w:tc>
      </w:tr>
      <w:tr>
        <w:trPr>
          <w:trHeight w:val="426"/>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J. Gould</w:t>
            </w: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 Director</w:t>
            </w:r>
          </w:p>
        </w:tc>
        <w:tc>
          <w:tcPr>
            <w:tcW w:w="2000" w:type="dxa"/>
            <w:vAlign w:val="bottom"/>
            <w:gridSpan w:val="3"/>
          </w:tcPr>
          <w:p>
            <w:pPr>
              <w:jc w:val="center"/>
              <w:ind w:left="850"/>
              <w:spacing w:after="0"/>
              <w:rPr>
                <w:sz w:val="20"/>
                <w:szCs w:val="20"/>
                <w:color w:val="auto"/>
              </w:rPr>
            </w:pPr>
            <w:r>
              <w:rPr>
                <w:rFonts w:ascii="Arial" w:cs="Arial" w:eastAsia="Arial" w:hAnsi="Arial"/>
                <w:sz w:val="18"/>
                <w:szCs w:val="18"/>
                <w:color w:val="auto"/>
                <w:w w:val="92"/>
              </w:rPr>
              <w:t>March 5, 2020</w:t>
            </w:r>
          </w:p>
        </w:tc>
      </w:tr>
      <w:tr>
        <w:trPr>
          <w:trHeight w:val="224"/>
        </w:trPr>
        <w:tc>
          <w:tcPr>
            <w:tcW w:w="4200" w:type="dxa"/>
            <w:vAlign w:val="bottom"/>
            <w:gridSpan w:val="2"/>
          </w:tcPr>
          <w:p>
            <w:pPr>
              <w:spacing w:after="0"/>
              <w:rPr>
                <w:sz w:val="20"/>
                <w:szCs w:val="20"/>
                <w:color w:val="auto"/>
              </w:rPr>
            </w:pPr>
            <w:r>
              <w:rPr>
                <w:rFonts w:ascii="Arial" w:cs="Arial" w:eastAsia="Arial" w:hAnsi="Arial"/>
                <w:sz w:val="18"/>
                <w:szCs w:val="18"/>
                <w:color w:val="auto"/>
              </w:rPr>
              <w:t>Robert J. Gould, Ph.D.</w:t>
            </w: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Bryan Stuart</w:t>
            </w: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Chief Operating Officer</w:t>
            </w:r>
          </w:p>
        </w:tc>
        <w:tc>
          <w:tcPr>
            <w:tcW w:w="2000" w:type="dxa"/>
            <w:vAlign w:val="bottom"/>
            <w:gridSpan w:val="3"/>
          </w:tcPr>
          <w:p>
            <w:pPr>
              <w:jc w:val="center"/>
              <w:ind w:left="850"/>
              <w:spacing w:after="0"/>
              <w:rPr>
                <w:sz w:val="20"/>
                <w:szCs w:val="20"/>
                <w:color w:val="auto"/>
              </w:rPr>
            </w:pPr>
            <w:r>
              <w:rPr>
                <w:rFonts w:ascii="Arial" w:cs="Arial" w:eastAsia="Arial" w:hAnsi="Arial"/>
                <w:sz w:val="18"/>
                <w:szCs w:val="18"/>
                <w:color w:val="auto"/>
                <w:w w:val="92"/>
              </w:rPr>
              <w:t>March 5, 2020</w:t>
            </w:r>
          </w:p>
        </w:tc>
      </w:tr>
      <w:tr>
        <w:trPr>
          <w:trHeight w:val="224"/>
        </w:trPr>
        <w:tc>
          <w:tcPr>
            <w:tcW w:w="4200" w:type="dxa"/>
            <w:vAlign w:val="bottom"/>
            <w:gridSpan w:val="2"/>
          </w:tcPr>
          <w:p>
            <w:pPr>
              <w:spacing w:after="0"/>
              <w:rPr>
                <w:sz w:val="20"/>
                <w:szCs w:val="20"/>
                <w:color w:val="auto"/>
              </w:rPr>
            </w:pPr>
            <w:r>
              <w:rPr>
                <w:rFonts w:ascii="Arial" w:cs="Arial" w:eastAsia="Arial" w:hAnsi="Arial"/>
                <w:sz w:val="18"/>
                <w:szCs w:val="18"/>
                <w:color w:val="auto"/>
              </w:rPr>
              <w:t>Bryan Stuart</w:t>
            </w: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Thomson</w:t>
            </w: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Vice President, Finance &amp; Accounting</w:t>
            </w:r>
          </w:p>
        </w:tc>
        <w:tc>
          <w:tcPr>
            <w:tcW w:w="2000" w:type="dxa"/>
            <w:vAlign w:val="bottom"/>
            <w:gridSpan w:val="3"/>
          </w:tcPr>
          <w:p>
            <w:pPr>
              <w:jc w:val="center"/>
              <w:ind w:left="850"/>
              <w:spacing w:after="0"/>
              <w:rPr>
                <w:sz w:val="20"/>
                <w:szCs w:val="20"/>
                <w:color w:val="auto"/>
              </w:rPr>
            </w:pPr>
            <w:r>
              <w:rPr>
                <w:rFonts w:ascii="Arial" w:cs="Arial" w:eastAsia="Arial" w:hAnsi="Arial"/>
                <w:sz w:val="18"/>
                <w:szCs w:val="18"/>
                <w:color w:val="auto"/>
                <w:w w:val="92"/>
              </w:rPr>
              <w:t>March 5, 2020</w:t>
            </w:r>
          </w:p>
        </w:tc>
      </w:tr>
      <w:tr>
        <w:trPr>
          <w:trHeight w:val="224"/>
        </w:trPr>
        <w:tc>
          <w:tcPr>
            <w:tcW w:w="4200" w:type="dxa"/>
            <w:vAlign w:val="bottom"/>
            <w:gridSpan w:val="2"/>
          </w:tcPr>
          <w:p>
            <w:pPr>
              <w:spacing w:after="0"/>
              <w:rPr>
                <w:sz w:val="20"/>
                <w:szCs w:val="20"/>
                <w:color w:val="auto"/>
              </w:rPr>
            </w:pPr>
            <w:r>
              <w:rPr>
                <w:rFonts w:ascii="Arial" w:cs="Arial" w:eastAsia="Arial" w:hAnsi="Arial"/>
                <w:sz w:val="18"/>
                <w:szCs w:val="18"/>
                <w:color w:val="auto"/>
              </w:rPr>
              <w:t>Peter Thomson</w:t>
            </w: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Levin</w:t>
            </w: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Chairman of the Board</w:t>
            </w:r>
          </w:p>
        </w:tc>
        <w:tc>
          <w:tcPr>
            <w:tcW w:w="2000" w:type="dxa"/>
            <w:vAlign w:val="bottom"/>
            <w:gridSpan w:val="3"/>
          </w:tcPr>
          <w:p>
            <w:pPr>
              <w:jc w:val="center"/>
              <w:ind w:left="850"/>
              <w:spacing w:after="0"/>
              <w:rPr>
                <w:sz w:val="20"/>
                <w:szCs w:val="20"/>
                <w:color w:val="auto"/>
              </w:rPr>
            </w:pPr>
            <w:r>
              <w:rPr>
                <w:rFonts w:ascii="Arial" w:cs="Arial" w:eastAsia="Arial" w:hAnsi="Arial"/>
                <w:sz w:val="18"/>
                <w:szCs w:val="18"/>
                <w:color w:val="auto"/>
                <w:w w:val="92"/>
              </w:rPr>
              <w:t>March 5, 2020</w:t>
            </w:r>
          </w:p>
        </w:tc>
      </w:tr>
      <w:tr>
        <w:trPr>
          <w:trHeight w:val="224"/>
        </w:trPr>
        <w:tc>
          <w:tcPr>
            <w:tcW w:w="4200" w:type="dxa"/>
            <w:vAlign w:val="bottom"/>
            <w:gridSpan w:val="2"/>
          </w:tcPr>
          <w:p>
            <w:pPr>
              <w:spacing w:after="0"/>
              <w:rPr>
                <w:sz w:val="20"/>
                <w:szCs w:val="20"/>
                <w:color w:val="auto"/>
              </w:rPr>
            </w:pPr>
            <w:r>
              <w:rPr>
                <w:rFonts w:ascii="Arial" w:cs="Arial" w:eastAsia="Arial" w:hAnsi="Arial"/>
                <w:sz w:val="18"/>
                <w:szCs w:val="18"/>
                <w:color w:val="auto"/>
              </w:rPr>
              <w:t>Mark Levin</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J. Collins</w:t>
            </w: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850"/>
              <w:spacing w:after="0"/>
              <w:rPr>
                <w:sz w:val="20"/>
                <w:szCs w:val="20"/>
                <w:color w:val="auto"/>
              </w:rPr>
            </w:pPr>
            <w:r>
              <w:rPr>
                <w:rFonts w:ascii="Arial" w:cs="Arial" w:eastAsia="Arial" w:hAnsi="Arial"/>
                <w:sz w:val="18"/>
                <w:szCs w:val="18"/>
                <w:color w:val="auto"/>
                <w:w w:val="92"/>
              </w:rPr>
              <w:t>March 5, 2020</w:t>
            </w:r>
          </w:p>
        </w:tc>
      </w:tr>
      <w:tr>
        <w:trPr>
          <w:trHeight w:val="224"/>
        </w:trPr>
        <w:tc>
          <w:tcPr>
            <w:tcW w:w="4200" w:type="dxa"/>
            <w:vAlign w:val="bottom"/>
            <w:gridSpan w:val="2"/>
          </w:tcPr>
          <w:p>
            <w:pPr>
              <w:spacing w:after="0"/>
              <w:rPr>
                <w:sz w:val="20"/>
                <w:szCs w:val="20"/>
                <w:color w:val="auto"/>
              </w:rPr>
            </w:pPr>
            <w:r>
              <w:rPr>
                <w:rFonts w:ascii="Arial" w:cs="Arial" w:eastAsia="Arial" w:hAnsi="Arial"/>
                <w:sz w:val="18"/>
                <w:szCs w:val="18"/>
                <w:color w:val="auto"/>
              </w:rPr>
              <w:t>James J. Collins, Ph.D.</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Katina Dorton</w:t>
            </w: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850"/>
              <w:spacing w:after="0"/>
              <w:rPr>
                <w:sz w:val="20"/>
                <w:szCs w:val="20"/>
                <w:color w:val="auto"/>
              </w:rPr>
            </w:pPr>
            <w:r>
              <w:rPr>
                <w:rFonts w:ascii="Arial" w:cs="Arial" w:eastAsia="Arial" w:hAnsi="Arial"/>
                <w:sz w:val="18"/>
                <w:szCs w:val="18"/>
                <w:color w:val="auto"/>
                <w:w w:val="92"/>
              </w:rPr>
              <w:t>March 5, 2020</w:t>
            </w:r>
          </w:p>
        </w:tc>
      </w:tr>
      <w:tr>
        <w:trPr>
          <w:trHeight w:val="224"/>
        </w:trPr>
        <w:tc>
          <w:tcPr>
            <w:tcW w:w="4200" w:type="dxa"/>
            <w:vAlign w:val="bottom"/>
            <w:gridSpan w:val="2"/>
          </w:tcPr>
          <w:p>
            <w:pPr>
              <w:spacing w:after="0"/>
              <w:rPr>
                <w:sz w:val="20"/>
                <w:szCs w:val="20"/>
                <w:color w:val="auto"/>
              </w:rPr>
            </w:pPr>
            <w:r>
              <w:rPr>
                <w:rFonts w:ascii="Arial" w:cs="Arial" w:eastAsia="Arial" w:hAnsi="Arial"/>
                <w:sz w:val="18"/>
                <w:szCs w:val="18"/>
                <w:color w:val="auto"/>
              </w:rPr>
              <w:t>Katina Dorton</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ectPr>
          <w:pgSz w:w="11900" w:h="16838" w:orient="portrait"/>
          <w:cols w:equalWidth="0" w:num="1">
            <w:col w:w="10940"/>
          </w:cols>
          <w:pgMar w:left="440" w:top="270" w:right="51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Ezekowitz</w:t>
            </w:r>
          </w:p>
        </w:tc>
        <w:tc>
          <w:tcPr>
            <w:tcW w:w="30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360"/>
              <w:spacing w:after="0"/>
              <w:rPr>
                <w:sz w:val="20"/>
                <w:szCs w:val="20"/>
                <w:color w:val="auto"/>
              </w:rPr>
            </w:pPr>
            <w:r>
              <w:rPr>
                <w:rFonts w:ascii="Arial" w:cs="Arial" w:eastAsia="Arial" w:hAnsi="Arial"/>
                <w:sz w:val="18"/>
                <w:szCs w:val="18"/>
                <w:color w:val="auto"/>
                <w:w w:val="90"/>
              </w:rPr>
              <w:t>March 5,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Alan Ezekowitz, MBChB, D. Phil</w:t>
            </w:r>
          </w:p>
        </w:tc>
        <w:tc>
          <w:tcPr>
            <w:tcW w:w="30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Geraghty</w:t>
            </w:r>
          </w:p>
        </w:tc>
        <w:tc>
          <w:tcPr>
            <w:tcW w:w="30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360"/>
              <w:spacing w:after="0"/>
              <w:rPr>
                <w:sz w:val="20"/>
                <w:szCs w:val="20"/>
                <w:color w:val="auto"/>
              </w:rPr>
            </w:pPr>
            <w:r>
              <w:rPr>
                <w:rFonts w:ascii="Arial" w:cs="Arial" w:eastAsia="Arial" w:hAnsi="Arial"/>
                <w:sz w:val="18"/>
                <w:szCs w:val="18"/>
                <w:color w:val="auto"/>
                <w:w w:val="90"/>
              </w:rPr>
              <w:t>March 5,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James Geraghty</w:t>
            </w:r>
          </w:p>
        </w:tc>
        <w:tc>
          <w:tcPr>
            <w:tcW w:w="30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Haviland</w:t>
            </w:r>
          </w:p>
        </w:tc>
        <w:tc>
          <w:tcPr>
            <w:tcW w:w="30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360"/>
              <w:spacing w:after="0"/>
              <w:rPr>
                <w:sz w:val="20"/>
                <w:szCs w:val="20"/>
                <w:color w:val="auto"/>
              </w:rPr>
            </w:pPr>
            <w:r>
              <w:rPr>
                <w:rFonts w:ascii="Arial" w:cs="Arial" w:eastAsia="Arial" w:hAnsi="Arial"/>
                <w:sz w:val="18"/>
                <w:szCs w:val="18"/>
                <w:color w:val="auto"/>
                <w:w w:val="90"/>
              </w:rPr>
              <w:t>March 5,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Kate Haviland</w:t>
            </w:r>
          </w:p>
        </w:tc>
        <w:tc>
          <w:tcPr>
            <w:tcW w:w="306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0680"/>
          </w:cols>
          <w:pgMar w:left="440" w:top="490" w:right="7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5932805</wp:posOffset>
            </wp:positionH>
            <wp:positionV relativeFrom="paragraph">
              <wp:posOffset>172085</wp:posOffset>
            </wp:positionV>
            <wp:extent cx="107188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7188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March 5, 2020</w:t>
            </w:r>
          </w:p>
        </w:tc>
        <w:tc>
          <w:tcPr>
            <w:tcW w:w="502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+1 617 526 6000 (t)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Fulcrum Therapeutics, Inc.</w:t>
            </w:r>
          </w:p>
        </w:tc>
        <w:tc>
          <w:tcPr>
            <w:tcW w:w="5020" w:type="dxa"/>
            <w:vAlign w:val="bottom"/>
          </w:tcPr>
          <w:p>
            <w:pPr>
              <w:jc w:val="right"/>
              <w:spacing w:after="0"/>
              <w:rPr>
                <w:sz w:val="20"/>
                <w:szCs w:val="20"/>
                <w:color w:val="auto"/>
              </w:rPr>
            </w:pPr>
            <w:r>
              <w:rPr>
                <w:rFonts w:ascii="Arial" w:cs="Arial" w:eastAsia="Arial" w:hAnsi="Arial"/>
                <w:sz w:val="18"/>
                <w:szCs w:val="18"/>
                <w:color w:val="auto"/>
              </w:rPr>
              <w:t>+1 617 526 5000 (f)</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26 Landsdowne Street</w:t>
            </w:r>
          </w:p>
        </w:tc>
        <w:tc>
          <w:tcPr>
            <w:tcW w:w="5020" w:type="dxa"/>
            <w:vAlign w:val="bottom"/>
          </w:tcPr>
          <w:p>
            <w:pPr>
              <w:jc w:val="right"/>
              <w:spacing w:after="0"/>
              <w:rPr>
                <w:sz w:val="20"/>
                <w:szCs w:val="20"/>
                <w:color w:val="auto"/>
              </w:rPr>
            </w:pPr>
            <w:r>
              <w:rPr>
                <w:rFonts w:ascii="Arial" w:cs="Arial" w:eastAsia="Arial" w:hAnsi="Arial"/>
                <w:sz w:val="18"/>
                <w:szCs w:val="18"/>
                <w:color w:val="auto"/>
              </w:rPr>
              <w:t>wilmerhale.com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Cambridge, Massachusetts 02139</w:t>
            </w:r>
          </w:p>
        </w:tc>
        <w:tc>
          <w:tcPr>
            <w:tcW w:w="5020" w:type="dxa"/>
            <w:vAlign w:val="bottom"/>
          </w:tcPr>
          <w:p>
            <w:pPr>
              <w:spacing w:after="0"/>
              <w:rPr>
                <w:sz w:val="20"/>
                <w:szCs w:val="20"/>
                <w:color w:val="auto"/>
              </w:rPr>
            </w:pPr>
          </w:p>
        </w:tc>
      </w:tr>
    </w:tbl>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2019 Stock Incentive Plan; 2019 Equity Employee Stock Purchase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1,166,775 shares of common stock, par value $0.001 per share (the “Shares”), of Fulcrum Therapeutics, Inc., a Delaware corporation (the “Company”), issuable under the Company’s 2019 Stock Incentive Plan and 2019 Employee Stock Purchase Plan (collectively, the “Plans”).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Plans, to register and qualify the Shares for sale under all applicable state securities or “blue sky” laws.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 the General Corporation Law of the State of Delaware and the federal laws of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It is understood that this opinion is to be used only in connection with the offer and sale of the Shares while the Registration Statement is in effect.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116840</wp:posOffset>
            </wp:positionV>
            <wp:extent cx="620903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6209030" cy="34290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for issuance and, when the Shares are issued and paid for in accordance with the terms and conditions of the Plans, the Shares will be validly issued, fully paid and nonassessable.</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 HALE AND DORR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Lia Der Marderosian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Lia Der Marderosian, a Partner</w:t>
      </w:r>
    </w:p>
    <w:p>
      <w:pPr>
        <w:sectPr>
          <w:pgSz w:w="11900" w:h="16838" w:orient="portrait"/>
          <w:cols w:equalWidth="0" w:num="1">
            <w:col w:w="10920"/>
          </w:cols>
          <w:pgMar w:left="440" w:top="274" w:right="5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2019 Stock Incentive Plan and the 2019 Employee Stock Purchase Plan of Fulcrum Therapeutics, Inc. of our report dated March 5, 2020 with respect to the consolidated financial statements of Fulcrum Therapeutics, Inc. included in its Annual Report (Form 10-K) for the year ended December 31, 2019,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png"/><Relationship Id="rId29" Type="http://schemas.openxmlformats.org/officeDocument/2006/relationships/image" Target="media/image17.png"/><Relationship Id="rId18" Type="http://schemas.openxmlformats.org/officeDocument/2006/relationships/hyperlink" Target="http://www.sec.gov/Archives/edgar/data/1680581/000119312519228520/d788707ds8.htm" TargetMode="External"/><Relationship Id="rId19" Type="http://schemas.openxmlformats.org/officeDocument/2006/relationships/hyperlink" Target="http://www.sec.gov/Archives/edgar/data/1680581/000104746919004324/a2239321zex-3_1.htm" TargetMode="External"/><Relationship Id="rId20" Type="http://schemas.openxmlformats.org/officeDocument/2006/relationships/hyperlink" Target="http://www.sec.gov/Archives/edgar/data/1680581/000104746919004324/a2239321zex-3_2.htm" TargetMode="External"/><Relationship Id="rId21" Type="http://schemas.openxmlformats.org/officeDocument/2006/relationships/hyperlink" Target="http://www.sec.gov/Archives/edgar/data/1680581/000104746919004014/a2239182zex-10_6.htm" TargetMode="External"/><Relationship Id="rId22" Type="http://schemas.openxmlformats.org/officeDocument/2006/relationships/hyperlink" Target="http://www.sec.gov/Archives/edgar/data/1680581/000104746919004014/a2239182zex-10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2020-03-05T15:17:14Z</dcterms:created>
  <dcterms:modified xsi:type="dcterms:W3CDTF">2020-03-05T15:17:14Z</dcterms:modified>
</cp:coreProperties>
</file>