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12026_010750.xml.htm"/>
      <w:bookmarkStart w:id="1" w:name="ksform407212026_0107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698"/>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116,671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7,030,000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50,945</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w:t>
            </w:r>
            <w:r>
              <w:rPr>
                <w:rFonts w:ascii="Times;serif" w:hAnsi="Times;serif"/>
                <w:color w:val="008000"/>
                <w:position w:val="7"/>
                <w:sz w:val="16"/>
                <w:sz w:val="20"/>
                <w:shd w:fill="FFFFFF" w:val="clear"/>
              </w:rPr>
              <w:t>(3)</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7,080,945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prices reported are weighted-average prices. These shares were purchased in multiple transactions at prices ranging from $3.50 to $3.60. The Reporting Persons undertake to provide the Issuer, any security holder of the Issuer or the SEC staff, upon request, all information regarding the number of shares purchased at each price within the ranges set forth in Footnotes 1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Tang Capital Partners, LP ("TCP") beneficially owns 1,668,554 shares, Tang Capital Partners International, LP ("TCPI") beneficially owns 2,212,803 shares, Tang Capital Partners III, Inc. ("TCP III") beneficially owns 1,668,539 shares, and Tang Capital Partners IV, Inc. ("TCP IV") beneficially owns 1,531,049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purchased in multiple transactions at prices ranging from $3.46 to $3.55.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8579"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12326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810</Words>
  <Characters>4375</Characters>
  <CharactersWithSpaces>5076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