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November 4, 2021</w:t>
      </w:r>
    </w:p>
    <w:p>
      <w:pPr>
        <w:spacing w:after="0" w:line="27" w:lineRule="exact"/>
        <w:rPr>
          <w:sz w:val="24"/>
          <w:szCs w:val="24"/>
          <w:color w:val="auto"/>
        </w:rPr>
      </w:pPr>
    </w:p>
    <w:p>
      <w:pPr>
        <w:ind w:left="87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S-3</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FULCRUM THERAPEUTICS,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47-4839948</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7"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26 Landsdowne Street</w:t>
      </w:r>
    </w:p>
    <w:p>
      <w:pPr>
        <w:jc w:val="center"/>
        <w:ind w:right="-119"/>
        <w:spacing w:after="0" w:line="233" w:lineRule="auto"/>
        <w:rPr>
          <w:sz w:val="20"/>
          <w:szCs w:val="20"/>
          <w:color w:val="auto"/>
        </w:rPr>
      </w:pPr>
      <w:r>
        <w:rPr>
          <w:rFonts w:ascii="Arial" w:cs="Arial" w:eastAsia="Arial" w:hAnsi="Arial"/>
          <w:sz w:val="15"/>
          <w:szCs w:val="15"/>
          <w:b w:val="1"/>
          <w:bCs w:val="1"/>
          <w:color w:val="auto"/>
        </w:rPr>
        <w:t>Cambridge, Massachusetts 02139</w:t>
      </w:r>
    </w:p>
    <w:p>
      <w:pPr>
        <w:jc w:val="center"/>
        <w:ind w:right="-119"/>
        <w:spacing w:after="0" w:line="217" w:lineRule="auto"/>
        <w:rPr>
          <w:sz w:val="20"/>
          <w:szCs w:val="20"/>
          <w:color w:val="auto"/>
        </w:rPr>
      </w:pPr>
      <w:r>
        <w:rPr>
          <w:rFonts w:ascii="Arial" w:cs="Arial" w:eastAsia="Arial" w:hAnsi="Arial"/>
          <w:sz w:val="15"/>
          <w:szCs w:val="15"/>
          <w:b w:val="1"/>
          <w:bCs w:val="1"/>
          <w:color w:val="auto"/>
        </w:rPr>
        <w:t>(617) 651-8851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Bryan E. Stuart</w:t>
      </w:r>
    </w:p>
    <w:p>
      <w:pPr>
        <w:jc w:val="center"/>
        <w:ind w:right="-11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19"/>
        <w:spacing w:after="0" w:line="225" w:lineRule="auto"/>
        <w:rPr>
          <w:sz w:val="20"/>
          <w:szCs w:val="20"/>
          <w:color w:val="auto"/>
        </w:rPr>
      </w:pPr>
      <w:r>
        <w:rPr>
          <w:rFonts w:ascii="Arial" w:cs="Arial" w:eastAsia="Arial" w:hAnsi="Arial"/>
          <w:sz w:val="15"/>
          <w:szCs w:val="15"/>
          <w:b w:val="1"/>
          <w:bCs w:val="1"/>
          <w:color w:val="auto"/>
        </w:rPr>
        <w:t>Fulcrum Therapeutics, Inc.</w:t>
      </w:r>
    </w:p>
    <w:p>
      <w:pPr>
        <w:jc w:val="center"/>
        <w:ind w:right="-119"/>
        <w:spacing w:after="0" w:line="225" w:lineRule="auto"/>
        <w:rPr>
          <w:sz w:val="20"/>
          <w:szCs w:val="20"/>
          <w:color w:val="auto"/>
        </w:rPr>
      </w:pPr>
      <w:r>
        <w:rPr>
          <w:rFonts w:ascii="Arial" w:cs="Arial" w:eastAsia="Arial" w:hAnsi="Arial"/>
          <w:sz w:val="15"/>
          <w:szCs w:val="15"/>
          <w:b w:val="1"/>
          <w:bCs w:val="1"/>
          <w:color w:val="auto"/>
        </w:rPr>
        <w:t>26 Landsdowne Street</w:t>
      </w:r>
    </w:p>
    <w:p>
      <w:pPr>
        <w:jc w:val="center"/>
        <w:ind w:right="-119"/>
        <w:spacing w:after="0" w:line="226" w:lineRule="auto"/>
        <w:rPr>
          <w:sz w:val="20"/>
          <w:szCs w:val="20"/>
          <w:color w:val="auto"/>
        </w:rPr>
      </w:pPr>
      <w:r>
        <w:rPr>
          <w:rFonts w:ascii="Arial" w:cs="Arial" w:eastAsia="Arial" w:hAnsi="Arial"/>
          <w:sz w:val="15"/>
          <w:szCs w:val="15"/>
          <w:b w:val="1"/>
          <w:bCs w:val="1"/>
          <w:color w:val="auto"/>
        </w:rPr>
        <w:t>Cambridge, Massachusetts 02139</w:t>
      </w:r>
    </w:p>
    <w:p>
      <w:pPr>
        <w:jc w:val="center"/>
        <w:ind w:right="-119"/>
        <w:spacing w:after="0" w:line="218" w:lineRule="auto"/>
        <w:rPr>
          <w:sz w:val="20"/>
          <w:szCs w:val="20"/>
          <w:color w:val="auto"/>
        </w:rPr>
      </w:pPr>
      <w:r>
        <w:rPr>
          <w:rFonts w:ascii="Arial" w:cs="Arial" w:eastAsia="Arial" w:hAnsi="Arial"/>
          <w:sz w:val="15"/>
          <w:szCs w:val="15"/>
          <w:b w:val="1"/>
          <w:bCs w:val="1"/>
          <w:color w:val="auto"/>
        </w:rPr>
        <w:t>(617) 651-8851</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131" w:lineRule="exact"/>
        <w:rPr>
          <w:sz w:val="24"/>
          <w:szCs w:val="24"/>
          <w:color w:val="auto"/>
        </w:rPr>
      </w:pPr>
    </w:p>
    <w:tbl>
      <w:tblPr>
        <w:tblLayout w:type="fixed"/>
        <w:tblInd w:w="1300" w:type="dxa"/>
        <w:tblCellMar>
          <w:top w:w="0" w:type="dxa"/>
          <w:left w:w="0" w:type="dxa"/>
          <w:bottom w:w="0" w:type="dxa"/>
          <w:right w:w="0" w:type="dxa"/>
        </w:tblCellMar>
      </w:tblPr>
      <w:tr>
        <w:trPr>
          <w:trHeight w:val="20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94"/>
              </w:rPr>
              <w:t>Lia Der Marderosian, Esq.</w:t>
            </w:r>
          </w:p>
        </w:tc>
        <w:tc>
          <w:tcPr>
            <w:tcW w:w="3740" w:type="dxa"/>
            <w:vAlign w:val="bottom"/>
          </w:tcPr>
          <w:p>
            <w:pPr>
              <w:jc w:val="center"/>
              <w:ind w:left="1319"/>
              <w:spacing w:after="0"/>
              <w:rPr>
                <w:sz w:val="20"/>
                <w:szCs w:val="20"/>
                <w:color w:val="auto"/>
              </w:rPr>
            </w:pPr>
            <w:r>
              <w:rPr>
                <w:rFonts w:ascii="Arial" w:cs="Arial" w:eastAsia="Arial" w:hAnsi="Arial"/>
                <w:sz w:val="16"/>
                <w:szCs w:val="16"/>
                <w:b w:val="1"/>
                <w:bCs w:val="1"/>
                <w:color w:val="auto"/>
                <w:w w:val="92"/>
              </w:rPr>
              <w:t>Curtis Oltmans, Esq.</w:t>
            </w:r>
          </w:p>
        </w:tc>
      </w:tr>
      <w:tr>
        <w:trPr>
          <w:trHeight w:val="20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92"/>
              </w:rPr>
              <w:t>Craig Hilts, Esq.</w:t>
            </w:r>
          </w:p>
        </w:tc>
        <w:tc>
          <w:tcPr>
            <w:tcW w:w="3740" w:type="dxa"/>
            <w:vAlign w:val="bottom"/>
          </w:tcPr>
          <w:p>
            <w:pPr>
              <w:jc w:val="center"/>
              <w:ind w:left="1339"/>
              <w:spacing w:after="0"/>
              <w:rPr>
                <w:sz w:val="20"/>
                <w:szCs w:val="20"/>
                <w:color w:val="auto"/>
              </w:rPr>
            </w:pPr>
            <w:r>
              <w:rPr>
                <w:rFonts w:ascii="Arial" w:cs="Arial" w:eastAsia="Arial" w:hAnsi="Arial"/>
                <w:sz w:val="16"/>
                <w:szCs w:val="16"/>
                <w:b w:val="1"/>
                <w:bCs w:val="1"/>
                <w:color w:val="auto"/>
                <w:w w:val="91"/>
              </w:rPr>
              <w:t>General Counsel</w:t>
            </w:r>
          </w:p>
        </w:tc>
      </w:tr>
      <w:tr>
        <w:trPr>
          <w:trHeight w:val="20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92"/>
              </w:rPr>
              <w:t>Caroline Dotolo, Esq.</w:t>
            </w:r>
          </w:p>
        </w:tc>
        <w:tc>
          <w:tcPr>
            <w:tcW w:w="3740" w:type="dxa"/>
            <w:vAlign w:val="bottom"/>
          </w:tcPr>
          <w:p>
            <w:pPr>
              <w:jc w:val="center"/>
              <w:ind w:left="1339"/>
              <w:spacing w:after="0"/>
              <w:rPr>
                <w:sz w:val="20"/>
                <w:szCs w:val="20"/>
                <w:color w:val="auto"/>
              </w:rPr>
            </w:pPr>
            <w:r>
              <w:rPr>
                <w:rFonts w:ascii="Arial" w:cs="Arial" w:eastAsia="Arial" w:hAnsi="Arial"/>
                <w:sz w:val="16"/>
                <w:szCs w:val="16"/>
                <w:b w:val="1"/>
                <w:bCs w:val="1"/>
                <w:color w:val="auto"/>
                <w:w w:val="92"/>
              </w:rPr>
              <w:t>Fulcrum Therapeutics, Inc.</w:t>
            </w:r>
          </w:p>
        </w:tc>
      </w:tr>
      <w:tr>
        <w:trPr>
          <w:trHeight w:val="20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96"/>
              </w:rPr>
              <w:t>Wilmer Cutler Pickering Hale and Dorr LLP</w:t>
            </w:r>
          </w:p>
        </w:tc>
        <w:tc>
          <w:tcPr>
            <w:tcW w:w="3740" w:type="dxa"/>
            <w:vAlign w:val="bottom"/>
          </w:tcPr>
          <w:p>
            <w:pPr>
              <w:jc w:val="center"/>
              <w:ind w:left="1339"/>
              <w:spacing w:after="0"/>
              <w:rPr>
                <w:sz w:val="20"/>
                <w:szCs w:val="20"/>
                <w:color w:val="auto"/>
              </w:rPr>
            </w:pPr>
            <w:r>
              <w:rPr>
                <w:rFonts w:ascii="Arial" w:cs="Arial" w:eastAsia="Arial" w:hAnsi="Arial"/>
                <w:sz w:val="16"/>
                <w:szCs w:val="16"/>
                <w:b w:val="1"/>
                <w:bCs w:val="1"/>
                <w:color w:val="auto"/>
                <w:w w:val="89"/>
              </w:rPr>
              <w:t>26 Landsdowne Street</w:t>
            </w:r>
          </w:p>
        </w:tc>
      </w:tr>
      <w:tr>
        <w:trPr>
          <w:trHeight w:val="20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91"/>
              </w:rPr>
              <w:t>60 State Street</w:t>
            </w:r>
          </w:p>
        </w:tc>
        <w:tc>
          <w:tcPr>
            <w:tcW w:w="3740" w:type="dxa"/>
            <w:vAlign w:val="bottom"/>
          </w:tcPr>
          <w:p>
            <w:pPr>
              <w:jc w:val="center"/>
              <w:ind w:left="1339"/>
              <w:spacing w:after="0"/>
              <w:rPr>
                <w:sz w:val="20"/>
                <w:szCs w:val="20"/>
                <w:color w:val="auto"/>
              </w:rPr>
            </w:pPr>
            <w:r>
              <w:rPr>
                <w:rFonts w:ascii="Arial" w:cs="Arial" w:eastAsia="Arial" w:hAnsi="Arial"/>
                <w:sz w:val="16"/>
                <w:szCs w:val="16"/>
                <w:b w:val="1"/>
                <w:bCs w:val="1"/>
                <w:color w:val="auto"/>
                <w:w w:val="90"/>
              </w:rPr>
              <w:t>Cambridge, Massachusetts 02139</w:t>
            </w:r>
          </w:p>
        </w:tc>
      </w:tr>
      <w:tr>
        <w:trPr>
          <w:trHeight w:val="20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88"/>
              </w:rPr>
              <w:t>Boston, Massachusetts 02109</w:t>
            </w:r>
          </w:p>
        </w:tc>
        <w:tc>
          <w:tcPr>
            <w:tcW w:w="3740" w:type="dxa"/>
            <w:vAlign w:val="bottom"/>
          </w:tcPr>
          <w:p>
            <w:pPr>
              <w:jc w:val="center"/>
              <w:ind w:left="1339"/>
              <w:spacing w:after="0"/>
              <w:rPr>
                <w:sz w:val="20"/>
                <w:szCs w:val="20"/>
                <w:color w:val="auto"/>
              </w:rPr>
            </w:pPr>
            <w:r>
              <w:rPr>
                <w:rFonts w:ascii="Arial" w:cs="Arial" w:eastAsia="Arial" w:hAnsi="Arial"/>
                <w:sz w:val="16"/>
                <w:szCs w:val="16"/>
                <w:b w:val="1"/>
                <w:bCs w:val="1"/>
                <w:color w:val="auto"/>
                <w:w w:val="91"/>
              </w:rPr>
              <w:t>(617) 651-8851</w:t>
            </w:r>
          </w:p>
        </w:tc>
      </w:tr>
      <w:tr>
        <w:trPr>
          <w:trHeight w:val="210"/>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w w:val="93"/>
              </w:rPr>
              <w:t>(617) 526-6000</w:t>
            </w:r>
          </w:p>
        </w:tc>
        <w:tc>
          <w:tcPr>
            <w:tcW w:w="37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becomes effective.</w:t>
      </w:r>
    </w:p>
    <w:p>
      <w:pPr>
        <w:spacing w:after="0" w:line="194"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44"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3334385</wp:posOffset>
            </wp:positionH>
            <wp:positionV relativeFrom="paragraph">
              <wp:posOffset>-27305</wp:posOffset>
            </wp:positionV>
            <wp:extent cx="365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160"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30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6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80" w:lineRule="exact"/>
        <w:rPr>
          <w:sz w:val="24"/>
          <w:szCs w:val="24"/>
          <w:color w:val="auto"/>
        </w:rPr>
      </w:pPr>
    </w:p>
    <w:p>
      <w:pPr>
        <w:ind w:left="120" w:right="2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ectPr>
          <w:pgSz w:w="11900" w:h="16838" w:orient="portrait"/>
          <w:cols w:equalWidth="0" w:num="1">
            <w:col w:w="11120"/>
          </w:cols>
          <w:pgMar w:left="320" w:top="230" w:right="459" w:bottom="0" w:gutter="0" w:footer="0" w:header="0"/>
        </w:sectPr>
      </w:pPr>
    </w:p>
    <w:bookmarkStart w:id="1" w:name="page2"/>
    <w:bookmarkEnd w:id="1"/>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178435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60"/>
          </w:cols>
          <w:pgMar w:left="440" w:top="121" w:right="7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ind w:left="1120"/>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17"/>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8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par value $0.001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Depositary Shares(4)</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Subtotal</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Primary Offering of Common Stock:</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$150,000,000</w:t>
            </w: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$150,000,000</w:t>
            </w:r>
          </w:p>
        </w:tc>
        <w:tc>
          <w:tcPr>
            <w:tcW w:w="18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$13,905(3)</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52"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Form S-3 General Instructions II.E this information is not required to be included.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4" w:lineRule="exact"/>
        <w:rPr>
          <w:rFonts w:ascii="Arial" w:cs="Arial" w:eastAsia="Arial" w:hAnsi="Arial"/>
          <w:sz w:val="18"/>
          <w:szCs w:val="18"/>
          <w:color w:val="auto"/>
        </w:rPr>
      </w:pPr>
    </w:p>
    <w:p>
      <w:pPr>
        <w:ind w:left="540" w:right="560" w:hanging="424"/>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Rules 456(b) and 457(r) under the Securities Act, except with respect to the $7,500.64 to be paid in connection with the primary offering of common stock described in the table, which is being paid with the filing of this registration statement, the registrant is deferring payment of all registration fees and will pay the registration fees subsequently in advance or on a “pay-as-you-go” basis.</w:t>
      </w:r>
    </w:p>
    <w:p>
      <w:pPr>
        <w:spacing w:after="0" w:line="1"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include $69,086,950 of unsold securities (the “Unsold Securities”) previously registered on the registrant’s Registration Statement on Form S-3 (File No. 333-244136) filed on August 11, 2020 and declared effective on August 17, 2020 (the “Prior Registration Statement”). The Prior Registration Statement registered securities for primary offerings in accordance with Rule 415(a)(1)(x) with a proposed maximum aggregate offering price of $250,000,000. The registrant sold an aggregate of $180,913,050 of such securities under the Prior Registration Statement, leaving the balance of $69,086,950 of Unsold Securities, in respect of which the registrant paid an aggregate registration fee of $8,967.49 (calculated at the filing fee rate in effect at the time of the filing of the Prior Registration Statement) in connection with the Prior Registration Statement. No additional filing fee is due with respect to the Unsold Securities included in this registration statement. A filing fee of $7,500.64 is paid herewith in connection with the $80,913,050 of additional securities registered hereunder. Pursuant to Rule 415(a)(6), the offering of the Unsold Securities under the Prior Registration Statement will be deemed terminated as of the time of filing of this registration statement.</w:t>
      </w:r>
    </w:p>
    <w:p>
      <w:pPr>
        <w:spacing w:after="0" w:line="5"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will represent an interest in a fractional share or multiple shares of preferred stock and will be evidenced by a depositary receipt.</w:t>
      </w:r>
    </w:p>
    <w:p>
      <w:pPr>
        <w:ind w:left="540" w:right="26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Units may be issued under a unit agreement and will represent an interest in one or more securities registered hereby including debt securities, shares of common stock, shares of preferred stock, depositary shares or warrants, in any combination, which may or may not be separable from one another.</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2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covering the offering, issuance and sale by the Registrant of the Registrant’s debt securities, common stock, preferred stock, depositary shares, units and/or warrants from time to time in one or more offerings; and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equity distribution agreement prospectus covering the offering, issuance and sale by the Registrant of up to $150,000,000 of the Registrant’s common stock that may be issued and sold from time to time under an equity distribution agreement with Piper Sandler &amp; Co.</w:t>
      </w:r>
    </w:p>
    <w:p>
      <w:pPr>
        <w:spacing w:after="0" w:line="12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equity distribution agreement prospectus immediately follows the base prospectus.</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171450</wp:posOffset>
            </wp:positionV>
            <wp:extent cx="292290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229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6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securities involves significant risks. See “</w:t>
      </w:r>
      <w:hyperlink w:anchor="page8">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November 4, 2021</w:t>
      </w:r>
    </w:p>
    <w:p>
      <w:pPr>
        <w:sectPr>
          <w:pgSz w:w="11900" w:h="16838" w:orient="portrait"/>
          <w:cols w:equalWidth="0" w:num="1">
            <w:col w:w="11100"/>
          </w:cols>
          <w:pgMar w:left="320" w:top="459"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80" w:type="dxa"/>
            <w:vAlign w:val="bottom"/>
            <w:gridSpan w:val="1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33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33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3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440" w:type="dxa"/>
            <w:vAlign w:val="bottom"/>
            <w:gridSpan w:val="8"/>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WHERE YOU CAN FIND MORE INFORMATION</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INCORPORATION OF CERTAIN DOCUMENTS BY REFERENCE</w:t>
              </w:r>
            </w:hyperlink>
          </w:p>
        </w:tc>
        <w:tc>
          <w:tcPr>
            <w:tcW w:w="2600" w:type="dxa"/>
            <w:vAlign w:val="bottom"/>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76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CAUTIONARY NOTE REGARDING FORWARD-LOOKING STATEMENTS AND INDUSTRY DATA</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ABOUT FULCRUM THERAPEUTICS, INC.</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USE OF PROCEEDS</w:t>
              </w:r>
            </w:hyperlink>
          </w:p>
        </w:tc>
        <w:tc>
          <w:tcPr>
            <w:tcW w:w="1760" w:type="dxa"/>
            <w:vAlign w:val="bottom"/>
            <w:tcBorders>
              <w:top w:val="single" w:sz="8" w:color="0000EE"/>
            </w:tcBorders>
            <w:gridSpan w:val="9"/>
          </w:tcPr>
          <w:p>
            <w:pPr>
              <w:spacing w:after="0"/>
              <w:rPr>
                <w:sz w:val="17"/>
                <w:szCs w:val="17"/>
                <w:color w:val="auto"/>
              </w:rPr>
            </w:pPr>
          </w:p>
        </w:tc>
        <w:tc>
          <w:tcPr>
            <w:tcW w:w="4320" w:type="dxa"/>
            <w:vAlign w:val="bottom"/>
            <w:gridSpan w:val="3"/>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DESCRIPTION OF DEBT SECURITIES</w:t>
              </w:r>
            </w:hyperlink>
          </w:p>
        </w:tc>
        <w:tc>
          <w:tcPr>
            <w:tcW w:w="4640" w:type="dxa"/>
            <w:vAlign w:val="bottom"/>
            <w:gridSpan w:val="5"/>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CAPITAL STOCK</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DESCRIPTION OF DEPOSITARY SHARES</w:t>
              </w:r>
            </w:hyperlink>
          </w:p>
        </w:tc>
        <w:tc>
          <w:tcPr>
            <w:tcW w:w="4340" w:type="dxa"/>
            <w:vAlign w:val="bottom"/>
            <w:gridSpan w:val="4"/>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DESCRIPTION OF UNITS</w:t>
              </w:r>
            </w:hyperlink>
          </w:p>
        </w:tc>
        <w:tc>
          <w:tcPr>
            <w:tcW w:w="5640" w:type="dxa"/>
            <w:vAlign w:val="bottom"/>
            <w:gridSpan w:val="10"/>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WARRANTS</w:t>
              </w:r>
            </w:hyperlink>
          </w:p>
        </w:tc>
        <w:tc>
          <w:tcPr>
            <w:tcW w:w="5180" w:type="dxa"/>
            <w:vAlign w:val="bottom"/>
            <w:gridSpan w:val="7"/>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FORMS OF SECURITIES</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5620" w:type="dxa"/>
            <w:vAlign w:val="bottom"/>
            <w:gridSpan w:val="9"/>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3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as a “well-known seasoned issuer” as defined in Rule 405 under the Securities Act of 1933, as amended, which we refer to as the “Securities Act”, utilizing an automatic “shelf” registration process. Under this shelf registration process, we may from time to time sell any combination of the securities described in this prospectus in one or more offerings.</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7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86" w:lineRule="exact"/>
        <w:rPr>
          <w:sz w:val="20"/>
          <w:szCs w:val="20"/>
          <w:color w:val="auto"/>
        </w:rPr>
      </w:pPr>
    </w:p>
    <w:p>
      <w:pPr>
        <w:jc w:val="both"/>
        <w:ind w:left="1080" w:right="58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3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2020, including the information specifically incorporated by reference into the Annual Report on Form 10-K from our </w:t>
      </w:r>
      <w:hyperlink r:id="rId31">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2021 Annual Meeting of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w:t>
      </w:r>
      <w:hyperlink r:id="rId32">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35">
        <w:r>
          <w:rPr>
            <w:rFonts w:ascii="Arial" w:cs="Arial" w:eastAsia="Arial" w:hAnsi="Arial"/>
            <w:sz w:val="18"/>
            <w:szCs w:val="18"/>
            <w:u w:val="single" w:color="auto"/>
            <w:color w:val="0000EE"/>
          </w:rPr>
          <w:t>January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w:t>
      </w:r>
      <w:hyperlink r:id="rId36">
        <w:r>
          <w:rPr>
            <w:rFonts w:ascii="Arial" w:cs="Arial" w:eastAsia="Arial" w:hAnsi="Arial"/>
            <w:sz w:val="18"/>
            <w:szCs w:val="18"/>
            <w:u w:val="single" w:color="auto"/>
            <w:color w:val="0000EE"/>
          </w:rPr>
          <w:t>January 20, 2021</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March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Item 9.01), </w:t>
      </w:r>
      <w:hyperlink r:id="rId38">
        <w:r>
          <w:rPr>
            <w:rFonts w:ascii="Arial" w:cs="Arial" w:eastAsia="Arial" w:hAnsi="Arial"/>
            <w:sz w:val="18"/>
            <w:szCs w:val="18"/>
            <w:u w:val="single" w:color="auto"/>
            <w:color w:val="0000EE"/>
          </w:rPr>
          <w:t>March 24,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9.01), </w:t>
      </w:r>
      <w:hyperlink r:id="rId39">
        <w:r>
          <w:rPr>
            <w:rFonts w:ascii="Arial" w:cs="Arial" w:eastAsia="Arial" w:hAnsi="Arial"/>
            <w:sz w:val="18"/>
            <w:szCs w:val="18"/>
            <w:u w:val="single" w:color="auto"/>
            <w:color w:val="0000EE"/>
          </w:rPr>
          <w:t>June 11,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June 24,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August 12,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the description therein has been updated and superseded by the description of our capital stock contained in </w:t>
      </w:r>
      <w:hyperlink r:id="rId43">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1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may request a copy of these filings, at no cost, by writing or calling us at the following address or telephone number:</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(617) 651-8851</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we will assert, to the fullest extent under applicable law, our rights to our trademarks, service marks and trade names.</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4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 following are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of default under the senior indenture with respect to senior debt securities of each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6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8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 defeasance will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any series of debt securities issued under the indentures.</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right="2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92"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6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other securities or property in accordance with the terms of the senior debt securities;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Notice of any redemption of senior debt securities will be mailed at least 10 days but not more than 60 days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9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We will describe the terms upon which senior debt securities may be convertible into our common stock or other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6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i w:val="1"/>
          <w:iCs w:val="1"/>
          <w:color w:val="auto"/>
        </w:rPr>
        <w:t xml:space="preserve">No Personal Liability of Incorporators, Stockholders, Officers or Directors. </w:t>
      </w:r>
      <w:r>
        <w:rPr>
          <w:rFonts w:ascii="Arial" w:cs="Arial" w:eastAsia="Arial" w:hAnsi="Arial"/>
          <w:sz w:val="16"/>
          <w:szCs w:val="16"/>
          <w:color w:val="auto"/>
        </w:rPr>
        <w:t>The senior indenture provides that no recourse shall be had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 xml:space="preserve">Concerning the Trustee. </w:t>
      </w:r>
      <w:r>
        <w:rPr>
          <w:rFonts w:ascii="Arial" w:cs="Arial" w:eastAsia="Arial" w:hAnsi="Arial"/>
          <w:sz w:val="18"/>
          <w:szCs w:val="18"/>
          <w:color w:val="auto"/>
        </w:rPr>
        <w:t>The senior indenture provides that, except during the continuance of an event of default, the trustee will not be liable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65"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September 30, 2021, we had issued and outstanding 40,545,949 shares of our common stock held by 36 stockholders of record (not including beneficial owners whose shares are held in “nominee” or “street” name), including 19,964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winding up of our affairs, rank:</w:t>
      </w:r>
    </w:p>
    <w:p>
      <w:pPr>
        <w:spacing w:after="0" w:line="76" w:lineRule="exact"/>
        <w:rPr>
          <w:sz w:val="20"/>
          <w:szCs w:val="20"/>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 dividends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rates and on such dates described in the prospectus supplement.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2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83" w:lineRule="exact"/>
        <w:rPr>
          <w:sz w:val="20"/>
          <w:szCs w:val="20"/>
          <w:color w:val="auto"/>
        </w:rPr>
      </w:pPr>
    </w:p>
    <w:p>
      <w:pPr>
        <w:ind w:left="1080" w:right="22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1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shares of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 in the applicable prospectus supplement.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comprising the units may be traded separately;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identity of any unit agent for the units, if applicable,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additional provisions for the issuance, payment, settlement, transfer or exchange of the units or of the securities comprising the units;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0"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2697480</wp:posOffset>
            </wp:positionV>
            <wp:extent cx="2922905" cy="737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2922905" cy="7372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Depositary Shares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2392045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2451735</wp:posOffset>
            </wp:positionV>
            <wp:extent cx="69951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171450</wp:posOffset>
            </wp:positionV>
            <wp:extent cx="2922905" cy="737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9229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$150,000,000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have entered into an Equity Distribution Agreement, or equity distribution agreement, with Piper Sandler &amp; Co., or Piper Sandler, dated August 11, 2020, and as amended on November 4, 2021, relating to the sale of shares of our common stock offered by this prospectus. In accordance with the terms of the equity distribution agreement, under this prospectus we may offer and sell shares of our common stock, $0.001 par value per share, having an aggregate offering price of up to $150,000,000 from time to time through Piper Sandler, acting as our agent.</w:t>
      </w:r>
    </w:p>
    <w:p>
      <w:pPr>
        <w:spacing w:after="0" w:line="1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“FULC”. On November 2, 2021, the last sale price of our common stock as reported on The Nasdaq Global Market was $20.88 per share.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Sales of our common stock, if any, under this prospectus may be made by any method permitted by law that is deemed to be an “at the market offering” as defined in Rule 415(a)(4) under the Securities Act of 1933, as amended, or the Securities Act, including sales made directly on or through The Nasdaq Global Market, the existing trading market for our common stock. Piper Sandler is not required to sell any specific amount, but will act as our sales agent using commercially reasonable efforts, consistent with its normal trading and sales practices. There is no arrangement for funds to be received in an escrow, trust or similar arrangement.</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compensation to Piper Sandler for sales of common stock sold pursuant to the equity distribution agreement will be 3.0% of the gross proceeds of any shares of common stock sold under the equity distribution agreement. See “Plan of Distribution” beginning on page SA-13 for additional information regarding the compensation to be paid to Piper Sandler. In connection with the sale of the common stock on our behalf, Piper Sandler will be deemed to be an “underwriter” within the meaning of the Securities Act and the compensation of Piper Sandler will be deemed to be underwriting commissions or discounts. We have also agreed to provide indemnification and contribution to Piper Sandler with respect to certain liabilities, including civil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6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significant risks. See “</w:t>
      </w:r>
      <w:hyperlink w:anchor="page4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SA-5 of this prospectus and in the documents incorporated by reference in this prospectus for a discussion of the factors you should carefully consider before deciding to purchase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215265</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Piper Sandler</w:t>
      </w: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November 4, 2021</w:t>
      </w:r>
    </w:p>
    <w:p>
      <w:pPr>
        <w:sectPr>
          <w:pgSz w:w="11900" w:h="16838" w:orient="portrait"/>
          <w:cols w:equalWidth="0" w:num="1">
            <w:col w:w="11100"/>
          </w:cols>
          <w:pgMar w:left="320" w:top="459" w:right="4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9200" w:type="dxa"/>
            <w:vAlign w:val="bottom"/>
            <w:gridSpan w:val="1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8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8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98"/>
              </w:rPr>
              <w:t>TABLE OF CONTENTS</w:t>
            </w:r>
          </w:p>
        </w:tc>
        <w:tc>
          <w:tcPr>
            <w:tcW w:w="18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08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ABOUT THIS PROSPECTUS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SA-1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8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CAUTIONARY NOTE REGARDING FORWARD-LOOKING STATEMENTS AND INDUSTRY DATA</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SA-2</w:t>
            </w:r>
          </w:p>
        </w:tc>
      </w:tr>
      <w:tr>
        <w:trPr>
          <w:trHeight w:val="196"/>
        </w:trPr>
        <w:tc>
          <w:tcPr>
            <w:tcW w:w="120" w:type="dxa"/>
            <w:vAlign w:val="bottom"/>
          </w:tcPr>
          <w:p>
            <w:pPr>
              <w:spacing w:after="0"/>
              <w:rPr>
                <w:sz w:val="17"/>
                <w:szCs w:val="17"/>
                <w:color w:val="auto"/>
              </w:rPr>
            </w:pPr>
          </w:p>
        </w:tc>
        <w:tc>
          <w:tcPr>
            <w:tcW w:w="7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PROSPECTUS SUMMARY</w:t>
              </w:r>
            </w:hyperlink>
          </w:p>
        </w:tc>
        <w:tc>
          <w:tcPr>
            <w:tcW w:w="138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SA-3</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THE OFFERING</w:t>
              </w:r>
            </w:hyperlink>
          </w:p>
        </w:tc>
        <w:tc>
          <w:tcPr>
            <w:tcW w:w="800" w:type="dxa"/>
            <w:vAlign w:val="bottom"/>
            <w:tcBorders>
              <w:top w:val="single" w:sz="8" w:color="0000EE"/>
            </w:tcBorders>
            <w:gridSpan w:val="4"/>
          </w:tcPr>
          <w:p>
            <w:pPr>
              <w:spacing w:after="0"/>
              <w:rPr>
                <w:sz w:val="17"/>
                <w:szCs w:val="17"/>
                <w:color w:val="auto"/>
              </w:rPr>
            </w:pPr>
          </w:p>
        </w:tc>
        <w:tc>
          <w:tcPr>
            <w:tcW w:w="7000" w:type="dxa"/>
            <w:vAlign w:val="bottom"/>
            <w:gridSpan w:val="6"/>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SA-4</w:t>
            </w:r>
          </w:p>
        </w:tc>
      </w:tr>
      <w:tr>
        <w:trPr>
          <w:trHeight w:val="196"/>
        </w:trPr>
        <w:tc>
          <w:tcPr>
            <w:tcW w:w="120" w:type="dxa"/>
            <w:vAlign w:val="bottom"/>
          </w:tcPr>
          <w:p>
            <w:pPr>
              <w:spacing w:after="0"/>
              <w:rPr>
                <w:sz w:val="17"/>
                <w:szCs w:val="17"/>
                <w:color w:val="auto"/>
              </w:rPr>
            </w:pPr>
          </w:p>
        </w:tc>
        <w:tc>
          <w:tcPr>
            <w:tcW w:w="908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USE OF PROCEEDS</w:t>
              </w:r>
            </w:hyperlink>
          </w:p>
        </w:tc>
        <w:tc>
          <w:tcPr>
            <w:tcW w:w="7500" w:type="dxa"/>
            <w:vAlign w:val="bottom"/>
            <w:gridSpan w:val="8"/>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SA-7</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DILUTION</w:t>
              </w:r>
            </w:hyperlink>
          </w:p>
        </w:tc>
        <w:tc>
          <w:tcPr>
            <w:tcW w:w="8220" w:type="dxa"/>
            <w:vAlign w:val="bottom"/>
            <w:gridSpan w:val="12"/>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SA-8</w:t>
            </w:r>
          </w:p>
        </w:tc>
      </w:tr>
      <w:tr>
        <w:trPr>
          <w:trHeight w:val="196"/>
        </w:trPr>
        <w:tc>
          <w:tcPr>
            <w:tcW w:w="120" w:type="dxa"/>
            <w:vAlign w:val="bottom"/>
          </w:tcPr>
          <w:p>
            <w:pPr>
              <w:spacing w:after="0"/>
              <w:rPr>
                <w:sz w:val="17"/>
                <w:szCs w:val="17"/>
                <w:color w:val="auto"/>
              </w:rPr>
            </w:pPr>
          </w:p>
        </w:tc>
        <w:tc>
          <w:tcPr>
            <w:tcW w:w="908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SA-9</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6220" w:type="dxa"/>
            <w:vAlign w:val="bottom"/>
            <w:gridSpan w:val="4"/>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7040" w:type="dxa"/>
            <w:vAlign w:val="bottom"/>
            <w:gridSpan w:val="7"/>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SA-15</w:t>
            </w:r>
          </w:p>
        </w:tc>
      </w:tr>
      <w:tr>
        <w:trPr>
          <w:trHeight w:val="196"/>
        </w:trPr>
        <w:tc>
          <w:tcPr>
            <w:tcW w:w="120" w:type="dxa"/>
            <w:vAlign w:val="bottom"/>
          </w:tcPr>
          <w:p>
            <w:pPr>
              <w:spacing w:after="0"/>
              <w:rPr>
                <w:sz w:val="17"/>
                <w:szCs w:val="17"/>
                <w:color w:val="auto"/>
              </w:rPr>
            </w:pPr>
          </w:p>
        </w:tc>
        <w:tc>
          <w:tcPr>
            <w:tcW w:w="908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8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WHERE YOU CAN FIND MORE INFORMATION</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SA-16</w:t>
            </w:r>
          </w:p>
        </w:tc>
      </w:tr>
      <w:tr>
        <w:trPr>
          <w:trHeight w:val="20"/>
        </w:trPr>
        <w:tc>
          <w:tcPr>
            <w:tcW w:w="120" w:type="dxa"/>
            <w:vAlign w:val="bottom"/>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8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OF CERTAIN DOCUMENTS BY REFERENCE</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SA-16</w:t>
            </w:r>
          </w:p>
        </w:tc>
      </w:tr>
      <w:tr>
        <w:trPr>
          <w:trHeight w:val="385"/>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20" w:type="dxa"/>
            <w:vAlign w:val="bottom"/>
            <w:gridSpan w:val="2"/>
          </w:tcPr>
          <w:p>
            <w:pPr>
              <w:jc w:val="center"/>
              <w:ind w:right="3120"/>
              <w:spacing w:after="0"/>
              <w:rPr>
                <w:sz w:val="20"/>
                <w:szCs w:val="20"/>
                <w:color w:val="auto"/>
              </w:rPr>
            </w:pPr>
            <w:r>
              <w:rPr>
                <w:rFonts w:ascii="Arial" w:cs="Arial" w:eastAsia="Arial" w:hAnsi="Arial"/>
                <w:sz w:val="18"/>
                <w:szCs w:val="18"/>
                <w:color w:val="auto"/>
                <w:w w:val="99"/>
              </w:rPr>
              <w:t>SA-i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as a “well-known seasoned issuer” as defined in Rule 405 of the Securities of 1933, as amended, or the Securities Act, utilizing an automatic “shelf” registration process. Under this prospectus, we may from time to time sell shares of our common stock having an aggregate offering price of up to $150,000,000, at prices and on terms to be determined by market conditions at the time of the offering.</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Before buying any of the common stock that we are offering, we urge you to carefully read this prospectus and all of the information in the documents that are incorporated by reference in this prospectus, as well as the additional information described under the headings “Where You Can Find More Information” and “Incorporation of Certain Documents by Reference.” These documents contain important information that you should consider when making your investment decision.</w:t>
      </w:r>
    </w:p>
    <w:p>
      <w:pPr>
        <w:spacing w:after="0" w:line="18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88"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have not, and Piper Sandler has not, authorized anyone to provide you with any information other than that contained or incorporated by reference in this prospectus or any accompanying prospectus supplement or in any related free writing prospectus to which we have referred you. We and Piper Sandler take no responsibility for, and can provide no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of Certain Documents by Reference” in this prospectus.</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“Fulcrum” “we,” “our,” “us” and “the Company”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w:t>
      </w:r>
    </w:p>
    <w:p>
      <w:pPr>
        <w:spacing w:after="0" w:line="35"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Section 27A of the Securities Act of 1933, as amended, or the Securities Act, and Section 21E of the Securities Exchange Act of 1934, as amended, or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94"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5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SA-5 of this prospectus, along with our consolidated financial statements and notes to those consolidated financial statements and the other documents incorporated by reference in this prospectus.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we will assert, to the fullest extent under applicable law, our rights to our trademarks, service marks and trade names.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92" w:lineRule="exact"/>
        <w:rPr>
          <w:sz w:val="20"/>
          <w:szCs w:val="20"/>
          <w:color w:val="auto"/>
        </w:rPr>
      </w:pPr>
    </w:p>
    <w:p>
      <w:pPr>
        <w:ind w:left="120" w:right="280"/>
        <w:spacing w:after="0" w:line="272"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as of our most recently completed second fiscal quarter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6"/>
          <w:szCs w:val="16"/>
          <w:color w:val="auto"/>
        </w:rPr>
        <w:t>Shares of our common stock having an aggregate offering price of up to $150,000,000.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Common Stock to be Outstanding Immediately After </w:t>
      </w:r>
      <w:r>
        <w:rPr>
          <w:rFonts w:ascii="Arial" w:cs="Arial" w:eastAsia="Arial" w:hAnsi="Arial"/>
          <w:sz w:val="16"/>
          <w:szCs w:val="16"/>
          <w:color w:val="auto"/>
        </w:rPr>
        <w:t>Up to 47,729,857 shares, assuming sales of 7,183,908 shares of our common stock in this</w:t>
      </w:r>
    </w:p>
    <w:p>
      <w:pPr>
        <w:spacing w:after="0" w:line="50" w:lineRule="exact"/>
        <w:rPr>
          <w:sz w:val="20"/>
          <w:szCs w:val="20"/>
          <w:color w:val="auto"/>
        </w:rPr>
      </w:pPr>
    </w:p>
    <w:p>
      <w:pPr>
        <w:ind w:left="4300" w:right="60" w:hanging="4184"/>
        <w:spacing w:after="0" w:line="255" w:lineRule="auto"/>
        <w:tabs>
          <w:tab w:leader="none" w:pos="4280" w:val="left"/>
        </w:tabs>
        <w:rPr>
          <w:sz w:val="20"/>
          <w:szCs w:val="20"/>
          <w:color w:val="auto"/>
        </w:rPr>
      </w:pPr>
      <w:r>
        <w:rPr>
          <w:rFonts w:ascii="Arial" w:cs="Arial" w:eastAsia="Arial" w:hAnsi="Arial"/>
          <w:sz w:val="18"/>
          <w:szCs w:val="18"/>
          <w:b w:val="1"/>
          <w:bCs w:val="1"/>
          <w:color w:val="auto"/>
        </w:rPr>
        <w:t>This Offering</w:t>
      </w:r>
      <w:r>
        <w:rPr>
          <w:sz w:val="20"/>
          <w:szCs w:val="20"/>
          <w:color w:val="auto"/>
        </w:rPr>
        <w:tab/>
      </w:r>
      <w:r>
        <w:rPr>
          <w:rFonts w:ascii="Arial" w:cs="Arial" w:eastAsia="Arial" w:hAnsi="Arial"/>
          <w:sz w:val="18"/>
          <w:szCs w:val="18"/>
          <w:color w:val="auto"/>
        </w:rPr>
        <w:t>offering at a price of $20.88 per share, which was the last reported sale price of our common stock on The Nasdaq Global Market on November 2, 2021. The actual number of shares issued will vary depending on the sales price under this offering</w:t>
      </w:r>
    </w:p>
    <w:p>
      <w:pPr>
        <w:sectPr>
          <w:pgSz w:w="11900" w:h="16838" w:orient="portrait"/>
          <w:cols w:equalWidth="0" w:num="1">
            <w:col w:w="11020"/>
          </w:cols>
          <w:pgMar w:left="320" w:top="459" w:right="559" w:bottom="1440" w:gutter="0" w:footer="0" w:header="0"/>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Manner of Offering</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 the market” offering that may be made from time to time through our sales agent, Piper Sandler. See “Plan of Distribution” in this prospectus for more information.</w:t>
      </w:r>
    </w:p>
    <w:p>
      <w:pPr>
        <w:spacing w:after="0" w:line="169" w:lineRule="exact"/>
        <w:rPr>
          <w:sz w:val="20"/>
          <w:szCs w:val="20"/>
          <w:color w:val="auto"/>
        </w:rPr>
      </w:pPr>
    </w:p>
    <w:p>
      <w:pPr>
        <w:sectPr>
          <w:pgSz w:w="11900" w:h="16838" w:orient="portrait"/>
          <w:cols w:equalWidth="0" w:num="2">
            <w:col w:w="3580" w:space="720"/>
            <w:col w:w="6720"/>
          </w:cols>
          <w:pgMar w:left="320" w:top="459" w:right="55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We intend to use the net proceeds from the sale of securities offered under this prospectus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 See “Use of Proceeds” in this prospectus for more information.</w:t>
      </w:r>
    </w:p>
    <w:p>
      <w:pPr>
        <w:spacing w:after="0" w:line="200" w:lineRule="exact"/>
        <w:rPr>
          <w:sz w:val="20"/>
          <w:szCs w:val="20"/>
          <w:color w:val="auto"/>
        </w:rPr>
      </w:pPr>
    </w:p>
    <w:p>
      <w:pPr>
        <w:sectPr>
          <w:pgSz w:w="11900" w:h="16838" w:orient="portrait"/>
          <w:cols w:equalWidth="0" w:num="2">
            <w:col w:w="3580" w:space="720"/>
            <w:col w:w="6720"/>
          </w:cols>
          <w:pgMar w:left="320" w:top="459" w:right="559"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You should read the “Risk Factors” in this prospectus and the other documents incorporated by reference into this prospectus for a discussion of factors to consider carefully before deciding to purchase shares of our common stock.</w:t>
      </w:r>
    </w:p>
    <w:p>
      <w:pPr>
        <w:spacing w:after="0" w:line="200" w:lineRule="exact"/>
        <w:rPr>
          <w:sz w:val="20"/>
          <w:szCs w:val="20"/>
          <w:color w:val="auto"/>
        </w:rPr>
      </w:pPr>
    </w:p>
    <w:p>
      <w:pPr>
        <w:sectPr>
          <w:pgSz w:w="11900" w:h="16838" w:orient="portrait"/>
          <w:cols w:equalWidth="0" w:num="2">
            <w:col w:w="3580" w:space="720"/>
            <w:col w:w="6720"/>
          </w:cols>
          <w:pgMar w:left="320" w:top="459" w:right="559"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FULC</w:t>
      </w:r>
    </w:p>
    <w:p>
      <w:pPr>
        <w:spacing w:after="0" w:line="200" w:lineRule="exact"/>
        <w:rPr>
          <w:sz w:val="20"/>
          <w:szCs w:val="20"/>
          <w:color w:val="auto"/>
        </w:rPr>
      </w:pPr>
    </w:p>
    <w:p>
      <w:pPr>
        <w:sectPr>
          <w:pgSz w:w="11900" w:h="16838" w:orient="portrait"/>
          <w:cols w:equalWidth="0" w:num="2">
            <w:col w:w="3580" w:space="720"/>
            <w:col w:w="6720"/>
          </w:cols>
          <w:pgMar w:left="320" w:top="459" w:right="559" w:bottom="1440" w:gutter="0" w:footer="0" w:header="0"/>
          <w:type w:val="continuous"/>
        </w:sectPr>
      </w:pPr>
    </w:p>
    <w:p>
      <w:pPr>
        <w:spacing w:after="0" w:line="50"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The number of shares of our common stock that will be outstanding immediately after this offering as shown above is based on 40,545,949 shares outstanding as of September 30, 2021, including 19,964 shares of unvested restricted stock subject to repurchase by us. The number of shares outstanding as of September 30, 2021 as used throughout this prospectus, unless otherwise indicated, excludes:</w:t>
      </w:r>
    </w:p>
    <w:p>
      <w:pPr>
        <w:spacing w:after="0" w:line="192" w:lineRule="exact"/>
        <w:rPr>
          <w:sz w:val="20"/>
          <w:szCs w:val="20"/>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4,962,869 shares of common stock issuable upon exercise of stock options outstanding as of September 30, 2021 at a weighted average exercise price of $13.04 per share; and</w:t>
      </w:r>
    </w:p>
    <w:p>
      <w:pPr>
        <w:spacing w:after="0" w:line="197"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579,016 and 729,900 shares of our common stock available for future issuance as of September 30, 2021 under our 2019 Stock Incentive Plan and our 2019 Employee Stock Purchase Plan, respectively, as well as any automatic increases in the number of shares of common stock reserved under these plans.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1020"/>
          </w:cols>
          <w:pgMar w:left="320" w:top="459" w:right="5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prospectus and the risk factors in our most recent Annual Report on Form 10-K, our most recent Quarterly Report on Form 10-Q and in our other filings with the SEC that we make from time to time, which are incorporated by reference in this prospectus, together with other information in this prospectus, the information and documents incorporated by reference in this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filed a registration statement covering the resale of 4,029,411 shares of our common stock that we sold to purchasers in a private placement and have agreed to keep such registration statement effective until the date the shares covered by the registration statement have been sold or can be resold without restriction under Rule 144 of the Securities Act.</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management may invest or spend the proceeds of this offering in ways with which you may not agree or in ways that may not yield a return.</w:t>
      </w:r>
    </w:p>
    <w:p>
      <w:pPr>
        <w:spacing w:after="0" w:line="140"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7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$150,000,000 at an assumed offering price of $20.88 per share, the last sale price of our common stock on November 2, 2021 on The Nasdaq Global Market, and after deducting estimated commissions and estimated offering expenses payable by us, our as adjusted net tangible book value as of September 30, 2021 would have been approximately $375.9 million, or approximately $7.88 per share. This represents an immediate increase in as adjusted net tangible book value of approximately $2.19 per share to our existing stockholders and an immediate dilution in as adjusted net tangible book value of approximately $13.00 per share to purchasers of our common stock in this offering. See “Dilution” in this prospectus for more information.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30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6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equity distribution agreement, at any one time or in total, is uncertain.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Subject to certain limitations in the equity distribution agreement and compliance with applicable law, we have the discretion to deliver a placement notice to Piper Sandler at any time throughout the term of the equity distribution agreement. The number of shares that are sold by Piper Sandler after delivering a placement notice will fluctuate based on the market price of our common stock during the sales period and limits we set with Piper Sandler. Because the price per share of each share sold will fluctuate based on the market price of our common stock during the sales period, it is not possible at this stage to predict the number of shares that will be ultimately issued.</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2960"/>
        <w:spacing w:after="0" w:line="291" w:lineRule="auto"/>
        <w:rPr>
          <w:sz w:val="20"/>
          <w:szCs w:val="20"/>
          <w:color w:val="auto"/>
        </w:rPr>
      </w:pPr>
      <w:r>
        <w:rPr>
          <w:rFonts w:ascii="Arial" w:cs="Arial" w:eastAsia="Arial" w:hAnsi="Arial"/>
          <w:sz w:val="16"/>
          <w:szCs w:val="16"/>
          <w:color w:val="auto"/>
        </w:rPr>
        <w:t>Investors who purchase shares in this offering at different times will likely pay different prices, and so may experience different outcomes in their investment results. We will have discretion, subject to market demand, to</w:t>
      </w:r>
    </w:p>
    <w:p>
      <w:pPr>
        <w:ind w:left="120" w:right="380"/>
        <w:spacing w:after="0" w:line="260" w:lineRule="auto"/>
        <w:rPr>
          <w:sz w:val="20"/>
          <w:szCs w:val="20"/>
          <w:color w:val="auto"/>
        </w:rPr>
      </w:pPr>
      <w:r>
        <w:rPr>
          <w:rFonts w:ascii="Arial" w:cs="Arial" w:eastAsia="Arial" w:hAnsi="Arial"/>
          <w:sz w:val="18"/>
          <w:szCs w:val="18"/>
          <w:color w:val="auto"/>
        </w:rPr>
        <w:t>vary the timing, prices, and numbers of shares sold. Investors may experience a decline in the value of their shares as a result of share sales made at prices lower than the prices they paid.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may issue and sell shares of our common stock having aggregate gross sales proceeds of up to $150,000,000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currently anticipate that we will use the net proceeds from this offering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this offering.</w:t>
      </w:r>
    </w:p>
    <w:p>
      <w:pPr>
        <w:spacing w:after="0" w:line="12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Our historical net tangible book value as of September 30, 2021 was approximately $230.6 million, or $5.69 per share of our common stock. Our historical net tangible book value is the amount of our total tangible assets less our total liabilities. Historical net tangible book value per share represents historical net tangible book value divided by the 40,545,949 shares of our common stock outstanding as of September 30, 2021, including 19,964 shares of unvested restricted stock subject to repurchase by us.</w:t>
      </w:r>
    </w:p>
    <w:p>
      <w:pPr>
        <w:spacing w:after="0" w:line="187"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After giving effect to the assumed sale by us of shares of our common stock in the aggregate amount of $150.0 million at an assumed public offering price of $20.88 per share (the last sale price of our common stock on November 2, 2021 as reported on The Nasdaq Global Market), less the estimated commissions and estimated offering expenses payable by us, our as adjusted net tangible book value at September 30, 2021 would have been approximately $375.9 million, or $7.88 per share. This represents an immediate increase in as adjusted net tangible book value of $2.19 per share to existing stockholders and an immediate dilution of $13.00 per share to investors in this offering. The following table illustrates this per share dilution.</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20.88</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September 30, 2021</w:t>
            </w:r>
          </w:p>
        </w:tc>
        <w:tc>
          <w:tcPr>
            <w:tcW w:w="1500" w:type="dxa"/>
            <w:vAlign w:val="bottom"/>
            <w:gridSpan w:val="3"/>
          </w:tcPr>
          <w:p>
            <w:pPr>
              <w:jc w:val="right"/>
              <w:ind w:right="39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5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6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r>
      <w:tr>
        <w:trPr>
          <w:trHeight w:val="27"/>
        </w:trPr>
        <w:tc>
          <w:tcPr>
            <w:tcW w:w="6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13.00</w:t>
            </w:r>
          </w:p>
        </w:tc>
      </w:tr>
      <w:tr>
        <w:trPr>
          <w:trHeight w:val="20"/>
        </w:trPr>
        <w:tc>
          <w:tcPr>
            <w:tcW w:w="6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as adjusted information is illustrative only and will adjust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$150.0 million is sold at the assumed offering price of $20.88 per share, the last reported sale price of our common stock on The Nasdaq Global Market on November 2, 2021. The shares sold in this offering, if any, will be sold from time to time at various prices.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above excludes:</w:t>
      </w:r>
    </w:p>
    <w:p>
      <w:pPr>
        <w:spacing w:after="0" w:line="131" w:lineRule="exact"/>
        <w:rPr>
          <w:sz w:val="20"/>
          <w:szCs w:val="20"/>
          <w:color w:val="auto"/>
        </w:rPr>
      </w:pPr>
    </w:p>
    <w:p>
      <w:pPr>
        <w:ind w:left="1080" w:right="3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4,962,869 shares of common stock issuable upon exercise of stock options outstanding as of September 30, 2021 at a weighted average exercise price of $13.04 per share; and</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579,016 and 729,900 shares of our common stock available for future issuance as of September 30, 2021 under our 2019 Stock Incentive Plan and our 2019 Employee Stock Purchase Plan, respectively, as well as any automatic increases in the number of shares of common stock reserved under these plans.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September 30, 2021, we had issued and outstanding 40,545,949 shares of our common stock held by 36 stockholders of record (not including beneficial owners whose shares are held in “nominee” or “street” name), including 19,964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20"/>
        <w:spacing w:after="0" w:line="290" w:lineRule="auto"/>
        <w:rPr>
          <w:sz w:val="20"/>
          <w:szCs w:val="20"/>
          <w:color w:val="auto"/>
        </w:rPr>
      </w:pPr>
      <w:r>
        <w:rPr>
          <w:rFonts w:ascii="Arial" w:cs="Arial" w:eastAsia="Arial" w:hAnsi="Arial"/>
          <w:sz w:val="16"/>
          <w:szCs w:val="16"/>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000"/>
          </w:cols>
          <w:pgMar w:left="320" w:top="459" w:right="5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entered into the equity distribution agreement, dated August 11, 2020 and amended as of November 4, 2021, with Piper Sandler, as our sales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agent, pursuant to which we have agreed to issue and sell from time to time shares of our common stock having an aggregate offering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$155,913,050 through Piper Sandler. As of the date of this prospectus, we have issued and sold through Piper Sandler shares of our common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having an aggregate offering price at the time of sale of approximately $5,913,050 pursuant to an equity distribution agreement prospectus dated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August 17, 2020 which is part of a Registration Statement on Form S-3 which was declared effective on August 17, 2020 (Registration No. 333-244136)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which we refer to as the prior prospectus. The common stock remaining to be sold under the prior prospectus as of the date of this prospectus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longer be offered or sold under the prior prospectus, but instead will be offered and sold under this prospectus.</w:t>
      </w:r>
    </w:p>
    <w:p>
      <w:pPr>
        <w:spacing w:after="0" w:line="21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This prospectus only relates to $150,000,000 of additional shares of our common stock that we may issue and sell from time to time under the equity distribution agreement. Unless otherwise indicated or the context otherwise requires, all references to the equity distribution agreement means the equity distribution agreement, as amended on November 4, 2021. We will be required to file another prospectus or prospectus supplement in the event we want to offer more than $150,000,000 in shares of our common stock in accordance with the terms of the equity distribution agreement.</w:t>
      </w:r>
    </w:p>
    <w:p>
      <w:pPr>
        <w:spacing w:after="0" w:line="15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Piper Sandler will use commercially reasonable efforts to sell on our behalf all shares of our common stock requested to be sold by us, consistent with its normal trading and sales practices, under the terms and subject to the conditions set forth in the equity distribution agreement. We may instruct Piper Sandler not to sell our common stock if the sales cannot be effected at or above the price designated by us in any instruction. We or Piper Sandler may suspend the offering of our common stock upon proper notice and subject to other conditions, as further described in the equity distribution agreement.</w:t>
      </w:r>
    </w:p>
    <w:p>
      <w:pPr>
        <w:spacing w:after="0" w:line="15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Piper Sandler may sell our common stock by any method permitted by law that is deemed to be an “at the market offering” as defined in Rule 415(a)(4) promulgated under the Securities Act, including sales made directly on or through The Nasdaq Global Market or on any other existing trading market for our common stock. Piper Sandler will provide written confirmation to us no later than the opening of trading on The Nasdaq Global Market on the day following each day in which our common stock is sold under the equity distribution agreement. Each such confirmation will include the number of shares of our common stock sold on such day, the volume-weighted average price of the shares sold, the net proceeds to us and the compensation payable by us to Piper Sandler in connection with such sales.</w:t>
      </w:r>
    </w:p>
    <w:p>
      <w:pPr>
        <w:spacing w:after="0" w:line="178"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will pay Piper Sandler commissions for its services in acting as sales agent in the sale of our common stock. Piper Sandler will be entitled to compensation in an amount equal to 3.0% of the gross sales price of all common stock sold through it as sales agent under the equity distribution agreement. We have also agreed to reimburse Piper Sandler for the out-of-pocket reasonable fees and disbursements of its legal counsel, in an amount not to exceed $50,000, and for FINRA-related expenses. We estimate that the total expenses for this offering, excluding compensation payable to Piper Sandler under the terms of the equity distribution agreement, will be approximately $0.2 million.</w:t>
      </w:r>
    </w:p>
    <w:p>
      <w:pPr>
        <w:spacing w:after="0" w:line="17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Settlement for sales of our common stock will occur on the second business day following the date on which any such sales are made, or on some other date that is agreed upon by us and Piper Sandler in connection with a particular transaction,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We will report at least quarterly the number of shares of our common stock sold through Piper Sandler, as sales agent, under the equity distribution agreement, and the net proceeds to us in connection with such sales.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Piper Sandler and its affiliates have from time to time provided, and may in the future provide, various investment banking, commercial banking, fiduciary and advisory services for us for which they have received, and may in the future receive, customary fees and expenses. Piper Sandler and its affiliates may from time to time engage in other transactions with and perform services for us in the ordinary course of their business.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sale of our common stock on our behalf, Piper Sandler will be deemed to be an underwriter within the meaning of the Securities Act, and the compensation paid by us to Piper Sandler will be deemed to be underwriting commissions or discounts. We have agreed to indemnify Piper Sandler against specified liabilities, including liabilities under the Securities Act, or to contribute to payments that Piper Sandler may be required to make because of such liabilities.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offering of our common stock pursuant to the equity distribution agreement will terminate upon the earlier of (1) the sale of all common stock subject to equity distribution agreement or (2) termination of the equity distribution agreement. The equity distribution agreement may be terminated by Piper Sandler or us at any time upon specified prior written notice.</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summary of the material provisions of the equity distribution agreement does not purport to be a complete statement of its terms and conditions. Copies of the equity distribution agreement and the amendment to the equity distribution agreement are filed as exhibits to the registration statement of which this prospectus forms a part.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SA-14</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Wilmer Cutler Pickering Hale and Dorr LLP. Certain legal matters will be passed upon for Piper Sandler &amp; Co. by Ropes &amp; Gray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SA-15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71" w:lineRule="exact"/>
        <w:rPr>
          <w:sz w:val="20"/>
          <w:szCs w:val="20"/>
          <w:color w:val="auto"/>
        </w:rPr>
      </w:pPr>
    </w:p>
    <w:p>
      <w:pPr>
        <w:jc w:val="both"/>
        <w:ind w:left="1080" w:right="58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3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2020, including the information specifically incorporated by reference into the Annual Report on Form 10-K from our </w:t>
      </w:r>
      <w:hyperlink r:id="rId31">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2021 Annual Meeting of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w:t>
      </w:r>
      <w:hyperlink r:id="rId32">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35">
        <w:r>
          <w:rPr>
            <w:rFonts w:ascii="Arial" w:cs="Arial" w:eastAsia="Arial" w:hAnsi="Arial"/>
            <w:sz w:val="18"/>
            <w:szCs w:val="18"/>
            <w:u w:val="single" w:color="auto"/>
            <w:color w:val="0000EE"/>
          </w:rPr>
          <w:t>January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w:t>
      </w:r>
      <w:hyperlink r:id="rId36">
        <w:r>
          <w:rPr>
            <w:rFonts w:ascii="Arial" w:cs="Arial" w:eastAsia="Arial" w:hAnsi="Arial"/>
            <w:sz w:val="18"/>
            <w:szCs w:val="18"/>
            <w:u w:val="single" w:color="auto"/>
            <w:color w:val="0000EE"/>
          </w:rPr>
          <w:t>January 20, 2021</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March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Item 9.01), </w:t>
      </w:r>
      <w:hyperlink r:id="rId38">
        <w:r>
          <w:rPr>
            <w:rFonts w:ascii="Arial" w:cs="Arial" w:eastAsia="Arial" w:hAnsi="Arial"/>
            <w:sz w:val="18"/>
            <w:szCs w:val="18"/>
            <w:u w:val="single" w:color="auto"/>
            <w:color w:val="0000EE"/>
          </w:rPr>
          <w:t>March 24,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9.01), </w:t>
      </w:r>
      <w:hyperlink r:id="rId39">
        <w:r>
          <w:rPr>
            <w:rFonts w:ascii="Arial" w:cs="Arial" w:eastAsia="Arial" w:hAnsi="Arial"/>
            <w:sz w:val="18"/>
            <w:szCs w:val="18"/>
            <w:u w:val="single" w:color="auto"/>
            <w:color w:val="0000EE"/>
          </w:rPr>
          <w:t>June 11,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June 24,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August 12,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the description therein has been updated and superseded by the description of our capital stock contained in </w:t>
      </w:r>
      <w:hyperlink r:id="rId43">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87"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380" w:right="4920" w:hanging="318"/>
        <w:spacing w:after="0" w:line="517" w:lineRule="auto"/>
        <w:tabs>
          <w:tab w:leader="none" w:pos="54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651-8851 SA-16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40"/>
        <w:spacing w:after="0"/>
        <w:rPr>
          <w:sz w:val="20"/>
          <w:szCs w:val="20"/>
          <w:color w:val="auto"/>
        </w:rPr>
      </w:pPr>
      <w:r>
        <w:rPr>
          <w:rFonts w:ascii="Arial" w:cs="Arial" w:eastAsia="Arial" w:hAnsi="Arial"/>
          <w:sz w:val="26"/>
          <w:szCs w:val="26"/>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765175</wp:posOffset>
            </wp:positionV>
            <wp:extent cx="2922905" cy="737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29229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1233805</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Piper Sandler</w:t>
      </w:r>
    </w:p>
    <w:p>
      <w:pPr>
        <w:spacing w:after="0" w:line="242"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1242060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1301750</wp:posOffset>
            </wp:positionV>
            <wp:extent cx="699516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sets forth the fees and expenses payable by us in connection with the sale of the offered securities being registered hereby, other than underwriting discounts and commissions.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FINRA filing fee</w:t>
            </w:r>
          </w:p>
        </w:tc>
        <w:tc>
          <w:tcPr>
            <w:tcW w:w="12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225,500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Accounting services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line="287"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accordance with Rules 456(b) and 457(r) of the Securities Act of 1933, as amended, or Securities Act, we are deferring payment of the registration fee for the securities offered under this registration statement other than the $7,500.64 of fees due in connection with the $150,000,000 of our common stock that may be issued and sold from time to time under an equity distribution agreement with Piper Sandler &amp; Co.</w:t>
      </w:r>
    </w:p>
    <w:p>
      <w:pPr>
        <w:spacing w:after="0" w:line="2" w:lineRule="exact"/>
        <w:rPr>
          <w:rFonts w:ascii="Arial" w:cs="Arial" w:eastAsia="Arial" w:hAnsi="Arial"/>
          <w:sz w:val="16"/>
          <w:szCs w:val="16"/>
          <w:color w:val="auto"/>
        </w:rPr>
      </w:pPr>
    </w:p>
    <w:p>
      <w:pPr>
        <w:ind w:left="540" w:right="140" w:hanging="424"/>
        <w:spacing w:after="0" w:line="26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are not estimated at this time and will be reflected in the applicable prospectus supplement.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summary is qualified in its entirety by reference to the complete Delaware General Corporation Law, or DGCL, and the registrant’s certificate of incorporation.</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Section 102 of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herein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64"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6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34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660" w:type="dxa"/>
            <w:vAlign w:val="bottom"/>
          </w:tcPr>
          <w:p>
            <w:pPr>
              <w:spacing w:after="0"/>
              <w:rPr>
                <w:sz w:val="20"/>
                <w:szCs w:val="20"/>
                <w:color w:val="auto"/>
              </w:rPr>
            </w:pPr>
            <w:r>
              <w:rPr>
                <w:rFonts w:ascii="Arial" w:cs="Arial" w:eastAsia="Arial" w:hAnsi="Arial"/>
                <w:sz w:val="18"/>
                <w:szCs w:val="18"/>
                <w:color w:val="auto"/>
              </w:rPr>
              <w:t>1.1*</w:t>
            </w:r>
          </w:p>
        </w:tc>
        <w:tc>
          <w:tcPr>
            <w:tcW w:w="9340" w:type="dxa"/>
            <w:vAlign w:val="bottom"/>
            <w:gridSpan w:val="7"/>
          </w:tcPr>
          <w:p>
            <w:pPr>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1660" w:type="dxa"/>
            <w:vAlign w:val="bottom"/>
          </w:tcPr>
          <w:p>
            <w:pPr>
              <w:spacing w:after="0"/>
              <w:rPr>
                <w:sz w:val="20"/>
                <w:szCs w:val="20"/>
                <w:color w:val="auto"/>
              </w:rPr>
            </w:pPr>
            <w:r>
              <w:rPr>
                <w:rFonts w:ascii="Arial" w:cs="Arial" w:eastAsia="Arial" w:hAnsi="Arial"/>
                <w:sz w:val="18"/>
                <w:szCs w:val="18"/>
                <w:color w:val="auto"/>
              </w:rPr>
              <w:t>1.2</w:t>
            </w:r>
          </w:p>
        </w:tc>
        <w:tc>
          <w:tcPr>
            <w:tcW w:w="9340" w:type="dxa"/>
            <w:vAlign w:val="bottom"/>
            <w:gridSpan w:val="7"/>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Equity Distribution Agreement, dated August 11, 2020, by and between the Registrant and Piper Sandler &amp; Co. (incorporated by</w:t>
              </w:r>
            </w:hyperlink>
          </w:p>
        </w:tc>
      </w:tr>
      <w:tr>
        <w:trPr>
          <w:trHeight w:val="196"/>
        </w:trPr>
        <w:tc>
          <w:tcPr>
            <w:tcW w:w="1660" w:type="dxa"/>
            <w:vAlign w:val="bottom"/>
          </w:tcPr>
          <w:p>
            <w:pPr>
              <w:spacing w:after="0"/>
              <w:rPr>
                <w:sz w:val="17"/>
                <w:szCs w:val="17"/>
                <w:color w:val="auto"/>
              </w:rPr>
            </w:pPr>
          </w:p>
        </w:tc>
        <w:tc>
          <w:tcPr>
            <w:tcW w:w="930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reference to Exhibit 1.2 to the Registrant’s Registration Statement on Form S-3 (File No. 333-244136) filed with the Securities</w:t>
              </w:r>
            </w:hyperlink>
          </w:p>
        </w:tc>
        <w:tc>
          <w:tcPr>
            <w:tcW w:w="40" w:type="dxa"/>
            <w:vAlign w:val="bottom"/>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and Exchange Commission on August 11, 2020)</w:t>
              </w:r>
            </w:hyperlink>
          </w:p>
        </w:tc>
        <w:tc>
          <w:tcPr>
            <w:tcW w:w="180" w:type="dxa"/>
            <w:vAlign w:val="bottom"/>
            <w:gridSpan w:val="2"/>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304"/>
        </w:trPr>
        <w:tc>
          <w:tcPr>
            <w:tcW w:w="1660" w:type="dxa"/>
            <w:vAlign w:val="bottom"/>
          </w:tcPr>
          <w:p>
            <w:pPr>
              <w:spacing w:after="0"/>
              <w:rPr>
                <w:sz w:val="20"/>
                <w:szCs w:val="20"/>
                <w:color w:val="auto"/>
              </w:rPr>
            </w:pPr>
            <w:r>
              <w:rPr>
                <w:rFonts w:ascii="Arial" w:cs="Arial" w:eastAsia="Arial" w:hAnsi="Arial"/>
                <w:sz w:val="18"/>
                <w:szCs w:val="18"/>
                <w:color w:val="auto"/>
              </w:rPr>
              <w:t>1.3</w:t>
            </w:r>
          </w:p>
        </w:tc>
        <w:tc>
          <w:tcPr>
            <w:tcW w:w="89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Amendment No. 1 to the Equity Distribution Agreement, dated November 4, 2021, by and between the Registrant and Piper</w:t>
              </w:r>
            </w:hyperlink>
          </w:p>
        </w:tc>
        <w:tc>
          <w:tcPr>
            <w:tcW w:w="400" w:type="dxa"/>
            <w:vAlign w:val="bottom"/>
            <w:gridSpan w:val="3"/>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Sandler &amp; Co.</w:t>
              </w:r>
            </w:hyperlink>
          </w:p>
        </w:tc>
        <w:tc>
          <w:tcPr>
            <w:tcW w:w="8300" w:type="dxa"/>
            <w:vAlign w:val="bottom"/>
            <w:gridSpan w:val="6"/>
          </w:tcPr>
          <w:p>
            <w:pPr>
              <w:spacing w:after="0"/>
              <w:rPr>
                <w:sz w:val="17"/>
                <w:szCs w:val="17"/>
                <w:color w:val="auto"/>
              </w:rPr>
            </w:pPr>
          </w:p>
        </w:tc>
      </w:tr>
      <w:tr>
        <w:trPr>
          <w:trHeight w:val="304"/>
        </w:trPr>
        <w:tc>
          <w:tcPr>
            <w:tcW w:w="1660" w:type="dxa"/>
            <w:vAlign w:val="bottom"/>
          </w:tcPr>
          <w:p>
            <w:pPr>
              <w:spacing w:after="0"/>
              <w:rPr>
                <w:sz w:val="20"/>
                <w:szCs w:val="20"/>
                <w:color w:val="auto"/>
              </w:rPr>
            </w:pPr>
            <w:r>
              <w:rPr>
                <w:rFonts w:ascii="Arial" w:cs="Arial" w:eastAsia="Arial" w:hAnsi="Arial"/>
                <w:sz w:val="18"/>
                <w:szCs w:val="18"/>
                <w:color w:val="auto"/>
              </w:rPr>
              <w:t>4.1</w:t>
            </w:r>
          </w:p>
        </w:tc>
        <w:tc>
          <w:tcPr>
            <w:tcW w:w="9340" w:type="dxa"/>
            <w:vAlign w:val="bottom"/>
            <w:tcBorders>
              <w:bottom w:val="single" w:sz="8" w:color="0000EE"/>
            </w:tcBorders>
            <w:gridSpan w:val="7"/>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Restated Certificate of Incorporation of the Registrant (incorporated by reference to Exhibit 3.1 to the Registrant’s Current Report</w:t>
              </w:r>
            </w:hyperlink>
          </w:p>
        </w:tc>
      </w:tr>
      <w:tr>
        <w:trPr>
          <w:trHeight w:val="196"/>
        </w:trPr>
        <w:tc>
          <w:tcPr>
            <w:tcW w:w="1660" w:type="dxa"/>
            <w:vAlign w:val="bottom"/>
          </w:tcPr>
          <w:p>
            <w:pPr>
              <w:spacing w:after="0"/>
              <w:rPr>
                <w:sz w:val="17"/>
                <w:szCs w:val="17"/>
                <w:color w:val="auto"/>
              </w:rPr>
            </w:pPr>
          </w:p>
        </w:tc>
        <w:tc>
          <w:tcPr>
            <w:tcW w:w="7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on Form 8-K (File No. 001-38978) filed with the Securities and Exchange Commission on July 22, 2019)</w:t>
              </w:r>
            </w:hyperlink>
          </w:p>
        </w:tc>
        <w:tc>
          <w:tcPr>
            <w:tcW w:w="1740" w:type="dxa"/>
            <w:vAlign w:val="bottom"/>
            <w:gridSpan w:val="4"/>
          </w:tcPr>
          <w:p>
            <w:pPr>
              <w:spacing w:after="0"/>
              <w:rPr>
                <w:sz w:val="17"/>
                <w:szCs w:val="17"/>
                <w:color w:val="auto"/>
              </w:rPr>
            </w:pPr>
          </w:p>
        </w:tc>
      </w:tr>
    </w:tbl>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560" w:type="dxa"/>
            <w:vAlign w:val="bottom"/>
          </w:tcPr>
          <w:p>
            <w:pPr>
              <w:jc w:val="right"/>
              <w:ind w:right="771"/>
              <w:spacing w:after="0"/>
              <w:rPr>
                <w:sz w:val="20"/>
                <w:szCs w:val="20"/>
                <w:color w:val="auto"/>
              </w:rPr>
            </w:pPr>
            <w:r>
              <w:rPr>
                <w:rFonts w:ascii="Arial" w:cs="Arial" w:eastAsia="Arial" w:hAnsi="Arial"/>
                <w:sz w:val="14"/>
                <w:szCs w:val="14"/>
                <w:b w:val="1"/>
                <w:bCs w:val="1"/>
                <w:color w:val="auto"/>
                <w:w w:val="92"/>
              </w:rPr>
              <w:t>Exhibit No.</w:t>
            </w:r>
          </w:p>
        </w:tc>
        <w:tc>
          <w:tcPr>
            <w:tcW w:w="940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4.2</w:t>
            </w:r>
          </w:p>
        </w:tc>
        <w:tc>
          <w:tcPr>
            <w:tcW w:w="9200" w:type="dxa"/>
            <w:vAlign w:val="bottom"/>
            <w:tcBorders>
              <w:bottom w:val="single" w:sz="8" w:color="0000EE"/>
            </w:tcBorders>
            <w:gridSpan w:val="11"/>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Amended and Restated Bylaws of the Registrant (incorporated by reference to Exhibit 3.2 to the Registrant’s Current Report on</w:t>
              </w:r>
            </w:hyperlink>
          </w:p>
        </w:tc>
        <w:tc>
          <w:tcPr>
            <w:tcW w:w="200" w:type="dxa"/>
            <w:vAlign w:val="bottom"/>
            <w:gridSpan w:val="2"/>
          </w:tcPr>
          <w:p>
            <w:pPr>
              <w:spacing w:after="0"/>
              <w:rPr>
                <w:sz w:val="23"/>
                <w:szCs w:val="23"/>
                <w:color w:val="auto"/>
              </w:rPr>
            </w:pPr>
          </w:p>
        </w:tc>
      </w:tr>
      <w:tr>
        <w:trPr>
          <w:trHeight w:val="196"/>
        </w:trPr>
        <w:tc>
          <w:tcPr>
            <w:tcW w:w="1560" w:type="dxa"/>
            <w:vAlign w:val="bottom"/>
          </w:tcPr>
          <w:p>
            <w:pPr>
              <w:spacing w:after="0"/>
              <w:rPr>
                <w:sz w:val="17"/>
                <w:szCs w:val="17"/>
                <w:color w:val="auto"/>
              </w:rPr>
            </w:pPr>
          </w:p>
        </w:tc>
        <w:tc>
          <w:tcPr>
            <w:tcW w:w="7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Form 8-K (File No. 001-38978) filed with the Securities and Exchange Commission on July 22, 2019)</w:t>
              </w:r>
            </w:hyperlink>
          </w:p>
        </w:tc>
        <w:tc>
          <w:tcPr>
            <w:tcW w:w="2020" w:type="dxa"/>
            <w:vAlign w:val="bottom"/>
            <w:gridSpan w:val="4"/>
          </w:tcPr>
          <w:p>
            <w:pPr>
              <w:spacing w:after="0"/>
              <w:rPr>
                <w:sz w:val="17"/>
                <w:szCs w:val="17"/>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4.3</w:t>
            </w:r>
          </w:p>
        </w:tc>
        <w:tc>
          <w:tcPr>
            <w:tcW w:w="8940" w:type="dxa"/>
            <w:vAlign w:val="bottom"/>
            <w:tcBorders>
              <w:bottom w:val="single" w:sz="8" w:color="0000EE"/>
            </w:tcBorders>
            <w:gridSpan w:val="10"/>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Specimen Stock Certificate evidencing shares of common stock (incorporated by reference to Exhibit 4.1 to the Registrant’s</w:t>
              </w:r>
            </w:hyperlink>
          </w:p>
        </w:tc>
        <w:tc>
          <w:tcPr>
            <w:tcW w:w="460" w:type="dxa"/>
            <w:vAlign w:val="bottom"/>
            <w:gridSpan w:val="3"/>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3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Registration Statement on Form S-1 (File No. 333-232260) filed with the Securities and Exchange Commission on June 21, 2019)</w:t>
              </w:r>
            </w:hyperlink>
          </w:p>
        </w:tc>
        <w:tc>
          <w:tcPr>
            <w:tcW w:w="20" w:type="dxa"/>
            <w:vAlign w:val="bottom"/>
          </w:tcPr>
          <w:p>
            <w:pPr>
              <w:spacing w:after="0"/>
              <w:rPr>
                <w:sz w:val="17"/>
                <w:szCs w:val="17"/>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4.4</w:t>
            </w:r>
          </w:p>
        </w:tc>
        <w:tc>
          <w:tcPr>
            <w:tcW w:w="18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Form of Senior Indenture</w:t>
              </w:r>
            </w:hyperlink>
          </w:p>
        </w:tc>
        <w:tc>
          <w:tcPr>
            <w:tcW w:w="7560" w:type="dxa"/>
            <w:vAlign w:val="bottom"/>
            <w:gridSpan w:val="11"/>
          </w:tcPr>
          <w:p>
            <w:pPr>
              <w:spacing w:after="0"/>
              <w:rPr>
                <w:sz w:val="24"/>
                <w:szCs w:val="24"/>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4.5</w:t>
            </w:r>
          </w:p>
        </w:tc>
        <w:tc>
          <w:tcPr>
            <w:tcW w:w="9400" w:type="dxa"/>
            <w:vAlign w:val="bottom"/>
            <w:gridSpan w:val="13"/>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Form of Subordinated Indenture</w:t>
              </w:r>
            </w:hyperlink>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4.6</w:t>
            </w:r>
          </w:p>
        </w:tc>
        <w:tc>
          <w:tcPr>
            <w:tcW w:w="15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Form of Senior Note</w:t>
              </w:r>
            </w:hyperlink>
          </w:p>
        </w:tc>
        <w:tc>
          <w:tcPr>
            <w:tcW w:w="820" w:type="dxa"/>
            <w:vAlign w:val="bottom"/>
            <w:tcBorders>
              <w:top w:val="single" w:sz="8" w:color="0000EE"/>
            </w:tcBorders>
            <w:gridSpan w:val="3"/>
          </w:tcPr>
          <w:p>
            <w:pPr>
              <w:spacing w:after="0"/>
              <w:rPr>
                <w:sz w:val="24"/>
                <w:szCs w:val="24"/>
                <w:color w:val="auto"/>
              </w:rPr>
            </w:pPr>
          </w:p>
        </w:tc>
        <w:tc>
          <w:tcPr>
            <w:tcW w:w="7080" w:type="dxa"/>
            <w:vAlign w:val="bottom"/>
            <w:gridSpan w:val="9"/>
          </w:tcPr>
          <w:p>
            <w:pPr>
              <w:spacing w:after="0"/>
              <w:rPr>
                <w:sz w:val="24"/>
                <w:szCs w:val="24"/>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4.7</w:t>
            </w:r>
          </w:p>
        </w:tc>
        <w:tc>
          <w:tcPr>
            <w:tcW w:w="9400" w:type="dxa"/>
            <w:vAlign w:val="bottom"/>
            <w:gridSpan w:val="13"/>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Form of Subordinated Note</w:t>
              </w:r>
            </w:hyperlink>
          </w:p>
        </w:tc>
      </w:tr>
      <w:tr>
        <w:trPr>
          <w:trHeight w:val="20"/>
        </w:trPr>
        <w:tc>
          <w:tcPr>
            <w:tcW w:w="15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345"/>
        </w:trPr>
        <w:tc>
          <w:tcPr>
            <w:tcW w:w="1560" w:type="dxa"/>
            <w:vAlign w:val="bottom"/>
          </w:tcPr>
          <w:p>
            <w:pPr>
              <w:jc w:val="right"/>
              <w:ind w:right="1071"/>
              <w:spacing w:after="0"/>
              <w:rPr>
                <w:sz w:val="20"/>
                <w:szCs w:val="20"/>
                <w:color w:val="auto"/>
              </w:rPr>
            </w:pPr>
            <w:r>
              <w:rPr>
                <w:rFonts w:ascii="Arial" w:cs="Arial" w:eastAsia="Arial" w:hAnsi="Arial"/>
                <w:sz w:val="18"/>
                <w:szCs w:val="18"/>
                <w:color w:val="auto"/>
              </w:rPr>
              <w:t>4.8*</w:t>
            </w:r>
          </w:p>
        </w:tc>
        <w:tc>
          <w:tcPr>
            <w:tcW w:w="9400" w:type="dxa"/>
            <w:vAlign w:val="bottom"/>
            <w:gridSpan w:val="13"/>
          </w:tcPr>
          <w:p>
            <w:pPr>
              <w:spacing w:after="0"/>
              <w:rPr>
                <w:sz w:val="20"/>
                <w:szCs w:val="20"/>
                <w:color w:val="auto"/>
              </w:rPr>
            </w:pPr>
            <w:r>
              <w:rPr>
                <w:rFonts w:ascii="Arial" w:cs="Arial" w:eastAsia="Arial" w:hAnsi="Arial"/>
                <w:sz w:val="18"/>
                <w:szCs w:val="18"/>
                <w:color w:val="auto"/>
              </w:rPr>
              <w:t>Form of Deposit Agreement</w:t>
            </w:r>
          </w:p>
        </w:tc>
      </w:tr>
      <w:tr>
        <w:trPr>
          <w:trHeight w:val="324"/>
        </w:trPr>
        <w:tc>
          <w:tcPr>
            <w:tcW w:w="1560" w:type="dxa"/>
            <w:vAlign w:val="bottom"/>
          </w:tcPr>
          <w:p>
            <w:pPr>
              <w:jc w:val="right"/>
              <w:ind w:right="1071"/>
              <w:spacing w:after="0"/>
              <w:rPr>
                <w:sz w:val="20"/>
                <w:szCs w:val="20"/>
                <w:color w:val="auto"/>
              </w:rPr>
            </w:pPr>
            <w:r>
              <w:rPr>
                <w:rFonts w:ascii="Arial" w:cs="Arial" w:eastAsia="Arial" w:hAnsi="Arial"/>
                <w:sz w:val="18"/>
                <w:szCs w:val="18"/>
                <w:color w:val="auto"/>
              </w:rPr>
              <w:t>4.9*</w:t>
            </w:r>
          </w:p>
        </w:tc>
        <w:tc>
          <w:tcPr>
            <w:tcW w:w="9400" w:type="dxa"/>
            <w:vAlign w:val="bottom"/>
            <w:gridSpan w:val="13"/>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1560" w:type="dxa"/>
            <w:vAlign w:val="bottom"/>
          </w:tcPr>
          <w:p>
            <w:pPr>
              <w:jc w:val="right"/>
              <w:ind w:right="971"/>
              <w:spacing w:after="0"/>
              <w:rPr>
                <w:sz w:val="20"/>
                <w:szCs w:val="20"/>
                <w:color w:val="auto"/>
              </w:rPr>
            </w:pPr>
            <w:r>
              <w:rPr>
                <w:rFonts w:ascii="Arial" w:cs="Arial" w:eastAsia="Arial" w:hAnsi="Arial"/>
                <w:sz w:val="18"/>
                <w:szCs w:val="18"/>
                <w:color w:val="auto"/>
              </w:rPr>
              <w:t>4.10*</w:t>
            </w:r>
          </w:p>
        </w:tc>
        <w:tc>
          <w:tcPr>
            <w:tcW w:w="9400" w:type="dxa"/>
            <w:vAlign w:val="bottom"/>
            <w:gridSpan w:val="13"/>
          </w:tcPr>
          <w:p>
            <w:pPr>
              <w:spacing w:after="0"/>
              <w:rPr>
                <w:sz w:val="20"/>
                <w:szCs w:val="20"/>
                <w:color w:val="auto"/>
              </w:rPr>
            </w:pPr>
            <w:r>
              <w:rPr>
                <w:rFonts w:ascii="Arial" w:cs="Arial" w:eastAsia="Arial" w:hAnsi="Arial"/>
                <w:sz w:val="18"/>
                <w:szCs w:val="18"/>
                <w:color w:val="auto"/>
              </w:rPr>
              <w:t>Form of Unit Agreement</w:t>
            </w:r>
          </w:p>
        </w:tc>
      </w:tr>
      <w:tr>
        <w:trPr>
          <w:trHeight w:val="283"/>
        </w:trPr>
        <w:tc>
          <w:tcPr>
            <w:tcW w:w="1560" w:type="dxa"/>
            <w:vAlign w:val="bottom"/>
          </w:tcPr>
          <w:p>
            <w:pPr>
              <w:jc w:val="right"/>
              <w:ind w:right="1151"/>
              <w:spacing w:after="0"/>
              <w:rPr>
                <w:sz w:val="20"/>
                <w:szCs w:val="20"/>
                <w:color w:val="auto"/>
              </w:rPr>
            </w:pPr>
            <w:r>
              <w:rPr>
                <w:rFonts w:ascii="Arial" w:cs="Arial" w:eastAsia="Arial" w:hAnsi="Arial"/>
                <w:sz w:val="18"/>
                <w:szCs w:val="18"/>
                <w:color w:val="auto"/>
              </w:rPr>
              <w:t>5.1</w:t>
            </w:r>
          </w:p>
        </w:tc>
        <w:tc>
          <w:tcPr>
            <w:tcW w:w="9400" w:type="dxa"/>
            <w:vAlign w:val="bottom"/>
            <w:gridSpan w:val="13"/>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Opinion of Wilmer Cutler Pickering Hale and Dorr LLP</w:t>
              </w:r>
            </w:hyperlink>
          </w:p>
        </w:tc>
      </w:tr>
      <w:tr>
        <w:trPr>
          <w:trHeight w:val="20"/>
        </w:trPr>
        <w:tc>
          <w:tcPr>
            <w:tcW w:w="1560" w:type="dxa"/>
            <w:vAlign w:val="bottom"/>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w w:val="85"/>
              </w:rPr>
              <w:t>23.1</w:t>
            </w:r>
          </w:p>
        </w:tc>
        <w:tc>
          <w:tcPr>
            <w:tcW w:w="9400" w:type="dxa"/>
            <w:vAlign w:val="bottom"/>
            <w:gridSpan w:val="13"/>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Consent of Ernst &amp; Young LLP, independent registered public accounting firm</w:t>
              </w:r>
            </w:hyperlink>
          </w:p>
        </w:tc>
      </w:tr>
      <w:tr>
        <w:trPr>
          <w:trHeight w:val="20"/>
        </w:trPr>
        <w:tc>
          <w:tcPr>
            <w:tcW w:w="1560" w:type="dxa"/>
            <w:vAlign w:val="bottom"/>
          </w:tcPr>
          <w:p>
            <w:pPr>
              <w:spacing w:after="0" w:line="20" w:lineRule="exact"/>
              <w:rPr>
                <w:sz w:val="1"/>
                <w:szCs w:val="1"/>
                <w:color w:val="auto"/>
              </w:rPr>
            </w:pPr>
          </w:p>
        </w:tc>
        <w:tc>
          <w:tcPr>
            <w:tcW w:w="566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w w:val="85"/>
              </w:rPr>
              <w:t>23.2</w:t>
            </w:r>
          </w:p>
        </w:tc>
        <w:tc>
          <w:tcPr>
            <w:tcW w:w="586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10">
              <w:r>
                <w:rPr>
                  <w:rFonts w:ascii="Arial" w:cs="Arial" w:eastAsia="Arial" w:hAnsi="Arial"/>
                  <w:sz w:val="18"/>
                  <w:szCs w:val="18"/>
                  <w:color w:val="0000EE"/>
                  <w:w w:val="93"/>
                </w:rPr>
                <w:t>Consent of Wilmer Cutler Pickering Hale and Dorr LLP (included in Exhibit 5.1)</w:t>
              </w:r>
            </w:hyperlink>
          </w:p>
        </w:tc>
        <w:tc>
          <w:tcPr>
            <w:tcW w:w="3540" w:type="dxa"/>
            <w:vAlign w:val="bottom"/>
            <w:gridSpan w:val="5"/>
          </w:tcPr>
          <w:p>
            <w:pPr>
              <w:spacing w:after="0"/>
              <w:rPr>
                <w:sz w:val="24"/>
                <w:szCs w:val="24"/>
                <w:color w:val="auto"/>
              </w:rPr>
            </w:pPr>
          </w:p>
        </w:tc>
      </w:tr>
      <w:tr>
        <w:trPr>
          <w:trHeight w:val="304"/>
        </w:trPr>
        <w:tc>
          <w:tcPr>
            <w:tcW w:w="1560" w:type="dxa"/>
            <w:vAlign w:val="bottom"/>
          </w:tcPr>
          <w:p>
            <w:pPr>
              <w:jc w:val="right"/>
              <w:ind w:right="1151"/>
              <w:spacing w:after="0"/>
              <w:rPr>
                <w:sz w:val="20"/>
                <w:szCs w:val="20"/>
                <w:color w:val="auto"/>
              </w:rPr>
            </w:pPr>
            <w:r>
              <w:rPr>
                <w:rFonts w:ascii="Arial" w:cs="Arial" w:eastAsia="Arial" w:hAnsi="Arial"/>
                <w:sz w:val="18"/>
                <w:szCs w:val="18"/>
                <w:color w:val="auto"/>
                <w:w w:val="85"/>
              </w:rPr>
              <w:t>24.1</w:t>
            </w:r>
          </w:p>
        </w:tc>
        <w:tc>
          <w:tcPr>
            <w:tcW w:w="9400" w:type="dxa"/>
            <w:vAlign w:val="bottom"/>
            <w:gridSpan w:val="1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Power of Attorney (included in the signature page to the Registration Statement)</w:t>
              </w:r>
            </w:hyperlink>
          </w:p>
        </w:tc>
      </w:tr>
      <w:tr>
        <w:trPr>
          <w:trHeight w:val="20"/>
        </w:trPr>
        <w:tc>
          <w:tcPr>
            <w:tcW w:w="1560" w:type="dxa"/>
            <w:vAlign w:val="bottom"/>
          </w:tcPr>
          <w:p>
            <w:pPr>
              <w:spacing w:after="0" w:line="20" w:lineRule="exact"/>
              <w:rPr>
                <w:sz w:val="1"/>
                <w:szCs w:val="1"/>
                <w:color w:val="auto"/>
              </w:rPr>
            </w:pPr>
          </w:p>
        </w:tc>
        <w:tc>
          <w:tcPr>
            <w:tcW w:w="5800" w:type="dxa"/>
            <w:vAlign w:val="bottom"/>
            <w:gridSpan w:val="7"/>
            <w:shd w:val="clear" w:color="auto" w:fill="0000EE"/>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r>
      <w:tr>
        <w:trPr>
          <w:trHeight w:val="345"/>
        </w:trPr>
        <w:tc>
          <w:tcPr>
            <w:tcW w:w="1560" w:type="dxa"/>
            <w:vAlign w:val="bottom"/>
          </w:tcPr>
          <w:p>
            <w:pPr>
              <w:jc w:val="right"/>
              <w:ind w:right="971"/>
              <w:spacing w:after="0"/>
              <w:rPr>
                <w:sz w:val="20"/>
                <w:szCs w:val="20"/>
                <w:color w:val="auto"/>
              </w:rPr>
            </w:pPr>
            <w:r>
              <w:rPr>
                <w:rFonts w:ascii="Arial" w:cs="Arial" w:eastAsia="Arial" w:hAnsi="Arial"/>
                <w:sz w:val="18"/>
                <w:szCs w:val="18"/>
                <w:color w:val="auto"/>
                <w:w w:val="97"/>
              </w:rPr>
              <w:t>25.1**</w:t>
            </w:r>
          </w:p>
        </w:tc>
        <w:tc>
          <w:tcPr>
            <w:tcW w:w="9400" w:type="dxa"/>
            <w:vAlign w:val="bottom"/>
            <w:gridSpan w:val="13"/>
          </w:tcPr>
          <w:p>
            <w:pPr>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the Trustee under the Senior Indenture</w:t>
            </w:r>
          </w:p>
        </w:tc>
      </w:tr>
      <w:tr>
        <w:trPr>
          <w:trHeight w:val="310"/>
        </w:trPr>
        <w:tc>
          <w:tcPr>
            <w:tcW w:w="1560" w:type="dxa"/>
            <w:vAlign w:val="bottom"/>
          </w:tcPr>
          <w:p>
            <w:pPr>
              <w:jc w:val="right"/>
              <w:ind w:right="971"/>
              <w:spacing w:after="0"/>
              <w:rPr>
                <w:sz w:val="20"/>
                <w:szCs w:val="20"/>
                <w:color w:val="auto"/>
              </w:rPr>
            </w:pPr>
            <w:r>
              <w:rPr>
                <w:rFonts w:ascii="Arial" w:cs="Arial" w:eastAsia="Arial" w:hAnsi="Arial"/>
                <w:sz w:val="18"/>
                <w:szCs w:val="18"/>
                <w:color w:val="auto"/>
                <w:w w:val="97"/>
              </w:rPr>
              <w:t>25.2**</w:t>
            </w:r>
          </w:p>
        </w:tc>
        <w:tc>
          <w:tcPr>
            <w:tcW w:w="9400" w:type="dxa"/>
            <w:vAlign w:val="bottom"/>
            <w:gridSpan w:val="13"/>
          </w:tcPr>
          <w:p>
            <w:pPr>
              <w:spacing w:after="0"/>
              <w:rPr>
                <w:sz w:val="20"/>
                <w:szCs w:val="20"/>
                <w:color w:val="auto"/>
              </w:rPr>
            </w:pPr>
            <w:r>
              <w:rPr>
                <w:rFonts w:ascii="Arial" w:cs="Arial" w:eastAsia="Arial" w:hAnsi="Arial"/>
                <w:sz w:val="18"/>
                <w:szCs w:val="18"/>
                <w:color w:val="auto"/>
                <w:w w:val="93"/>
              </w:rPr>
              <w:t>Statement of Eligibility on Form T-1 under the Trust Indenture Act of 1939, as amended, of the Trustee under the Subordinated</w:t>
            </w:r>
          </w:p>
        </w:tc>
      </w:tr>
      <w:tr>
        <w:trPr>
          <w:trHeight w:val="230"/>
        </w:trPr>
        <w:tc>
          <w:tcPr>
            <w:tcW w:w="1560" w:type="dxa"/>
            <w:vAlign w:val="bottom"/>
          </w:tcPr>
          <w:p>
            <w:pPr>
              <w:spacing w:after="0"/>
              <w:rPr>
                <w:sz w:val="20"/>
                <w:szCs w:val="20"/>
                <w:color w:val="auto"/>
              </w:rPr>
            </w:pPr>
          </w:p>
        </w:tc>
        <w:tc>
          <w:tcPr>
            <w:tcW w:w="9400" w:type="dxa"/>
            <w:vAlign w:val="bottom"/>
            <w:gridSpan w:val="13"/>
          </w:tcPr>
          <w:p>
            <w:pPr>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sz w:val="20"/>
          <w:szCs w:val="20"/>
          <w:color w:val="auto"/>
        </w:rPr>
      </w:pPr>
    </w:p>
    <w:p>
      <w:pPr>
        <w:ind w:left="1740" w:hanging="423"/>
        <w:spacing w:after="0"/>
        <w:tabs>
          <w:tab w:leader="none" w:pos="1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142" w:lineRule="exact"/>
        <w:rPr>
          <w:rFonts w:ascii="Arial" w:cs="Arial" w:eastAsia="Arial" w:hAnsi="Arial"/>
          <w:sz w:val="17"/>
          <w:szCs w:val="17"/>
          <w:color w:val="auto"/>
        </w:rPr>
      </w:pPr>
    </w:p>
    <w:p>
      <w:pPr>
        <w:ind w:left="1740" w:right="20" w:hanging="423"/>
        <w:spacing w:after="0" w:line="285" w:lineRule="auto"/>
        <w:tabs>
          <w:tab w:leader="none" w:pos="1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w:t>
      </w:r>
    </w:p>
    <w:p>
      <w:pPr>
        <w:spacing w:after="0" w:line="1" w:lineRule="exact"/>
        <w:rPr>
          <w:rFonts w:ascii="Arial" w:cs="Arial" w:eastAsia="Arial" w:hAnsi="Arial"/>
          <w:sz w:val="16"/>
          <w:szCs w:val="16"/>
          <w:color w:val="auto"/>
        </w:rPr>
      </w:pPr>
    </w:p>
    <w:p>
      <w:pPr>
        <w:ind w:left="1740" w:right="260"/>
        <w:spacing w:after="0" w:line="323" w:lineRule="auto"/>
        <w:rPr>
          <w:rFonts w:ascii="Arial" w:cs="Arial" w:eastAsia="Arial" w:hAnsi="Arial"/>
          <w:sz w:val="16"/>
          <w:szCs w:val="16"/>
          <w:color w:val="auto"/>
        </w:rPr>
      </w:pPr>
      <w:r>
        <w:rPr>
          <w:rFonts w:ascii="Arial" w:cs="Arial" w:eastAsia="Arial" w:hAnsi="Arial"/>
          <w:sz w:val="16"/>
          <w:szCs w:val="16"/>
          <w:color w:val="auto"/>
        </w:rPr>
        <w:t>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43" w:lineRule="exact"/>
        <w:rPr>
          <w:rFonts w:ascii="Arial" w:cs="Arial" w:eastAsia="Arial" w:hAnsi="Arial"/>
          <w:sz w:val="16"/>
          <w:szCs w:val="16"/>
          <w:color w:val="auto"/>
        </w:rPr>
      </w:pPr>
    </w:p>
    <w:p>
      <w:pPr>
        <w:ind w:left="1740" w:right="100" w:hanging="423"/>
        <w:spacing w:after="0" w:line="277" w:lineRule="auto"/>
        <w:tabs>
          <w:tab w:leader="none" w:pos="1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1320" w:right="1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 amendment by those paragraphs is contained in reports</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320" w:right="260"/>
        <w:spacing w:after="0" w:line="263" w:lineRule="auto"/>
        <w:rPr>
          <w:sz w:val="20"/>
          <w:szCs w:val="20"/>
          <w:color w:val="auto"/>
        </w:rPr>
      </w:pPr>
      <w:r>
        <w:rPr>
          <w:rFonts w:ascii="Arial" w:cs="Arial" w:eastAsia="Arial" w:hAnsi="Arial"/>
          <w:sz w:val="18"/>
          <w:szCs w:val="18"/>
          <w:color w:val="auto"/>
        </w:rPr>
        <w:t>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89" w:lineRule="exact"/>
        <w:rPr>
          <w:sz w:val="20"/>
          <w:szCs w:val="20"/>
          <w:color w:val="auto"/>
        </w:rPr>
      </w:pPr>
    </w:p>
    <w:p>
      <w:pPr>
        <w:ind w:left="1320" w:hanging="772"/>
        <w:spacing w:after="0" w:line="263"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320" w:right="140" w:hanging="772"/>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320" w:hanging="772"/>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740" w:right="120" w:hanging="423"/>
        <w:spacing w:after="0" w:line="277" w:lineRule="auto"/>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740" w:right="20" w:hanging="423"/>
        <w:spacing w:after="0" w:line="287" w:lineRule="auto"/>
        <w:tabs>
          <w:tab w:leader="none" w:pos="17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1320" w:right="80" w:hanging="772"/>
        <w:spacing w:after="0" w:line="275" w:lineRule="auto"/>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740" w:right="200" w:hanging="423"/>
        <w:spacing w:after="0" w:line="277" w:lineRule="auto"/>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740" w:right="100" w:hanging="423"/>
        <w:spacing w:after="0" w:line="277" w:lineRule="auto"/>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1740" w:right="360" w:hanging="423"/>
        <w:spacing w:after="0" w:line="277" w:lineRule="auto"/>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740" w:hanging="423"/>
        <w:spacing w:after="0"/>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1" w:lineRule="exact"/>
        <w:rPr>
          <w:sz w:val="20"/>
          <w:szCs w:val="20"/>
          <w:color w:val="auto"/>
        </w:rPr>
      </w:pPr>
    </w:p>
    <w:p>
      <w:pPr>
        <w:ind w:left="1320" w:right="60" w:hanging="772"/>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spacing w:after="0" w:line="259" w:lineRule="auto"/>
        <w:rPr>
          <w:sz w:val="20"/>
          <w:szCs w:val="20"/>
          <w:color w:val="auto"/>
        </w:rPr>
      </w:pPr>
      <w:r>
        <w:rPr>
          <w:rFonts w:ascii="Arial" w:cs="Arial" w:eastAsia="Arial" w:hAnsi="Arial"/>
          <w:sz w:val="18"/>
          <w:szCs w:val="18"/>
          <w:color w:val="auto"/>
        </w:rPr>
        <w:t xml:space="preserve">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2" w:lineRule="exact"/>
        <w:rPr>
          <w:sz w:val="20"/>
          <w:szCs w:val="20"/>
          <w:color w:val="auto"/>
        </w:rPr>
      </w:pPr>
    </w:p>
    <w:p>
      <w:pPr>
        <w:ind w:left="1320" w:right="20" w:hanging="772"/>
        <w:spacing w:after="0" w:line="270" w:lineRule="auto"/>
        <w:tabs>
          <w:tab w:leader="none" w:pos="1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6" w:lineRule="exact"/>
        <w:rPr>
          <w:rFonts w:ascii="Arial" w:cs="Arial" w:eastAsia="Arial" w:hAnsi="Arial"/>
          <w:sz w:val="17"/>
          <w:szCs w:val="17"/>
          <w:color w:val="auto"/>
        </w:rPr>
      </w:pPr>
    </w:p>
    <w:p>
      <w:pPr>
        <w:ind w:left="1320" w:hanging="772"/>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jc w:val="both"/>
        <w:ind w:left="1740" w:right="260" w:hanging="423"/>
        <w:spacing w:after="0" w:line="286" w:lineRule="auto"/>
        <w:tabs>
          <w:tab w:leader="none" w:pos="1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70" w:lineRule="exact"/>
        <w:rPr>
          <w:rFonts w:ascii="Arial" w:cs="Arial" w:eastAsia="Arial" w:hAnsi="Arial"/>
          <w:sz w:val="17"/>
          <w:szCs w:val="17"/>
          <w:color w:val="auto"/>
        </w:rPr>
      </w:pPr>
    </w:p>
    <w:p>
      <w:pPr>
        <w:ind w:left="1740" w:right="180" w:hanging="423"/>
        <w:spacing w:after="0" w:line="263" w:lineRule="auto"/>
        <w:tabs>
          <w:tab w:leader="none" w:pos="1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320" w:right="320" w:hanging="772"/>
        <w:spacing w:after="0" w:line="263"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November 4,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Bryan E. Stuart</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040"/>
          </w:cols>
          <w:pgMar w:left="320" w:top="459"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the undersigned officers and directors of Fulcrum Therapeutics, Inc. hereby severally constitute and appoint Bryan E. Stuart, Curtis Oltmans and Peter Thomson,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Fulcrum Therapeutics,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8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412"/>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E. Stuart</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Bryan E. Stuart</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Thomson</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2"/>
              </w:rPr>
              <w:t>Vice President, Finance &amp; Accounting</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182"/>
        </w:trPr>
        <w:tc>
          <w:tcPr>
            <w:tcW w:w="4320" w:type="dxa"/>
            <w:vAlign w:val="bottom"/>
          </w:tcPr>
          <w:p>
            <w:pPr>
              <w:spacing w:after="0" w:line="182" w:lineRule="exact"/>
              <w:rPr>
                <w:sz w:val="20"/>
                <w:szCs w:val="20"/>
                <w:color w:val="auto"/>
              </w:rPr>
            </w:pPr>
            <w:r>
              <w:rPr>
                <w:rFonts w:ascii="Arial" w:cs="Arial" w:eastAsia="Arial" w:hAnsi="Arial"/>
                <w:sz w:val="18"/>
                <w:szCs w:val="18"/>
                <w:color w:val="auto"/>
              </w:rPr>
              <w:t>Peter Thomson</w:t>
            </w:r>
          </w:p>
        </w:tc>
        <w:tc>
          <w:tcPr>
            <w:tcW w:w="120" w:type="dxa"/>
            <w:vAlign w:val="bottom"/>
          </w:tcPr>
          <w:p>
            <w:pPr>
              <w:spacing w:after="0"/>
              <w:rPr>
                <w:sz w:val="15"/>
                <w:szCs w:val="15"/>
                <w:color w:val="auto"/>
              </w:rPr>
            </w:pPr>
          </w:p>
        </w:tc>
        <w:tc>
          <w:tcPr>
            <w:tcW w:w="4340" w:type="dxa"/>
            <w:vAlign w:val="bottom"/>
          </w:tcPr>
          <w:p>
            <w:pPr>
              <w:jc w:val="center"/>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Levin</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Mark Levin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Collins</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James J. Collins</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Katina Dorton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Alan Ezekowitz</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James Geraghty</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Robert J. Gould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Haviland</w:t>
            </w:r>
          </w:p>
        </w:tc>
        <w:tc>
          <w:tcPr>
            <w:tcW w:w="12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November 4,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Kate Haviland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made to the Equity Distribution Agreement, dated August 11, 2020 (the “</w:t>
      </w:r>
      <w:r>
        <w:rPr>
          <w:rFonts w:ascii="Arial" w:cs="Arial" w:eastAsia="Arial" w:hAnsi="Arial"/>
          <w:sz w:val="17"/>
          <w:szCs w:val="17"/>
          <w:b w:val="1"/>
          <w:bCs w:val="1"/>
          <w:i w:val="1"/>
          <w:iCs w:val="1"/>
          <w:color w:val="auto"/>
        </w:rPr>
        <w:t>Equity Distribution Agreement</w:t>
      </w:r>
      <w:r>
        <w:rPr>
          <w:rFonts w:ascii="Arial" w:cs="Arial" w:eastAsia="Arial" w:hAnsi="Arial"/>
          <w:sz w:val="17"/>
          <w:szCs w:val="17"/>
          <w:color w:val="auto"/>
        </w:rPr>
        <w:t>”), between Fulcrum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Piper Sandler &amp; Co. (the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pursuant to which the Company agreed to issue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sell from time to time through or to the Agent, as sales agent and/or principal, shares of its common stock, $0.001 par value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on terms set forth therein. All capitalized terms used in this Amendment No. 1 to the Equity Distribution Agreement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Agent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and not otherwise defined herein shall have the respective meanings assigned to them in the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Agreement.</w:t>
      </w:r>
    </w:p>
    <w:p>
      <w:pPr>
        <w:spacing w:after="0" w:line="21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the Company has previously issued and sold an aggregate of $5,913,050 shares of its Common Stock to the Agent pursuant to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Agreement, and on the date hereof, the Company contemplates filing an automatic shelf registration statement on Form S-3, as such may be amended from time to time (the “</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including a base prospectus relating to certain securities, including the Common Stock, and a prospectus included as part of such registration statement specifically relating to the offer and sale from time to time through the Agent of shares of Common Stock having an aggregate offering price of up to $150,000,000, which may be issued and sold through the Agent from and after the date hereof, on the terms set forth in the Equity Distribution Agreement, and the Company and the Agent agree to amend the Equity Distribution Agreement herein as follows.</w:t>
      </w:r>
    </w:p>
    <w:p>
      <w:pPr>
        <w:spacing w:after="0" w:line="19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Amendments to Equity Distribution Agreement</w:t>
      </w:r>
      <w:r>
        <w:rPr>
          <w:rFonts w:ascii="Arial" w:cs="Arial" w:eastAsia="Arial" w:hAnsi="Arial"/>
          <w:sz w:val="18"/>
          <w:szCs w:val="18"/>
          <w:color w:val="auto"/>
        </w:rPr>
        <w:t>. The Equity Distribution Agreement is amended as follows, with effect from and after the date hereof:</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 The first sentence of the first paragraph of the Equity Distribution Agreement is hereby deleted and replaced with the following:</w:t>
      </w:r>
    </w:p>
    <w:p>
      <w:pPr>
        <w:sectPr>
          <w:pgSz w:w="11900" w:h="16838" w:orient="portrait"/>
          <w:cols w:equalWidth="0" w:num="1">
            <w:col w:w="11020"/>
          </w:cols>
          <w:pgMar w:left="440" w:top="121" w:right="439" w:bottom="1440" w:gutter="0" w:footer="0" w:header="0"/>
        </w:sectPr>
      </w:pPr>
    </w:p>
    <w:bookmarkStart w:id="68" w:name="page69"/>
    <w:bookmarkEnd w:id="68"/>
    <w:p>
      <w:pPr>
        <w:ind w:left="9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further set forth in this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Fulcrum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issue and sell from time to time from and after November 4, 2021 through Piper Sandler &amp; Co. (the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as sales agent, the Company’s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having an aggregate gross offering price of up to $150,000,000 (such shares of Common Stock to be sold pursuant to this Agreement,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on terms set forth herein.”</w:t>
      </w:r>
    </w:p>
    <w:p>
      <w:pPr>
        <w:spacing w:after="0" w:line="49" w:lineRule="exact"/>
        <w:rPr>
          <w:sz w:val="20"/>
          <w:szCs w:val="20"/>
          <w:color w:val="auto"/>
        </w:rPr>
      </w:pPr>
    </w:p>
    <w:p>
      <w:pPr>
        <w:ind w:right="340" w:firstLine="987"/>
        <w:spacing w:after="0" w:line="277" w:lineRule="auto"/>
        <w:tabs>
          <w:tab w:leader="none" w:pos="1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reference to “a registration statement on Form S-3” in the first sentence of Section 1(a)(i) of the Equity Distribution Agreement shall be deemed to refer to the Shelf Registration Statement.</w:t>
      </w:r>
    </w:p>
    <w:p>
      <w:pPr>
        <w:spacing w:after="0" w:line="62" w:lineRule="exact"/>
        <w:rPr>
          <w:rFonts w:ascii="Arial" w:cs="Arial" w:eastAsia="Arial" w:hAnsi="Arial"/>
          <w:sz w:val="18"/>
          <w:szCs w:val="18"/>
          <w:color w:val="auto"/>
        </w:rPr>
      </w:pPr>
    </w:p>
    <w:p>
      <w:pPr>
        <w:ind w:left="1160" w:hanging="173"/>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3(o)(ii) of the Equity Distribution Agreement is hereby deleted and replaced with the following:</w:t>
      </w:r>
    </w:p>
    <w:p>
      <w:pPr>
        <w:spacing w:after="0" w:line="117" w:lineRule="exact"/>
        <w:rPr>
          <w:sz w:val="20"/>
          <w:szCs w:val="20"/>
          <w:color w:val="auto"/>
        </w:rPr>
      </w:pPr>
    </w:p>
    <w:p>
      <w:pPr>
        <w:ind w:left="980" w:right="380"/>
        <w:spacing w:after="0" w:line="263" w:lineRule="auto"/>
        <w:rPr>
          <w:sz w:val="20"/>
          <w:szCs w:val="20"/>
          <w:color w:val="auto"/>
        </w:rPr>
      </w:pPr>
      <w:r>
        <w:rPr>
          <w:rFonts w:ascii="Arial" w:cs="Arial" w:eastAsia="Arial" w:hAnsi="Arial"/>
          <w:sz w:val="18"/>
          <w:szCs w:val="18"/>
          <w:color w:val="auto"/>
        </w:rPr>
        <w:t>“Goodwin Procter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76" w:lineRule="exact"/>
        <w:rPr>
          <w:sz w:val="20"/>
          <w:szCs w:val="20"/>
          <w:color w:val="auto"/>
        </w:rPr>
      </w:pPr>
    </w:p>
    <w:p>
      <w:pPr>
        <w:ind w:firstLine="987"/>
        <w:spacing w:after="0" w:line="277" w:lineRule="auto"/>
        <w:tabs>
          <w:tab w:leader="none" w:pos="11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Schedules 1 and 2 of the Equity Distribution Agreement are hereby amended and restated in their entirety as set forth in Schedules 1 and 2 to this Amendment.</w:t>
      </w:r>
    </w:p>
    <w:p>
      <w:pPr>
        <w:spacing w:after="0" w:line="62" w:lineRule="exact"/>
        <w:rPr>
          <w:rFonts w:ascii="Arial" w:cs="Arial" w:eastAsia="Arial" w:hAnsi="Arial"/>
          <w:sz w:val="18"/>
          <w:szCs w:val="18"/>
          <w:color w:val="auto"/>
        </w:rPr>
      </w:pPr>
    </w:p>
    <w:p>
      <w:pPr>
        <w:jc w:val="both"/>
        <w:ind w:right="140" w:firstLine="436"/>
        <w:spacing w:after="0" w:line="263"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First Placement Notice</w:t>
      </w:r>
      <w:r>
        <w:rPr>
          <w:rFonts w:ascii="Arial" w:cs="Arial" w:eastAsia="Arial" w:hAnsi="Arial"/>
          <w:sz w:val="18"/>
          <w:szCs w:val="18"/>
          <w:color w:val="auto"/>
        </w:rPr>
        <w:t>. The parties to this Amendment agree that the first Placement Notice delivered to the Agent following the execution of this Amendment shall constitute a “first Placement Notice” and “First Placement Notice” for all purposes under the Equity Distribution Agreement, as amended by the Amendment.</w:t>
      </w:r>
    </w:p>
    <w:p>
      <w:pPr>
        <w:spacing w:after="0" w:line="75" w:lineRule="exact"/>
        <w:rPr>
          <w:rFonts w:ascii="Arial" w:cs="Arial" w:eastAsia="Arial" w:hAnsi="Arial"/>
          <w:sz w:val="18"/>
          <w:szCs w:val="18"/>
          <w:color w:val="auto"/>
        </w:rPr>
      </w:pPr>
    </w:p>
    <w:p>
      <w:pPr>
        <w:ind w:right="300" w:firstLine="436"/>
        <w:spacing w:after="0" w:line="342" w:lineRule="auto"/>
        <w:tabs>
          <w:tab w:leader="none" w:pos="65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References to the Agreement</w:t>
      </w:r>
      <w:r>
        <w:rPr>
          <w:rFonts w:ascii="Arial" w:cs="Arial" w:eastAsia="Arial" w:hAnsi="Arial"/>
          <w:sz w:val="16"/>
          <w:szCs w:val="16"/>
          <w:color w:val="auto"/>
        </w:rPr>
        <w:t>. The parties to this Amendment agree that from and after the execution and delivery of this Amendment, references to the “Agreement” in the Equity Distribution Agreement shall mean the Equity Distribution Agreement, as amended by the Amendment.</w:t>
      </w:r>
    </w:p>
    <w:p>
      <w:pPr>
        <w:spacing w:after="0" w:line="15" w:lineRule="exact"/>
        <w:rPr>
          <w:rFonts w:ascii="Arial" w:cs="Arial" w:eastAsia="Arial" w:hAnsi="Arial"/>
          <w:sz w:val="16"/>
          <w:szCs w:val="16"/>
          <w:color w:val="auto"/>
        </w:rPr>
      </w:pPr>
    </w:p>
    <w:p>
      <w:pPr>
        <w:ind w:right="20" w:firstLine="436"/>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Except as set forth in Part A above, all the terms and provisions of the Equity Distribution Agreement shall continue in full force and effect.</w:t>
      </w:r>
    </w:p>
    <w:p>
      <w:pPr>
        <w:spacing w:after="0" w:line="62" w:lineRule="exact"/>
        <w:rPr>
          <w:rFonts w:ascii="Arial" w:cs="Arial" w:eastAsia="Arial" w:hAnsi="Arial"/>
          <w:sz w:val="18"/>
          <w:szCs w:val="18"/>
          <w:color w:val="auto"/>
        </w:rPr>
      </w:pPr>
    </w:p>
    <w:p>
      <w:pPr>
        <w:ind w:right="60" w:firstLine="436"/>
        <w:spacing w:after="0" w:line="263"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and the same instrument. Delivery of an executed Amendment by one party to the other may be made by facsimile or email transmission.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69" w:name="page70"/>
    <w:bookmarkEnd w:id="69"/>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Amendment, along with all counterparts, will become a binding agreement by and between the Agent and the Company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E. Stuart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Neil Riley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820"/>
          </w:cols>
          <w:pgMar w:left="440" w:top="274" w:right="63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PLACEMENT NOTICE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Facsimile and No Voicemail</w:t>
      </w:r>
    </w:p>
    <w:p>
      <w:pPr>
        <w:sectPr>
          <w:pgSz w:w="11900" w:h="16838" w:orient="portrait"/>
          <w:cols w:equalWidth="0" w:num="1">
            <w:col w:w="10880"/>
          </w:cols>
          <w:pgMar w:left="440" w:top="270" w:right="5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Fulcrum Therapeutics, Inc.</w:t>
      </w:r>
    </w:p>
    <w:p>
      <w:pPr>
        <w:spacing w:after="0" w:line="140" w:lineRule="exact"/>
        <w:rPr>
          <w:sz w:val="20"/>
          <w:szCs w:val="20"/>
          <w:color w:val="auto"/>
        </w:rPr>
      </w:pPr>
    </w:p>
    <w:p>
      <w:pPr>
        <w:sectPr>
          <w:pgSz w:w="11900" w:h="16838" w:orient="portrait"/>
          <w:cols w:equalWidth="0" w:num="2">
            <w:col w:w="440" w:space="340"/>
            <w:col w:w="10100"/>
          </w:cols>
          <w:pgMar w:left="440" w:top="270" w:right="579" w:bottom="1440" w:gutter="0" w:footer="0" w:header="0"/>
          <w:type w:val="continuous"/>
        </w:sect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Piper Sandler &amp; Co.</w:t>
      </w:r>
    </w:p>
    <w:p>
      <w:pPr>
        <w:spacing w:after="0" w:line="140" w:lineRule="exact"/>
        <w:rPr>
          <w:sz w:val="20"/>
          <w:szCs w:val="20"/>
          <w:color w:val="auto"/>
        </w:rPr>
      </w:pPr>
    </w:p>
    <w:p>
      <w:pPr>
        <w:sectPr>
          <w:pgSz w:w="11900" w:h="16838" w:orient="portrait"/>
          <w:cols w:equalWidth="0" w:num="2">
            <w:col w:w="240" w:space="540"/>
            <w:col w:w="10100"/>
          </w:cols>
          <w:pgMar w:left="440" w:top="270" w:right="579"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Attention: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Neil A. Riley</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Connor N. Anderson</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Tom Wright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Jay A. Hershey</w:t>
      </w:r>
    </w:p>
    <w:p>
      <w:pPr>
        <w:sectPr>
          <w:pgSz w:w="11900" w:h="16838" w:orient="portrait"/>
          <w:cols w:equalWidth="0" w:num="1">
            <w:col w:w="10880"/>
          </w:cols>
          <w:pgMar w:left="440" w:top="270" w:right="57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20[•]</w:t>
      </w:r>
    </w:p>
    <w:p>
      <w:pPr>
        <w:spacing w:after="0" w:line="117" w:lineRule="exact"/>
        <w:rPr>
          <w:sz w:val="20"/>
          <w:szCs w:val="20"/>
          <w:color w:val="auto"/>
        </w:rPr>
      </w:pPr>
    </w:p>
    <w:p>
      <w:pPr>
        <w:sectPr>
          <w:pgSz w:w="11900" w:h="16838" w:orient="portrait"/>
          <w:cols w:equalWidth="0" w:num="2">
            <w:col w:w="380" w:space="400"/>
            <w:col w:w="10100"/>
          </w:cols>
          <w:pgMar w:left="440" w:top="270" w:right="579" w:bottom="1440" w:gutter="0" w:footer="0" w:header="0"/>
          <w:type w:val="continuous"/>
        </w:sect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Equity Distribution Agreement – Placement Notice</w:t>
      </w:r>
    </w:p>
    <w:p>
      <w:pPr>
        <w:spacing w:after="0" w:line="200" w:lineRule="exact"/>
        <w:rPr>
          <w:sz w:val="20"/>
          <w:szCs w:val="20"/>
          <w:color w:val="auto"/>
        </w:rPr>
      </w:pPr>
    </w:p>
    <w:p>
      <w:pPr>
        <w:sectPr>
          <w:pgSz w:w="11900" w:h="16838" w:orient="portrait"/>
          <w:cols w:equalWidth="0" w:num="2">
            <w:col w:w="580" w:space="200"/>
            <w:col w:w="10100"/>
          </w:cols>
          <w:pgMar w:left="440" w:top="270" w:right="5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terms and subject to the conditions contained in the Equity Distribution Agreement between Fulcrum Therapeutics, Inc. (“</w:t>
      </w:r>
      <w:r>
        <w:rPr>
          <w:rFonts w:ascii="Arial" w:cs="Arial" w:eastAsia="Arial" w:hAnsi="Arial"/>
          <w:sz w:val="18"/>
          <w:szCs w:val="18"/>
          <w:b w:val="1"/>
          <w:bCs w:val="1"/>
          <w:color w:val="auto"/>
        </w:rPr>
        <w:t>Company</w:t>
      </w:r>
      <w:r>
        <w:rPr>
          <w:rFonts w:ascii="Arial" w:cs="Arial" w:eastAsia="Arial" w:hAnsi="Arial"/>
          <w:sz w:val="18"/>
          <w:szCs w:val="18"/>
          <w:color w:val="auto"/>
        </w:rPr>
        <w:t>”), and Piper Sandler &amp; Co. (“</w:t>
      </w:r>
      <w:r>
        <w:rPr>
          <w:rFonts w:ascii="Arial" w:cs="Arial" w:eastAsia="Arial" w:hAnsi="Arial"/>
          <w:sz w:val="18"/>
          <w:szCs w:val="18"/>
          <w:b w:val="1"/>
          <w:bCs w:val="1"/>
          <w:color w:val="auto"/>
        </w:rPr>
        <w:t>Agent</w:t>
      </w:r>
      <w:r>
        <w:rPr>
          <w:rFonts w:ascii="Arial" w:cs="Arial" w:eastAsia="Arial" w:hAnsi="Arial"/>
          <w:sz w:val="18"/>
          <w:szCs w:val="18"/>
          <w:color w:val="auto"/>
        </w:rPr>
        <w:t>”) dated August 11, 2020, as amended (the “</w:t>
      </w:r>
      <w:r>
        <w:rPr>
          <w:rFonts w:ascii="Arial" w:cs="Arial" w:eastAsia="Arial" w:hAnsi="Arial"/>
          <w:sz w:val="18"/>
          <w:szCs w:val="18"/>
          <w:b w:val="1"/>
          <w:bCs w:val="1"/>
          <w:color w:val="auto"/>
        </w:rPr>
        <w:t>Agreement</w:t>
      </w:r>
      <w:r>
        <w:rPr>
          <w:rFonts w:ascii="Arial" w:cs="Arial" w:eastAsia="Arial" w:hAnsi="Arial"/>
          <w:sz w:val="18"/>
          <w:szCs w:val="18"/>
          <w:color w:val="auto"/>
        </w:rPr>
        <w:t>”), the Company hereby requests that Agent sell up to [•] shares of the Company’s common stock, par value $0.001 per share, at a minimum market price of $[•] per share. Sales should begin on the date of this Placement Notice and shall continue until [•] /[all shares are sold].</w:t>
      </w:r>
    </w:p>
    <w:p>
      <w:pPr>
        <w:sectPr>
          <w:pgSz w:w="11900" w:h="16838" w:orient="portrait"/>
          <w:cols w:equalWidth="0" w:num="1">
            <w:col w:w="10880"/>
          </w:cols>
          <w:pgMar w:left="440" w:top="270" w:right="579" w:bottom="1440" w:gutter="0" w:footer="0" w:header="0"/>
          <w:type w:val="continuous"/>
        </w:sectPr>
      </w:pPr>
    </w:p>
    <w:bookmarkStart w:id="71" w:name="page72"/>
    <w:bookmarkEnd w:id="71"/>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NOTICE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Fulcrum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Thomson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Curtis Oltmans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Greg Tourangeau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Bassett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Neil Riley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Connor Anderson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Tom Wright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Jay Hershey</w:t>
      </w:r>
    </w:p>
    <w:p>
      <w:pPr>
        <w:sectPr>
          <w:pgSz w:w="11900" w:h="16838" w:orient="portrait"/>
          <w:cols w:equalWidth="0" w:num="1">
            <w:col w:w="10019"/>
          </w:cols>
          <w:pgMar w:left="440" w:top="27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Trustee</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73" w:name="page74"/>
    <w:bookmarkEnd w:id="73"/>
    <w:tbl>
      <w:tblPr>
        <w:tblLayout w:type="fixed"/>
        <w:tblInd w:w="4" w:type="dxa"/>
        <w:tblCellMar>
          <w:top w:w="0" w:type="dxa"/>
          <w:left w:w="0" w:type="dxa"/>
          <w:bottom w:w="0" w:type="dxa"/>
          <w:right w:w="0" w:type="dxa"/>
        </w:tblCellMar>
      </w:tblPr>
      <w:tr>
        <w:trPr>
          <w:trHeight w:val="227"/>
        </w:trPr>
        <w:tc>
          <w:tcPr>
            <w:tcW w:w="1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CROSS-REFERENCE TABLE</w:t>
            </w:r>
          </w:p>
        </w:tc>
        <w:tc>
          <w:tcPr>
            <w:tcW w:w="4340" w:type="dxa"/>
            <w:vAlign w:val="bottom"/>
            <w:gridSpan w:val="3"/>
          </w:tcPr>
          <w:p>
            <w:pPr>
              <w:jc w:val="right"/>
              <w:ind w:right="4193"/>
              <w:spacing w:after="0"/>
              <w:rPr>
                <w:sz w:val="20"/>
                <w:szCs w:val="20"/>
                <w:color w:val="auto"/>
              </w:rPr>
            </w:pPr>
            <w:r>
              <w:rPr>
                <w:rFonts w:ascii="Arial" w:cs="Arial" w:eastAsia="Arial" w:hAnsi="Arial"/>
                <w:sz w:val="10"/>
                <w:szCs w:val="10"/>
                <w:b w:val="1"/>
                <w:bCs w:val="1"/>
                <w:color w:val="auto"/>
                <w:w w:val="71"/>
              </w:rPr>
              <w:t>1</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3"/>
              </w:rPr>
              <w:t>Section of Trust Indenture Act</w:t>
            </w: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Section of</w:t>
            </w:r>
          </w:p>
        </w:tc>
        <w:tc>
          <w:tcPr>
            <w:tcW w:w="0" w:type="dxa"/>
            <w:vAlign w:val="bottom"/>
          </w:tcPr>
          <w:p>
            <w:pPr>
              <w:spacing w:after="0" w:line="20" w:lineRule="exact"/>
              <w:rPr>
                <w:sz w:val="1"/>
                <w:szCs w:val="1"/>
                <w:color w:val="auto"/>
              </w:rPr>
            </w:pPr>
          </w:p>
        </w:tc>
      </w:tr>
      <w:tr>
        <w:trPr>
          <w:trHeight w:val="358"/>
        </w:trPr>
        <w:tc>
          <w:tcPr>
            <w:tcW w:w="190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1939, as amended</w:t>
            </w:r>
          </w:p>
        </w:tc>
        <w:tc>
          <w:tcPr>
            <w:tcW w:w="2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Indenture</w:t>
            </w:r>
          </w:p>
        </w:tc>
        <w:tc>
          <w:tcPr>
            <w:tcW w:w="0" w:type="dxa"/>
            <w:vAlign w:val="bottom"/>
          </w:tcPr>
          <w:p>
            <w:pPr>
              <w:spacing w:after="0"/>
              <w:rPr>
                <w:sz w:val="1"/>
                <w:szCs w:val="1"/>
                <w:color w:val="auto"/>
              </w:rPr>
            </w:pPr>
          </w:p>
        </w:tc>
      </w:tr>
      <w:tr>
        <w:trPr>
          <w:trHeight w:val="189"/>
        </w:trPr>
        <w:tc>
          <w:tcPr>
            <w:tcW w:w="190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2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310(b)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310(c)</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311(a)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311(b)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311(c)</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312(a)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312(b)</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312(c)</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4.04(c)</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313(d)</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314(b)</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9.01(c)</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10.01(b)</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314(d)</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314(e)</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314(f)</w:t>
            </w:r>
          </w:p>
        </w:tc>
        <w:tc>
          <w:tcPr>
            <w:tcW w:w="2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315(d)</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315(e)</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316(a)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316(b)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316(c)</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317(a)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317(b)</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318(a)</w:t>
            </w:r>
          </w:p>
        </w:tc>
        <w:tc>
          <w:tcPr>
            <w:tcW w:w="9120" w:type="dxa"/>
            <w:vAlign w:val="bottom"/>
            <w:gridSpan w:val="5"/>
          </w:tcPr>
          <w:p>
            <w:pPr>
              <w:ind w:left="82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80" w:hanging="424"/>
        <w:spacing w:after="0" w:line="277" w:lineRule="auto"/>
        <w:tabs>
          <w:tab w:leader="none" w:pos="4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37" w:right="4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20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06"/>
        </w:trPr>
        <w:tc>
          <w:tcPr>
            <w:tcW w:w="13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360" w:type="dxa"/>
            <w:vAlign w:val="bottom"/>
          </w:tcPr>
          <w:p>
            <w:pPr>
              <w:spacing w:after="0"/>
              <w:rPr>
                <w:sz w:val="20"/>
                <w:szCs w:val="20"/>
                <w:color w:val="auto"/>
              </w:rPr>
            </w:pPr>
            <w:r>
              <w:rPr>
                <w:rFonts w:ascii="Arial" w:cs="Arial" w:eastAsia="Arial" w:hAnsi="Arial"/>
                <w:sz w:val="18"/>
                <w:szCs w:val="18"/>
                <w:color w:val="auto"/>
              </w:rPr>
              <w:t>ARTICLE 1</w:t>
            </w:r>
          </w:p>
        </w:tc>
        <w:tc>
          <w:tcPr>
            <w:tcW w:w="72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1.01  Certain Terms Defined</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2</w:t>
            </w:r>
          </w:p>
        </w:tc>
        <w:tc>
          <w:tcPr>
            <w:tcW w:w="720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2.01</w:t>
            </w:r>
          </w:p>
        </w:tc>
        <w:tc>
          <w:tcPr>
            <w:tcW w:w="720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2.02  Form of Trustee’s Certificate of Authentication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2.03  Amount Unlimited; Issuable in Series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2.04  Authentication and Delivery of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2.05  Execution of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2.06  Certificate of Authentication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2.07  Denomination and Date of Securities; Payments of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2.08  Registration, Transfer and Exchange</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2.09  Mutilated, Defaced, Destroyed, Lost and Stolen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2.10  Cancellation of Securities; Destruction Thereof</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2.11</w:t>
            </w:r>
          </w:p>
        </w:tc>
        <w:tc>
          <w:tcPr>
            <w:tcW w:w="720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2.12</w:t>
            </w:r>
          </w:p>
        </w:tc>
        <w:tc>
          <w:tcPr>
            <w:tcW w:w="720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3</w:t>
            </w:r>
          </w:p>
        </w:tc>
        <w:tc>
          <w:tcPr>
            <w:tcW w:w="7200" w:type="dxa"/>
            <w:vAlign w:val="bottom"/>
          </w:tcPr>
          <w:p>
            <w:pPr>
              <w:ind w:left="100"/>
              <w:spacing w:after="0"/>
              <w:rPr>
                <w:sz w:val="20"/>
                <w:szCs w:val="20"/>
                <w:color w:val="auto"/>
              </w:rPr>
            </w:pPr>
            <w:r>
              <w:rPr>
                <w:rFonts w:ascii="Arial" w:cs="Arial" w:eastAsia="Arial" w:hAnsi="Arial"/>
                <w:sz w:val="18"/>
                <w:szCs w:val="18"/>
                <w:color w:val="auto"/>
              </w:rPr>
              <w:t>COVENANTS OF THE ISSUER</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3.01  Payment of Principal and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3.02  Offices for Payments, Etc</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3.03  Appointment to Fill a Vacancy in Office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3.04</w:t>
            </w:r>
          </w:p>
        </w:tc>
        <w:tc>
          <w:tcPr>
            <w:tcW w:w="7200" w:type="dxa"/>
            <w:vAlign w:val="bottom"/>
          </w:tcPr>
          <w:p>
            <w:pPr>
              <w:ind w:left="100"/>
              <w:spacing w:after="0"/>
              <w:rPr>
                <w:sz w:val="20"/>
                <w:szCs w:val="20"/>
                <w:color w:val="auto"/>
              </w:rPr>
            </w:pPr>
            <w:r>
              <w:rPr>
                <w:rFonts w:ascii="Arial" w:cs="Arial" w:eastAsia="Arial" w:hAnsi="Arial"/>
                <w:sz w:val="18"/>
                <w:szCs w:val="18"/>
                <w:color w:val="auto"/>
              </w:rPr>
              <w:t>Paying 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560" w:type="dxa"/>
            <w:vAlign w:val="bottom"/>
            <w:gridSpan w:val="2"/>
          </w:tcPr>
          <w:p>
            <w:pPr>
              <w:ind w:left="360"/>
              <w:spacing w:after="0"/>
              <w:rPr>
                <w:sz w:val="20"/>
                <w:szCs w:val="20"/>
                <w:color w:val="auto"/>
              </w:rPr>
            </w:pPr>
            <w:r>
              <w:rPr>
                <w:rFonts w:ascii="Arial" w:cs="Arial" w:eastAsia="Arial" w:hAnsi="Arial"/>
                <w:sz w:val="18"/>
                <w:szCs w:val="18"/>
                <w:color w:val="auto"/>
              </w:rPr>
              <w:t>Section 3.05  Written Statement to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5" w:name="page76"/>
    <w:bookmarkEnd w:id="75"/>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360" w:type="dxa"/>
            <w:vAlign w:val="bottom"/>
          </w:tcPr>
          <w:p>
            <w:pPr>
              <w:spacing w:after="0"/>
              <w:rPr>
                <w:sz w:val="20"/>
                <w:szCs w:val="20"/>
                <w:color w:val="auto"/>
              </w:rPr>
            </w:pPr>
            <w:r>
              <w:rPr>
                <w:rFonts w:ascii="Arial" w:cs="Arial" w:eastAsia="Arial" w:hAnsi="Arial"/>
                <w:sz w:val="18"/>
                <w:szCs w:val="18"/>
                <w:color w:val="auto"/>
              </w:rPr>
              <w:t>ARTICLE 4</w:t>
            </w:r>
          </w:p>
        </w:tc>
        <w:tc>
          <w:tcPr>
            <w:tcW w:w="8260" w:type="dxa"/>
            <w:vAlign w:val="bottom"/>
          </w:tcPr>
          <w:p>
            <w:pPr>
              <w:ind w:left="100"/>
              <w:spacing w:after="0"/>
              <w:rPr>
                <w:sz w:val="20"/>
                <w:szCs w:val="20"/>
                <w:color w:val="auto"/>
              </w:rPr>
            </w:pPr>
            <w:r>
              <w:rPr>
                <w:rFonts w:ascii="Arial" w:cs="Arial" w:eastAsia="Arial" w:hAnsi="Arial"/>
                <w:sz w:val="18"/>
                <w:szCs w:val="18"/>
                <w:color w:val="auto"/>
              </w:rPr>
              <w:t>SECURITYHOLDERS LISTS AND REPORTS BY THE ISSUER AND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4.01  Issuer to Furnish Trustee Information as to Names and Addresses of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4.02  Reports by the Issuer</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4.03  Reports by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4.04  Preservation of Information; Communication with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5</w:t>
            </w:r>
          </w:p>
        </w:tc>
        <w:tc>
          <w:tcPr>
            <w:tcW w:w="8260" w:type="dxa"/>
            <w:vAlign w:val="bottom"/>
          </w:tcPr>
          <w:p>
            <w:pPr>
              <w:ind w:left="100"/>
              <w:spacing w:after="0"/>
              <w:rPr>
                <w:sz w:val="20"/>
                <w:szCs w:val="20"/>
                <w:color w:val="auto"/>
              </w:rPr>
            </w:pPr>
            <w:r>
              <w:rPr>
                <w:rFonts w:ascii="Arial" w:cs="Arial" w:eastAsia="Arial" w:hAnsi="Arial"/>
                <w:sz w:val="18"/>
                <w:szCs w:val="18"/>
                <w:color w:val="auto"/>
              </w:rPr>
              <w:t>REMEDIES OF THE TRUSTEE AND SECURITYHOLDERS ON EVENT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5.01  Event of Default Defined; Acceleration of Maturity; Waiver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5.02  Collection of Debt by Trustee; Trustee May Prove Debt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5.03  Application of Proceeds</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5.04  Suits for Enforcement</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5.05  Restoration of Rights on Abandonment of Proceedings</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5.06  Limitations on Suits by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5.07  Unconditional Right of Securityholders to Institute Certain Suits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w w:val="97"/>
              </w:rPr>
              <w:t>Section 5.08</w:t>
            </w:r>
          </w:p>
        </w:tc>
        <w:tc>
          <w:tcPr>
            <w:tcW w:w="8260" w:type="dxa"/>
            <w:vAlign w:val="bottom"/>
          </w:tcPr>
          <w:p>
            <w:pPr>
              <w:ind w:left="10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5.09  Control by Holders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5.10  Waiver of Past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5.11   Trustee to Give Notice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5.12  Right of Court to Require Filing of Undertaking to Pay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6</w:t>
            </w:r>
          </w:p>
        </w:tc>
        <w:tc>
          <w:tcPr>
            <w:tcW w:w="8260" w:type="dxa"/>
            <w:vAlign w:val="bottom"/>
          </w:tcPr>
          <w:p>
            <w:pPr>
              <w:ind w:left="100"/>
              <w:spacing w:after="0"/>
              <w:rPr>
                <w:sz w:val="20"/>
                <w:szCs w:val="20"/>
                <w:color w:val="auto"/>
              </w:rPr>
            </w:pPr>
            <w:r>
              <w:rPr>
                <w:rFonts w:ascii="Arial" w:cs="Arial" w:eastAsia="Arial" w:hAnsi="Arial"/>
                <w:sz w:val="18"/>
                <w:szCs w:val="18"/>
                <w:color w:val="auto"/>
              </w:rPr>
              <w:t>CONCERNING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6.01  Duties and Responsibilities of the Trustee; During Default; Prior to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6.02  Certain Rights of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6.03  Trustee Not Responsible for Recitals, Disposition of Securities or Application of Proceeds Thereof</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6.04  Trustee and Agents May Hold Securities; Collections, Etc</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6.05  Moneys Held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6.06  Compensation and Indemnification of Trustee and Its Prior Claim</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6.07  Right of Trustee to Rely on Officer’s Certificate, Etc</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6.08  Disqualification; Conflicting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6.09  Persons Eligible for Appointment as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6.10  Resignation and Removal; Appointment of Successor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6.11   Acceptance of Appointment by Successor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6.12  Merger, Conversion, Consolidation or Succession to Business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620" w:type="dxa"/>
            <w:vAlign w:val="bottom"/>
            <w:gridSpan w:val="2"/>
          </w:tcPr>
          <w:p>
            <w:pPr>
              <w:ind w:left="360"/>
              <w:spacing w:after="0"/>
              <w:rPr>
                <w:sz w:val="20"/>
                <w:szCs w:val="20"/>
                <w:color w:val="auto"/>
              </w:rPr>
            </w:pPr>
            <w:r>
              <w:rPr>
                <w:rFonts w:ascii="Arial" w:cs="Arial" w:eastAsia="Arial" w:hAnsi="Arial"/>
                <w:sz w:val="18"/>
                <w:szCs w:val="18"/>
                <w:color w:val="auto"/>
              </w:rPr>
              <w:t>Section 6.13  Preferential Collection of Claims Against the Issuer</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bl>
    <w:p>
      <w:pPr>
        <w:jc w:val="right"/>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6" w:name="page77"/>
    <w:bookmarkEnd w:id="76"/>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440" w:type="dxa"/>
            <w:vAlign w:val="bottom"/>
          </w:tcPr>
          <w:p>
            <w:pPr>
              <w:spacing w:after="0"/>
              <w:rPr>
                <w:sz w:val="20"/>
                <w:szCs w:val="20"/>
                <w:color w:val="auto"/>
              </w:rPr>
            </w:pPr>
            <w:r>
              <w:rPr>
                <w:rFonts w:ascii="Arial" w:cs="Arial" w:eastAsia="Arial" w:hAnsi="Arial"/>
                <w:sz w:val="18"/>
                <w:szCs w:val="18"/>
                <w:color w:val="auto"/>
              </w:rPr>
              <w:t>ARTICLE 7</w:t>
            </w:r>
          </w:p>
        </w:tc>
        <w:tc>
          <w:tcPr>
            <w:tcW w:w="8340" w:type="dxa"/>
            <w:vAlign w:val="bottom"/>
          </w:tcPr>
          <w:p>
            <w:pPr>
              <w:ind w:left="100"/>
              <w:spacing w:after="0"/>
              <w:rPr>
                <w:sz w:val="20"/>
                <w:szCs w:val="20"/>
                <w:color w:val="auto"/>
              </w:rPr>
            </w:pPr>
            <w:r>
              <w:rPr>
                <w:rFonts w:ascii="Arial" w:cs="Arial" w:eastAsia="Arial" w:hAnsi="Arial"/>
                <w:sz w:val="18"/>
                <w:szCs w:val="18"/>
                <w:color w:val="auto"/>
              </w:rPr>
              <w:t>CONCERNING THE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340" w:type="dxa"/>
            <w:vAlign w:val="bottom"/>
          </w:tcPr>
          <w:p>
            <w:pPr>
              <w:ind w:left="100"/>
              <w:spacing w:after="0"/>
              <w:rPr>
                <w:sz w:val="20"/>
                <w:szCs w:val="20"/>
                <w:color w:val="auto"/>
              </w:rPr>
            </w:pPr>
            <w:r>
              <w:rPr>
                <w:rFonts w:ascii="Arial" w:cs="Arial" w:eastAsia="Arial" w:hAnsi="Arial"/>
                <w:sz w:val="18"/>
                <w:szCs w:val="18"/>
                <w:color w:val="auto"/>
              </w:rPr>
              <w:t>Evidence of Action Taken by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340" w:type="dxa"/>
            <w:vAlign w:val="bottom"/>
          </w:tcPr>
          <w:p>
            <w:pPr>
              <w:ind w:left="100"/>
              <w:spacing w:after="0"/>
              <w:rPr>
                <w:sz w:val="20"/>
                <w:szCs w:val="20"/>
                <w:color w:val="auto"/>
              </w:rPr>
            </w:pPr>
            <w:r>
              <w:rPr>
                <w:rFonts w:ascii="Arial" w:cs="Arial" w:eastAsia="Arial" w:hAnsi="Arial"/>
                <w:sz w:val="18"/>
                <w:szCs w:val="18"/>
                <w:color w:val="auto"/>
              </w:rPr>
              <w:t>Proof of Execution of Instruments and of Holding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340" w:type="dxa"/>
            <w:vAlign w:val="bottom"/>
          </w:tcPr>
          <w:p>
            <w:pPr>
              <w:ind w:left="100"/>
              <w:spacing w:after="0"/>
              <w:rPr>
                <w:sz w:val="20"/>
                <w:szCs w:val="20"/>
                <w:color w:val="auto"/>
              </w:rPr>
            </w:pPr>
            <w:r>
              <w:rPr>
                <w:rFonts w:ascii="Arial" w:cs="Arial" w:eastAsia="Arial" w:hAnsi="Arial"/>
                <w:sz w:val="18"/>
                <w:szCs w:val="18"/>
                <w:color w:val="auto"/>
              </w:rPr>
              <w:t>Holders to Be Treated as Owners</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340" w:type="dxa"/>
            <w:vAlign w:val="bottom"/>
          </w:tcPr>
          <w:p>
            <w:pPr>
              <w:ind w:left="100"/>
              <w:spacing w:after="0"/>
              <w:rPr>
                <w:sz w:val="20"/>
                <w:szCs w:val="20"/>
                <w:color w:val="auto"/>
              </w:rPr>
            </w:pPr>
            <w:r>
              <w:rPr>
                <w:rFonts w:ascii="Arial" w:cs="Arial" w:eastAsia="Arial" w:hAnsi="Arial"/>
                <w:sz w:val="18"/>
                <w:szCs w:val="18"/>
                <w:color w:val="auto"/>
              </w:rPr>
              <w:t>Securities Owned by Issuer Deemed Not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340" w:type="dxa"/>
            <w:vAlign w:val="bottom"/>
          </w:tcPr>
          <w:p>
            <w:pPr>
              <w:ind w:left="100"/>
              <w:spacing w:after="0"/>
              <w:rPr>
                <w:sz w:val="20"/>
                <w:szCs w:val="20"/>
                <w:color w:val="auto"/>
              </w:rPr>
            </w:pPr>
            <w:r>
              <w:rPr>
                <w:rFonts w:ascii="Arial" w:cs="Arial" w:eastAsia="Arial" w:hAnsi="Arial"/>
                <w:sz w:val="18"/>
                <w:szCs w:val="18"/>
                <w:color w:val="auto"/>
              </w:rPr>
              <w:t>Right of Revocation of Action Taken</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8</w:t>
            </w:r>
          </w:p>
        </w:tc>
        <w:tc>
          <w:tcPr>
            <w:tcW w:w="834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34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34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Securityholders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340" w:type="dxa"/>
            <w:vAlign w:val="bottom"/>
          </w:tcPr>
          <w:p>
            <w:pPr>
              <w:ind w:left="100"/>
              <w:spacing w:after="0"/>
              <w:rPr>
                <w:sz w:val="20"/>
                <w:szCs w:val="20"/>
                <w:color w:val="auto"/>
              </w:rPr>
            </w:pPr>
            <w:r>
              <w:rPr>
                <w:rFonts w:ascii="Arial" w:cs="Arial" w:eastAsia="Arial" w:hAnsi="Arial"/>
                <w:sz w:val="18"/>
                <w:szCs w:val="18"/>
                <w:color w:val="auto"/>
              </w:rPr>
              <w:t>Effect of Supplemental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340" w:type="dxa"/>
            <w:vAlign w:val="bottom"/>
          </w:tcPr>
          <w:p>
            <w:pPr>
              <w:ind w:left="100"/>
              <w:spacing w:after="0"/>
              <w:rPr>
                <w:sz w:val="20"/>
                <w:szCs w:val="20"/>
                <w:color w:val="auto"/>
              </w:rPr>
            </w:pPr>
            <w:r>
              <w:rPr>
                <w:rFonts w:ascii="Arial" w:cs="Arial" w:eastAsia="Arial" w:hAnsi="Arial"/>
                <w:sz w:val="18"/>
                <w:szCs w:val="18"/>
                <w:color w:val="auto"/>
              </w:rPr>
              <w:t>Documents to Be Given to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8340" w:type="dxa"/>
            <w:vAlign w:val="bottom"/>
          </w:tcPr>
          <w:p>
            <w:pPr>
              <w:ind w:left="100"/>
              <w:spacing w:after="0"/>
              <w:rPr>
                <w:sz w:val="20"/>
                <w:szCs w:val="20"/>
                <w:color w:val="auto"/>
              </w:rPr>
            </w:pPr>
            <w:r>
              <w:rPr>
                <w:rFonts w:ascii="Arial" w:cs="Arial" w:eastAsia="Arial" w:hAnsi="Arial"/>
                <w:sz w:val="18"/>
                <w:szCs w:val="18"/>
                <w:color w:val="auto"/>
              </w:rPr>
              <w:t>Notation on Securities in Respect of 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9</w:t>
            </w:r>
          </w:p>
        </w:tc>
        <w:tc>
          <w:tcPr>
            <w:tcW w:w="8340" w:type="dxa"/>
            <w:vAlign w:val="bottom"/>
          </w:tcPr>
          <w:p>
            <w:pPr>
              <w:ind w:left="100"/>
              <w:spacing w:after="0"/>
              <w:rPr>
                <w:sz w:val="20"/>
                <w:szCs w:val="20"/>
                <w:color w:val="auto"/>
              </w:rPr>
            </w:pPr>
            <w:r>
              <w:rPr>
                <w:rFonts w:ascii="Arial" w:cs="Arial" w:eastAsia="Arial" w:hAnsi="Arial"/>
                <w:sz w:val="18"/>
                <w:szCs w:val="18"/>
                <w:color w:val="auto"/>
              </w:rPr>
              <w:t>CONSOLIDATION, MERGER, SALE OR CONVEYANCE</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340" w:type="dxa"/>
            <w:vAlign w:val="bottom"/>
          </w:tcPr>
          <w:p>
            <w:pPr>
              <w:ind w:left="100"/>
              <w:spacing w:after="0"/>
              <w:rPr>
                <w:sz w:val="20"/>
                <w:szCs w:val="20"/>
                <w:color w:val="auto"/>
              </w:rPr>
            </w:pPr>
            <w:r>
              <w:rPr>
                <w:rFonts w:ascii="Arial" w:cs="Arial" w:eastAsia="Arial" w:hAnsi="Arial"/>
                <w:sz w:val="18"/>
                <w:szCs w:val="18"/>
                <w:color w:val="auto"/>
              </w:rPr>
              <w:t>Issuer May Consolidate, Etc., on Certain Terms</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340" w:type="dxa"/>
            <w:vAlign w:val="bottom"/>
          </w:tcPr>
          <w:p>
            <w:pPr>
              <w:ind w:left="100"/>
              <w:spacing w:after="0"/>
              <w:rPr>
                <w:sz w:val="20"/>
                <w:szCs w:val="20"/>
                <w:color w:val="auto"/>
              </w:rPr>
            </w:pPr>
            <w:r>
              <w:rPr>
                <w:rFonts w:ascii="Arial" w:cs="Arial" w:eastAsia="Arial" w:hAnsi="Arial"/>
                <w:sz w:val="18"/>
                <w:szCs w:val="18"/>
                <w:color w:val="auto"/>
              </w:rPr>
              <w:t>Successor Issuer Substituted</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10</w:t>
            </w:r>
          </w:p>
        </w:tc>
        <w:tc>
          <w:tcPr>
            <w:tcW w:w="834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 UNCLAIMED MONEYS</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10.01</w:t>
            </w:r>
          </w:p>
        </w:tc>
        <w:tc>
          <w:tcPr>
            <w:tcW w:w="834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10.02</w:t>
            </w:r>
          </w:p>
        </w:tc>
        <w:tc>
          <w:tcPr>
            <w:tcW w:w="8340" w:type="dxa"/>
            <w:vAlign w:val="bottom"/>
          </w:tcPr>
          <w:p>
            <w:pPr>
              <w:ind w:left="10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10.03</w:t>
            </w:r>
          </w:p>
        </w:tc>
        <w:tc>
          <w:tcPr>
            <w:tcW w:w="8340" w:type="dxa"/>
            <w:vAlign w:val="bottom"/>
          </w:tcPr>
          <w:p>
            <w:pPr>
              <w:ind w:left="100"/>
              <w:spacing w:after="0"/>
              <w:rPr>
                <w:sz w:val="20"/>
                <w:szCs w:val="20"/>
                <w:color w:val="auto"/>
              </w:rPr>
            </w:pPr>
            <w:r>
              <w:rPr>
                <w:rFonts w:ascii="Arial" w:cs="Arial" w:eastAsia="Arial" w:hAnsi="Arial"/>
                <w:sz w:val="18"/>
                <w:szCs w:val="18"/>
                <w:color w:val="auto"/>
              </w:rPr>
              <w:t>Repayment of Moneys Held by Paying Agent</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10.04</w:t>
            </w:r>
          </w:p>
        </w:tc>
        <w:tc>
          <w:tcPr>
            <w:tcW w:w="8340" w:type="dxa"/>
            <w:vAlign w:val="bottom"/>
          </w:tcPr>
          <w:p>
            <w:pPr>
              <w:ind w:left="10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10.05</w:t>
            </w:r>
          </w:p>
        </w:tc>
        <w:tc>
          <w:tcPr>
            <w:tcW w:w="8340" w:type="dxa"/>
            <w:vAlign w:val="bottom"/>
          </w:tcPr>
          <w:p>
            <w:pPr>
              <w:ind w:left="100"/>
              <w:spacing w:after="0"/>
              <w:rPr>
                <w:sz w:val="20"/>
                <w:szCs w:val="20"/>
                <w:color w:val="auto"/>
              </w:rPr>
            </w:pPr>
            <w:r>
              <w:rPr>
                <w:rFonts w:ascii="Arial" w:cs="Arial" w:eastAsia="Arial" w:hAnsi="Arial"/>
                <w:sz w:val="18"/>
                <w:szCs w:val="18"/>
                <w:color w:val="auto"/>
              </w:rPr>
              <w:t>Indemnity for U.S. Government Obligations and Foreign Government Obligations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11</w:t>
            </w:r>
          </w:p>
        </w:tc>
        <w:tc>
          <w:tcPr>
            <w:tcW w:w="8340" w:type="dxa"/>
            <w:vAlign w:val="bottom"/>
          </w:tcPr>
          <w:p>
            <w:pPr>
              <w:ind w:left="100"/>
              <w:spacing w:after="0"/>
              <w:rPr>
                <w:sz w:val="20"/>
                <w:szCs w:val="20"/>
                <w:color w:val="auto"/>
              </w:rPr>
            </w:pPr>
            <w:r>
              <w:rPr>
                <w:rFonts w:ascii="Arial" w:cs="Arial" w:eastAsia="Arial" w:hAnsi="Arial"/>
                <w:sz w:val="18"/>
                <w:szCs w:val="18"/>
                <w:color w:val="auto"/>
              </w:rPr>
              <w:t>MISCELLANEOUS PROVISIONS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11.01</w:t>
            </w:r>
          </w:p>
        </w:tc>
        <w:tc>
          <w:tcPr>
            <w:tcW w:w="834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11.02</w:t>
            </w:r>
          </w:p>
        </w:tc>
        <w:tc>
          <w:tcPr>
            <w:tcW w:w="8340" w:type="dxa"/>
            <w:vAlign w:val="bottom"/>
          </w:tcPr>
          <w:p>
            <w:pPr>
              <w:ind w:left="100"/>
              <w:spacing w:after="0"/>
              <w:rPr>
                <w:sz w:val="20"/>
                <w:szCs w:val="20"/>
                <w:color w:val="auto"/>
              </w:rPr>
            </w:pPr>
            <w:r>
              <w:rPr>
                <w:rFonts w:ascii="Arial" w:cs="Arial" w:eastAsia="Arial" w:hAnsi="Arial"/>
                <w:sz w:val="18"/>
                <w:szCs w:val="18"/>
                <w:color w:val="auto"/>
              </w:rPr>
              <w:t>Provisions of Indenture for the Sole Benefit of Parties and Holders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11.03</w:t>
            </w:r>
          </w:p>
        </w:tc>
        <w:tc>
          <w:tcPr>
            <w:tcW w:w="8340" w:type="dxa"/>
            <w:vAlign w:val="bottom"/>
          </w:tcPr>
          <w:p>
            <w:pPr>
              <w:ind w:left="100"/>
              <w:spacing w:after="0"/>
              <w:rPr>
                <w:sz w:val="20"/>
                <w:szCs w:val="20"/>
                <w:color w:val="auto"/>
              </w:rPr>
            </w:pPr>
            <w:r>
              <w:rPr>
                <w:rFonts w:ascii="Arial" w:cs="Arial" w:eastAsia="Arial" w:hAnsi="Arial"/>
                <w:sz w:val="18"/>
                <w:szCs w:val="18"/>
                <w:color w:val="auto"/>
              </w:rPr>
              <w:t>Successors and Assigns of Issuer Bound by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11.04</w:t>
            </w:r>
          </w:p>
        </w:tc>
        <w:tc>
          <w:tcPr>
            <w:tcW w:w="8340" w:type="dxa"/>
            <w:vAlign w:val="bottom"/>
          </w:tcPr>
          <w:p>
            <w:pPr>
              <w:ind w:left="100"/>
              <w:spacing w:after="0"/>
              <w:rPr>
                <w:sz w:val="20"/>
                <w:szCs w:val="20"/>
                <w:color w:val="auto"/>
              </w:rPr>
            </w:pPr>
            <w:r>
              <w:rPr>
                <w:rFonts w:ascii="Arial" w:cs="Arial" w:eastAsia="Arial" w:hAnsi="Arial"/>
                <w:sz w:val="18"/>
                <w:szCs w:val="18"/>
                <w:color w:val="auto"/>
              </w:rPr>
              <w:t>Notices and Demands on Issuer, Trustee and Holders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11.05</w:t>
            </w:r>
          </w:p>
        </w:tc>
        <w:tc>
          <w:tcPr>
            <w:tcW w:w="8340" w:type="dxa"/>
            <w:vAlign w:val="bottom"/>
          </w:tcPr>
          <w:p>
            <w:pPr>
              <w:ind w:left="10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11.06</w:t>
            </w:r>
          </w:p>
        </w:tc>
        <w:tc>
          <w:tcPr>
            <w:tcW w:w="8340" w:type="dxa"/>
            <w:vAlign w:val="bottom"/>
          </w:tcPr>
          <w:p>
            <w:pPr>
              <w:ind w:left="100"/>
              <w:spacing w:after="0"/>
              <w:rPr>
                <w:sz w:val="20"/>
                <w:szCs w:val="20"/>
                <w:color w:val="auto"/>
              </w:rPr>
            </w:pPr>
            <w:r>
              <w:rPr>
                <w:rFonts w:ascii="Arial" w:cs="Arial" w:eastAsia="Arial" w:hAnsi="Arial"/>
                <w:sz w:val="18"/>
                <w:szCs w:val="18"/>
                <w:color w:val="auto"/>
              </w:rPr>
              <w:t>Payments Due on Saturdays, Sundays and Holidays</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bl>
    <w:p>
      <w:pPr>
        <w:jc w:val="right"/>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7" w:name="page78"/>
    <w:bookmarkEnd w:id="77"/>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2"/>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11.07</w:t>
            </w:r>
          </w:p>
        </w:tc>
        <w:tc>
          <w:tcPr>
            <w:tcW w:w="7440" w:type="dxa"/>
            <w:vAlign w:val="bottom"/>
          </w:tcPr>
          <w:p>
            <w:pPr>
              <w:ind w:left="10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11.08</w:t>
            </w:r>
          </w:p>
        </w:tc>
        <w:tc>
          <w:tcPr>
            <w:tcW w:w="7440" w:type="dxa"/>
            <w:vAlign w:val="bottom"/>
          </w:tcPr>
          <w:p>
            <w:pPr>
              <w:ind w:left="100"/>
              <w:spacing w:after="0"/>
              <w:rPr>
                <w:sz w:val="20"/>
                <w:szCs w:val="20"/>
                <w:color w:val="auto"/>
              </w:rPr>
            </w:pPr>
            <w:r>
              <w:rPr>
                <w:rFonts w:ascii="Arial" w:cs="Arial" w:eastAsia="Arial" w:hAnsi="Arial"/>
                <w:sz w:val="18"/>
                <w:szCs w:val="18"/>
                <w:color w:val="auto"/>
              </w:rPr>
              <w:t>New York Law to Govern</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11.09</w:t>
            </w:r>
          </w:p>
        </w:tc>
        <w:tc>
          <w:tcPr>
            <w:tcW w:w="74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11.10</w:t>
            </w:r>
          </w:p>
        </w:tc>
        <w:tc>
          <w:tcPr>
            <w:tcW w:w="7440" w:type="dxa"/>
            <w:vAlign w:val="bottom"/>
          </w:tcPr>
          <w:p>
            <w:pPr>
              <w:ind w:left="100"/>
              <w:spacing w:after="0"/>
              <w:rPr>
                <w:sz w:val="20"/>
                <w:szCs w:val="20"/>
                <w:color w:val="auto"/>
              </w:rPr>
            </w:pPr>
            <w:r>
              <w:rPr>
                <w:rFonts w:ascii="Arial" w:cs="Arial" w:eastAsia="Arial" w:hAnsi="Arial"/>
                <w:sz w:val="18"/>
                <w:szCs w:val="18"/>
                <w:color w:val="auto"/>
              </w:rPr>
              <w:t>Effect of Headings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11.11</w:t>
            </w:r>
          </w:p>
        </w:tc>
        <w:tc>
          <w:tcPr>
            <w:tcW w:w="7440" w:type="dxa"/>
            <w:vAlign w:val="bottom"/>
          </w:tcPr>
          <w:p>
            <w:pPr>
              <w:ind w:left="100"/>
              <w:spacing w:after="0"/>
              <w:rPr>
                <w:sz w:val="20"/>
                <w:szCs w:val="20"/>
                <w:color w:val="auto"/>
              </w:rPr>
            </w:pPr>
            <w:r>
              <w:rPr>
                <w:rFonts w:ascii="Arial" w:cs="Arial" w:eastAsia="Arial" w:hAnsi="Arial"/>
                <w:sz w:val="18"/>
                <w:szCs w:val="18"/>
                <w:color w:val="auto"/>
              </w:rPr>
              <w:t>Actions by Successor</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11.12</w:t>
            </w:r>
          </w:p>
        </w:tc>
        <w:tc>
          <w:tcPr>
            <w:tcW w:w="74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ARTICLE 12</w:t>
            </w:r>
          </w:p>
        </w:tc>
        <w:tc>
          <w:tcPr>
            <w:tcW w:w="7440" w:type="dxa"/>
            <w:vAlign w:val="bottom"/>
          </w:tcPr>
          <w:p>
            <w:pPr>
              <w:ind w:left="100"/>
              <w:spacing w:after="0"/>
              <w:rPr>
                <w:sz w:val="20"/>
                <w:szCs w:val="20"/>
                <w:color w:val="auto"/>
              </w:rPr>
            </w:pPr>
            <w:r>
              <w:rPr>
                <w:rFonts w:ascii="Arial" w:cs="Arial" w:eastAsia="Arial" w:hAnsi="Arial"/>
                <w:sz w:val="18"/>
                <w:szCs w:val="18"/>
                <w:color w:val="auto"/>
              </w:rPr>
              <w:t>REDEMPTION OF SECURITIES AND SINKING FUNDS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12.01</w:t>
            </w:r>
          </w:p>
        </w:tc>
        <w:tc>
          <w:tcPr>
            <w:tcW w:w="7440" w:type="dxa"/>
            <w:vAlign w:val="bottom"/>
          </w:tcPr>
          <w:p>
            <w:pPr>
              <w:ind w:left="100"/>
              <w:spacing w:after="0"/>
              <w:rPr>
                <w:sz w:val="20"/>
                <w:szCs w:val="20"/>
                <w:color w:val="auto"/>
              </w:rPr>
            </w:pPr>
            <w:r>
              <w:rPr>
                <w:rFonts w:ascii="Arial" w:cs="Arial" w:eastAsia="Arial" w:hAnsi="Arial"/>
                <w:sz w:val="18"/>
                <w:szCs w:val="18"/>
                <w:color w:val="auto"/>
              </w:rPr>
              <w:t>Applicability of Article</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12.02</w:t>
            </w:r>
          </w:p>
        </w:tc>
        <w:tc>
          <w:tcPr>
            <w:tcW w:w="7440" w:type="dxa"/>
            <w:vAlign w:val="bottom"/>
          </w:tcPr>
          <w:p>
            <w:pPr>
              <w:ind w:left="100"/>
              <w:spacing w:after="0"/>
              <w:rPr>
                <w:sz w:val="20"/>
                <w:szCs w:val="20"/>
                <w:color w:val="auto"/>
              </w:rPr>
            </w:pPr>
            <w:r>
              <w:rPr>
                <w:rFonts w:ascii="Arial" w:cs="Arial" w:eastAsia="Arial" w:hAnsi="Arial"/>
                <w:sz w:val="18"/>
                <w:szCs w:val="18"/>
                <w:color w:val="auto"/>
              </w:rPr>
              <w:t>Notice of Redemption; Partial Redemptions</w:t>
            </w: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12.03</w:t>
            </w:r>
          </w:p>
        </w:tc>
        <w:tc>
          <w:tcPr>
            <w:tcW w:w="7440" w:type="dxa"/>
            <w:vAlign w:val="bottom"/>
          </w:tcPr>
          <w:p>
            <w:pPr>
              <w:ind w:left="100"/>
              <w:spacing w:after="0"/>
              <w:rPr>
                <w:sz w:val="20"/>
                <w:szCs w:val="20"/>
                <w:color w:val="auto"/>
              </w:rPr>
            </w:pPr>
            <w:r>
              <w:rPr>
                <w:rFonts w:ascii="Arial" w:cs="Arial" w:eastAsia="Arial" w:hAnsi="Arial"/>
                <w:sz w:val="18"/>
                <w:szCs w:val="18"/>
                <w:color w:val="auto"/>
              </w:rPr>
              <w:t>Payment of Securities Called for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12.04</w:t>
            </w:r>
          </w:p>
        </w:tc>
        <w:tc>
          <w:tcPr>
            <w:tcW w:w="7440" w:type="dxa"/>
            <w:vAlign w:val="bottom"/>
          </w:tcPr>
          <w:p>
            <w:pPr>
              <w:ind w:left="10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12.05</w:t>
            </w:r>
          </w:p>
        </w:tc>
        <w:tc>
          <w:tcPr>
            <w:tcW w:w="7440" w:type="dxa"/>
            <w:vAlign w:val="bottom"/>
          </w:tcPr>
          <w:p>
            <w:pPr>
              <w:ind w:left="100"/>
              <w:spacing w:after="0"/>
              <w:rPr>
                <w:sz w:val="20"/>
                <w:szCs w:val="20"/>
                <w:color w:val="auto"/>
              </w:rPr>
            </w:pPr>
            <w:r>
              <w:rPr>
                <w:rFonts w:ascii="Arial" w:cs="Arial" w:eastAsia="Arial" w:hAnsi="Arial"/>
                <w:sz w:val="18"/>
                <w:szCs w:val="18"/>
                <w:color w:val="auto"/>
              </w:rPr>
              <w:t>Mandatory and Optional Sinking Funds</w:t>
            </w:r>
          </w:p>
        </w:tc>
        <w:tc>
          <w:tcPr>
            <w:tcW w:w="2080" w:type="dxa"/>
            <w:vAlign w:val="bottom"/>
          </w:tcPr>
          <w:p>
            <w:pPr>
              <w:jc w:val="right"/>
              <w:spacing w:after="0"/>
              <w:rPr>
                <w:sz w:val="20"/>
                <w:szCs w:val="20"/>
                <w:color w:val="auto"/>
              </w:rPr>
            </w:pPr>
            <w:r>
              <w:rPr>
                <w:rFonts w:ascii="Arial" w:cs="Arial" w:eastAsia="Arial" w:hAnsi="Arial"/>
                <w:sz w:val="18"/>
                <w:szCs w:val="18"/>
                <w:color w:val="auto"/>
              </w:rPr>
              <w:t>51</w:t>
            </w:r>
          </w:p>
        </w:tc>
      </w:tr>
    </w:tbl>
    <w:p>
      <w:pPr>
        <w:jc w:val="right"/>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8" w:name="page79"/>
    <w:bookmarkEnd w:id="78"/>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dated as of</w:t>
      </w:r>
    </w:p>
    <w:p>
      <w:pPr>
        <w:spacing w:after="0" w:line="4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a</w:t>
      </w:r>
    </w:p>
    <w:p>
      <w:pPr>
        <w:spacing w:after="0" w:line="20" w:lineRule="exact"/>
        <w:rPr>
          <w:sz w:val="20"/>
          <w:szCs w:val="20"/>
          <w:color w:val="auto"/>
        </w:rPr>
      </w:pPr>
      <w:r>
        <w:rPr>
          <w:sz w:val="20"/>
          <w:szCs w:val="20"/>
          <w:color w:val="auto"/>
        </w:rPr>
        <w:br w:type="column"/>
      </w:r>
    </w:p>
    <w:p>
      <w:pPr>
        <w:ind w:right="1500" w:hanging="174"/>
        <w:spacing w:after="0" w:line="282" w:lineRule="auto"/>
        <w:rPr>
          <w:sz w:val="20"/>
          <w:szCs w:val="20"/>
          <w:color w:val="auto"/>
        </w:rPr>
      </w:pPr>
      <w:r>
        <w:rPr>
          <w:rFonts w:ascii="Arial" w:cs="Arial" w:eastAsia="Arial" w:hAnsi="Arial"/>
          <w:sz w:val="18"/>
          <w:szCs w:val="18"/>
          <w:color w:val="auto"/>
        </w:rPr>
        <w:t>between Fulcrum Therapeutics, Inc.,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-391160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060"/>
          </w:cols>
          <w:pgMar w:left="440" w:top="270" w:right="45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principles</w:t>
      </w:r>
      <w:r>
        <w:rPr>
          <w:rFonts w:ascii="Arial" w:cs="Arial" w:eastAsia="Arial" w:hAnsi="Arial"/>
          <w:sz w:val="16"/>
          <w:szCs w:val="16"/>
          <w:color w:val="auto"/>
        </w:rPr>
        <w:t>” means such accounting principles as are generally accepted in the United States at the time of any computation. The words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“Additional Amounts” </w:t>
      </w:r>
      <w:r>
        <w:rPr>
          <w:rFonts w:ascii="Arial" w:cs="Arial" w:eastAsia="Arial" w:hAnsi="Arial"/>
          <w:sz w:val="18"/>
          <w:szCs w:val="18"/>
          <w:color w:val="auto"/>
        </w:rPr>
        <w:t>means any additional amounts that are required by this Indenture or by any Security, under circumstances specified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or therein, to be paid by the Issuer in respect of certain taxes, assessments or other governmental charges imposed on Holders specified therein and which are owing to such 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type w:val="continuous"/>
        </w:sectPr>
      </w:pPr>
    </w:p>
    <w:bookmarkStart w:id="79" w:name="page80"/>
    <w:bookmarkEnd w:id="7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62"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16"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color w:val="auto"/>
        </w:rPr>
        <w:t>means (a) in the case of a corporation, corporate stock; (b) in the case of an association or business entity, any and all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6"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$0.001 per share, of the Issuer as the same exists at the date of execution and delivery of this Indenture or as such stock may be reconstituted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w:t>
      </w:r>
    </w:p>
    <w:p>
      <w:pPr>
        <w:spacing w:after="0" w:line="50" w:lineRule="exact"/>
        <w:rPr>
          <w:sz w:val="20"/>
          <w:szCs w:val="20"/>
          <w:color w:val="auto"/>
        </w:rPr>
      </w:pPr>
    </w:p>
    <w:p>
      <w:pPr>
        <w:spacing w:after="0"/>
        <w:tabs>
          <w:tab w:leader="none" w:pos="8900" w:val="left"/>
        </w:tabs>
        <w:rPr>
          <w:sz w:val="20"/>
          <w:szCs w:val="20"/>
          <w:color w:val="auto"/>
        </w:rPr>
      </w:pPr>
      <w:r>
        <w:rPr>
          <w:rFonts w:ascii="Arial" w:cs="Arial" w:eastAsia="Arial" w:hAnsi="Arial"/>
          <w:sz w:val="18"/>
          <w:szCs w:val="18"/>
          <w:color w:val="auto"/>
        </w:rPr>
        <w:t>principally administered, which office is, at the date as of which this Indenture is dated, located at</w:t>
      </w:r>
      <w:r>
        <w:rPr>
          <w:sz w:val="20"/>
          <w:szCs w:val="20"/>
          <w:color w:val="auto"/>
        </w:rPr>
        <w:tab/>
      </w:r>
      <w:r>
        <w:rPr>
          <w:rFonts w:ascii="Arial" w:cs="Arial" w:eastAsia="Arial" w:hAnsi="Arial"/>
          <w:sz w:val="13"/>
          <w:szCs w:val="13"/>
          <w:color w:val="auto"/>
        </w:rPr>
        <w:t>.</w:t>
      </w:r>
    </w:p>
    <w:p>
      <w:pPr>
        <w:spacing w:after="0" w:line="207"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80" w:name="page81"/>
    <w:bookmarkEnd w:id="8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 is so excluded, for the purpose of computing the assets of such Person there shall be excluded the money, securities or evidences of Debt deposited by such Person in trust for the purpose of paying or satisfying such Debt.</w:t>
      </w:r>
    </w:p>
    <w:p>
      <w:pPr>
        <w:spacing w:after="0" w:line="16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“Foreign Government Obligation” </w:t>
      </w:r>
      <w:r>
        <w:rPr>
          <w:rFonts w:ascii="Arial" w:cs="Arial" w:eastAsia="Arial" w:hAnsi="Arial"/>
          <w:sz w:val="16"/>
          <w:szCs w:val="16"/>
          <w:color w:val="auto"/>
        </w:rPr>
        <w:t>means (a) a direct obligation of the government of a country other than the United States of America, backed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59"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Fulcrum Therapeutics, Inc., a Delaware corporation, and, subject to Article 9, its successors and assigns.</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shall have the meaning set forth in Section 5.01(c).</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58"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58" w:lineRule="exact"/>
        <w:rPr>
          <w:sz w:val="20"/>
          <w:szCs w:val="20"/>
          <w:color w:val="auto"/>
        </w:rPr>
      </w:pPr>
    </w:p>
    <w:p>
      <w:pPr>
        <w:ind w:right="3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62"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71" w:lineRule="exact"/>
        <w:rPr>
          <w:sz w:val="20"/>
          <w:szCs w:val="20"/>
          <w:color w:val="auto"/>
        </w:rPr>
      </w:pPr>
    </w:p>
    <w:p>
      <w:pPr>
        <w:ind w:left="1420" w:hanging="43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30" w:lineRule="exact"/>
        <w:rPr>
          <w:rFonts w:ascii="Arial" w:cs="Arial" w:eastAsia="Arial" w:hAnsi="Arial"/>
          <w:sz w:val="18"/>
          <w:szCs w:val="18"/>
          <w:color w:val="auto"/>
        </w:rPr>
      </w:pPr>
    </w:p>
    <w:p>
      <w:pPr>
        <w:ind w:left="1420" w:hanging="439"/>
        <w:spacing w:after="0" w:line="273" w:lineRule="auto"/>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0" w:right="519" w:bottom="1440" w:gutter="0" w:footer="0" w:header="0"/>
        </w:sectPr>
      </w:pPr>
    </w:p>
    <w:bookmarkStart w:id="82" w:name="page83"/>
    <w:bookmarkEnd w:id="82"/>
    <w:p>
      <w:pPr>
        <w:ind w:left="1420" w:hanging="43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as to which Legal Defeasance shall have been effected pursuant to Section 10.01(b);</w:t>
      </w:r>
    </w:p>
    <w:p>
      <w:pPr>
        <w:spacing w:after="0" w:line="130" w:lineRule="exact"/>
        <w:rPr>
          <w:rFonts w:ascii="Arial" w:cs="Arial" w:eastAsia="Arial" w:hAnsi="Arial"/>
          <w:sz w:val="18"/>
          <w:szCs w:val="18"/>
          <w:color w:val="auto"/>
        </w:rPr>
      </w:pPr>
    </w:p>
    <w:p>
      <w:pPr>
        <w:ind w:left="1420" w:right="80" w:hanging="439"/>
        <w:spacing w:after="0" w:line="301"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62"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77"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have the meaning set forth in Section 2.07.</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83" w:name="page84"/>
    <w:bookmarkEnd w:id="83"/>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45"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28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7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62"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14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4" w:name="page85"/>
    <w:bookmarkEnd w:id="84"/>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85" w:name="page86"/>
    <w:bookmarkEnd w:id="85"/>
    <w:p>
      <w:pPr>
        <w:ind w:left="439" w:hanging="439"/>
        <w:spacing w:after="0"/>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designation of the Securities of the series (which may be part of a series of Securities previously issued);</w:t>
      </w:r>
    </w:p>
    <w:p>
      <w:pPr>
        <w:spacing w:after="0" w:line="130" w:lineRule="exact"/>
        <w:rPr>
          <w:rFonts w:ascii="Arial" w:cs="Arial" w:eastAsia="Arial" w:hAnsi="Arial"/>
          <w:sz w:val="18"/>
          <w:szCs w:val="18"/>
          <w:color w:val="auto"/>
        </w:rPr>
      </w:pPr>
    </w:p>
    <w:p>
      <w:pPr>
        <w:ind w:left="439" w:right="240" w:hanging="439"/>
        <w:spacing w:after="0" w:line="263"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89"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used to determine those dates and the right, if any, to extend such date or dates;</w:t>
      </w:r>
    </w:p>
    <w:p>
      <w:pPr>
        <w:spacing w:after="0" w:line="75" w:lineRule="exact"/>
        <w:rPr>
          <w:rFonts w:ascii="Arial" w:cs="Arial" w:eastAsia="Arial" w:hAnsi="Arial"/>
          <w:sz w:val="18"/>
          <w:szCs w:val="18"/>
          <w:color w:val="auto"/>
        </w:rPr>
      </w:pPr>
    </w:p>
    <w:p>
      <w:pPr>
        <w:ind w:left="439" w:right="100" w:hanging="439"/>
        <w:spacing w:after="0" w:line="275" w:lineRule="auto"/>
        <w:tabs>
          <w:tab w:leader="none" w:pos="43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81" w:lineRule="exact"/>
        <w:rPr>
          <w:rFonts w:ascii="Arial" w:cs="Arial" w:eastAsia="Arial" w:hAnsi="Arial"/>
          <w:sz w:val="17"/>
          <w:szCs w:val="17"/>
          <w:color w:val="auto"/>
        </w:rPr>
      </w:pPr>
    </w:p>
    <w:p>
      <w:pPr>
        <w:ind w:left="439" w:right="300" w:hanging="439"/>
        <w:spacing w:after="0" w:line="277"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on Securities of the series shall be payable (if other than as provided in Section 3.02);</w:t>
      </w:r>
    </w:p>
    <w:p>
      <w:pPr>
        <w:spacing w:after="0" w:line="75" w:lineRule="exact"/>
        <w:rPr>
          <w:rFonts w:ascii="Arial" w:cs="Arial" w:eastAsia="Arial" w:hAnsi="Arial"/>
          <w:sz w:val="18"/>
          <w:szCs w:val="18"/>
          <w:color w:val="auto"/>
        </w:rPr>
      </w:pPr>
    </w:p>
    <w:p>
      <w:pPr>
        <w:ind w:left="439" w:right="80" w:hanging="439"/>
        <w:spacing w:after="0" w:line="259"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92" w:lineRule="exact"/>
        <w:rPr>
          <w:rFonts w:ascii="Arial" w:cs="Arial" w:eastAsia="Arial" w:hAnsi="Arial"/>
          <w:sz w:val="18"/>
          <w:szCs w:val="18"/>
          <w:color w:val="auto"/>
        </w:rPr>
      </w:pPr>
    </w:p>
    <w:p>
      <w:pPr>
        <w:ind w:left="439" w:hanging="439"/>
        <w:spacing w:after="0" w:line="277"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 of $1,000 in excess thereof, the denominations in which Securities of the series shall be issuable;</w:t>
      </w:r>
    </w:p>
    <w:p>
      <w:pPr>
        <w:spacing w:after="0" w:line="75" w:lineRule="exact"/>
        <w:rPr>
          <w:rFonts w:ascii="Arial" w:cs="Arial" w:eastAsia="Arial" w:hAnsi="Arial"/>
          <w:sz w:val="18"/>
          <w:szCs w:val="18"/>
          <w:color w:val="auto"/>
        </w:rPr>
      </w:pPr>
    </w:p>
    <w:p>
      <w:pPr>
        <w:ind w:left="439" w:right="60" w:hanging="439"/>
        <w:spacing w:after="0" w:line="277"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other than Dollars, the currency, currencies or currency units in which the Securities of the series are denominated;</w:t>
      </w:r>
    </w:p>
    <w:p>
      <w:pPr>
        <w:spacing w:after="0" w:line="130"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the series are denominated, the currency in which payment of the principal of or interest on the Securities of such series shall be payable;</w:t>
      </w:r>
    </w:p>
    <w:p>
      <w:pPr>
        <w:spacing w:after="0" w:line="103"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1421" w:top="274" w:right="459" w:bottom="1440" w:gutter="0" w:footer="0" w:header="0"/>
        </w:sectPr>
      </w:pPr>
    </w:p>
    <w:bookmarkStart w:id="86" w:name="page87"/>
    <w:bookmarkEnd w:id="86"/>
    <w:p>
      <w:pPr>
        <w:ind w:left="439" w:right="220" w:hanging="439"/>
        <w:spacing w:after="0" w:line="263"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89" w:lineRule="exact"/>
        <w:rPr>
          <w:rFonts w:ascii="Arial" w:cs="Arial" w:eastAsia="Arial" w:hAnsi="Arial"/>
          <w:sz w:val="18"/>
          <w:szCs w:val="18"/>
          <w:color w:val="auto"/>
        </w:rPr>
      </w:pPr>
    </w:p>
    <w:p>
      <w:pPr>
        <w:ind w:left="439" w:right="280" w:hanging="439"/>
        <w:spacing w:after="0" w:line="259"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92" w:lineRule="exact"/>
        <w:rPr>
          <w:rFonts w:ascii="Arial" w:cs="Arial" w:eastAsia="Arial" w:hAnsi="Arial"/>
          <w:sz w:val="18"/>
          <w:szCs w:val="18"/>
          <w:color w:val="auto"/>
        </w:rPr>
      </w:pPr>
    </w:p>
    <w:p>
      <w:pPr>
        <w:ind w:left="439" w:right="160" w:hanging="439"/>
        <w:spacing w:after="0" w:line="263"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89" w:lineRule="exact"/>
        <w:rPr>
          <w:rFonts w:ascii="Arial" w:cs="Arial" w:eastAsia="Arial" w:hAnsi="Arial"/>
          <w:sz w:val="18"/>
          <w:szCs w:val="18"/>
          <w:color w:val="auto"/>
        </w:rPr>
      </w:pPr>
    </w:p>
    <w:p>
      <w:pPr>
        <w:ind w:left="439" w:right="140" w:hanging="439"/>
        <w:spacing w:after="0" w:line="259"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92" w:lineRule="exact"/>
        <w:rPr>
          <w:rFonts w:ascii="Arial" w:cs="Arial" w:eastAsia="Arial" w:hAnsi="Arial"/>
          <w:sz w:val="18"/>
          <w:szCs w:val="18"/>
          <w:color w:val="auto"/>
        </w:rPr>
      </w:pPr>
    </w:p>
    <w:p>
      <w:pPr>
        <w:ind w:left="439" w:hanging="439"/>
        <w:spacing w:after="0"/>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130" w:lineRule="exact"/>
        <w:rPr>
          <w:rFonts w:ascii="Arial" w:cs="Arial" w:eastAsia="Arial" w:hAnsi="Arial"/>
          <w:sz w:val="18"/>
          <w:szCs w:val="18"/>
          <w:color w:val="auto"/>
        </w:rPr>
      </w:pPr>
    </w:p>
    <w:p>
      <w:pPr>
        <w:ind w:left="439" w:right="220" w:hanging="439"/>
        <w:spacing w:after="0" w:line="277"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and, if so, whether the Issuer will have the option to redeem such Securities rather than pay such additional amounts;</w:t>
      </w:r>
    </w:p>
    <w:p>
      <w:pPr>
        <w:spacing w:after="0" w:line="75" w:lineRule="exact"/>
        <w:rPr>
          <w:rFonts w:ascii="Arial" w:cs="Arial" w:eastAsia="Arial" w:hAnsi="Arial"/>
          <w:sz w:val="18"/>
          <w:szCs w:val="18"/>
          <w:color w:val="auto"/>
        </w:rPr>
      </w:pPr>
    </w:p>
    <w:p>
      <w:pPr>
        <w:ind w:left="439" w:right="80" w:hanging="439"/>
        <w:spacing w:after="0" w:line="263"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89" w:lineRule="exact"/>
        <w:rPr>
          <w:rFonts w:ascii="Arial" w:cs="Arial" w:eastAsia="Arial" w:hAnsi="Arial"/>
          <w:sz w:val="18"/>
          <w:szCs w:val="18"/>
          <w:color w:val="auto"/>
        </w:rPr>
      </w:pPr>
    </w:p>
    <w:p>
      <w:pPr>
        <w:ind w:left="439" w:right="220" w:hanging="439"/>
        <w:spacing w:after="0" w:line="277"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any other agents with respect to the Securities of such series;</w:t>
      </w:r>
    </w:p>
    <w:p>
      <w:pPr>
        <w:spacing w:after="0" w:line="75" w:lineRule="exact"/>
        <w:rPr>
          <w:rFonts w:ascii="Arial" w:cs="Arial" w:eastAsia="Arial" w:hAnsi="Arial"/>
          <w:sz w:val="18"/>
          <w:szCs w:val="18"/>
          <w:color w:val="auto"/>
        </w:rPr>
      </w:pPr>
    </w:p>
    <w:p>
      <w:pPr>
        <w:ind w:left="439" w:hanging="439"/>
        <w:spacing w:after="0" w:line="277" w:lineRule="auto"/>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such series in addition to or in lieu of those contained in this Indenture; and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58"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19"/>
          </w:cols>
          <w:pgMar w:left="1421" w:top="274" w:right="459" w:bottom="1440" w:gutter="0" w:footer="0" w:header="0"/>
        </w:sectPr>
      </w:pPr>
    </w:p>
    <w:bookmarkStart w:id="87" w:name="page88"/>
    <w:bookmarkEnd w:id="87"/>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71" w:lineRule="exact"/>
        <w:rPr>
          <w:sz w:val="20"/>
          <w:szCs w:val="20"/>
          <w:color w:val="auto"/>
        </w:rPr>
      </w:pPr>
    </w:p>
    <w:p>
      <w:pPr>
        <w:ind w:left="1420" w:right="180" w:hanging="43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Issuer Order requesting such authentication and setting forth delivery instructions if the Securities are not to be delivered to the Issuer;</w:t>
      </w:r>
    </w:p>
    <w:p>
      <w:pPr>
        <w:spacing w:after="0" w:line="75" w:lineRule="exact"/>
        <w:rPr>
          <w:rFonts w:ascii="Arial" w:cs="Arial" w:eastAsia="Arial" w:hAnsi="Arial"/>
          <w:sz w:val="18"/>
          <w:szCs w:val="18"/>
          <w:color w:val="auto"/>
        </w:rPr>
      </w:pPr>
    </w:p>
    <w:p>
      <w:pPr>
        <w:ind w:left="1420" w:right="440" w:hanging="43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75" w:lineRule="exact"/>
        <w:rPr>
          <w:rFonts w:ascii="Arial" w:cs="Arial" w:eastAsia="Arial" w:hAnsi="Arial"/>
          <w:sz w:val="18"/>
          <w:szCs w:val="18"/>
          <w:color w:val="auto"/>
        </w:rPr>
      </w:pPr>
    </w:p>
    <w:p>
      <w:pPr>
        <w:ind w:left="1420" w:right="20" w:hanging="439"/>
        <w:spacing w:after="0" w:line="263"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130" w:lineRule="exact"/>
        <w:rPr>
          <w:rFonts w:ascii="Arial" w:cs="Arial" w:eastAsia="Arial" w:hAnsi="Arial"/>
          <w:sz w:val="18"/>
          <w:szCs w:val="18"/>
          <w:color w:val="auto"/>
        </w:rPr>
      </w:pPr>
    </w:p>
    <w:p>
      <w:pPr>
        <w:ind w:left="1960" w:right="240" w:hanging="533"/>
        <w:spacing w:after="0" w:line="277"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pursuant to Sections 2.01 and 2.03 and comply with this Indenture,</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authentication and delivery of such Securities by the Trustee are authorized under the provisions of this Indenture, and</w:t>
      </w:r>
    </w:p>
    <w:p>
      <w:pPr>
        <w:spacing w:after="0" w:line="153" w:lineRule="exact"/>
        <w:rPr>
          <w:rFonts w:ascii="Arial" w:cs="Arial" w:eastAsia="Arial" w:hAnsi="Arial"/>
          <w:sz w:val="16"/>
          <w:szCs w:val="16"/>
          <w:color w:val="auto"/>
        </w:rPr>
      </w:pPr>
    </w:p>
    <w:p>
      <w:pPr>
        <w:ind w:left="1960" w:right="240" w:hanging="533"/>
        <w:spacing w:after="0" w:line="342" w:lineRule="auto"/>
        <w:tabs>
          <w:tab w:leader="none" w:pos="1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covering such other matters as the Trustee may reasonably request.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4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actual date of the execution of such Security, shall be the proper officers of the Issuer, although at the date of the execution and delivery of this Indenture any such person was not such an officer.</w:t>
      </w:r>
    </w:p>
    <w:p>
      <w:pPr>
        <w:spacing w:after="0" w:line="17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r>
        <w:rPr>
          <w:rFonts w:ascii="Arial" w:cs="Arial" w:eastAsia="Arial" w:hAnsi="Arial"/>
          <w:sz w:val="18"/>
          <w:szCs w:val="18"/>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0"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72"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Registration, Transfer and Exchange</w:t>
      </w:r>
      <w:r>
        <w:rPr>
          <w:rFonts w:ascii="Arial" w:cs="Arial" w:eastAsia="Arial" w:hAnsi="Arial"/>
          <w:sz w:val="17"/>
          <w:szCs w:val="17"/>
          <w:color w:val="auto"/>
        </w:rPr>
        <w:t>. The Issuer will keep at each office or agency to be maintained for the purpose as provided in Section 3.02 for each series of Securities a register or registers in which, subject to such reasonable regulations as it may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90" w:name="page91"/>
    <w:bookmarkEnd w:id="90"/>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4"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84"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6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If at any time the Depositary for the Securities of a series notifies the Issuer that it is unwilling or unable to continue as Depositary for the Securities of such series or if at any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1" w:name="page92"/>
    <w:bookmarkEnd w:id="91"/>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8"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71" w:lineRule="exact"/>
        <w:rPr>
          <w:sz w:val="20"/>
          <w:szCs w:val="20"/>
          <w:color w:val="auto"/>
        </w:rPr>
      </w:pPr>
    </w:p>
    <w:p>
      <w:pPr>
        <w:jc w:val="both"/>
        <w:ind w:left="1960" w:right="80" w:hanging="533"/>
        <w:spacing w:after="0" w:line="263"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89" w:lineRule="exact"/>
        <w:rPr>
          <w:rFonts w:ascii="Arial" w:cs="Arial" w:eastAsia="Arial" w:hAnsi="Arial"/>
          <w:sz w:val="18"/>
          <w:szCs w:val="18"/>
          <w:color w:val="auto"/>
        </w:rPr>
      </w:pPr>
    </w:p>
    <w:p>
      <w:pPr>
        <w:ind w:left="1960" w:right="100" w:hanging="533"/>
        <w:spacing w:after="0" w:line="263"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84"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92" w:name="page93"/>
    <w:bookmarkEnd w:id="92"/>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8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93" w:name="page94"/>
    <w:bookmarkEnd w:id="93"/>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9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6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 OF THE ISSUER</w:t>
      </w:r>
    </w:p>
    <w:p>
      <w:pPr>
        <w:spacing w:after="0" w:line="21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ectPr>
          <w:pgSz w:w="11900" w:h="16838" w:orient="portrait"/>
          <w:cols w:equalWidth="0" w:num="1">
            <w:col w:w="10960"/>
          </w:cols>
          <w:pgMar w:left="440" w:top="274" w:right="499" w:bottom="1440" w:gutter="0" w:footer="0" w:header="0"/>
        </w:sectPr>
      </w:pPr>
    </w:p>
    <w:p>
      <w:pPr>
        <w:spacing w:after="0" w:line="178" w:lineRule="exact"/>
        <w:rPr>
          <w:sz w:val="20"/>
          <w:szCs w:val="20"/>
          <w:color w:val="auto"/>
        </w:rPr>
      </w:pPr>
    </w:p>
    <w:p>
      <w:pPr>
        <w:ind w:right="1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The Issuer will maintain (i) in may be presented for payment, an agency where the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 an agency where the Securities of each series</w:t>
      </w:r>
    </w:p>
    <w:p>
      <w:pPr>
        <w:spacing w:after="0" w:line="408" w:lineRule="exact"/>
        <w:rPr>
          <w:sz w:val="20"/>
          <w:szCs w:val="20"/>
          <w:color w:val="auto"/>
        </w:rPr>
      </w:pPr>
    </w:p>
    <w:p>
      <w:pPr>
        <w:sectPr>
          <w:pgSz w:w="11900" w:h="16838" w:orient="portrait"/>
          <w:cols w:equalWidth="0" w:num="2">
            <w:col w:w="6620" w:space="720"/>
            <w:col w:w="362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60"/>
          </w:cols>
          <w:pgMar w:left="440" w:top="274" w:right="499" w:bottom="1440" w:gutter="0" w:footer="0" w:header="0"/>
          <w:type w:val="continuous"/>
        </w:sectPr>
      </w:pPr>
    </w:p>
    <w:bookmarkStart w:id="94" w:name="page95"/>
    <w:bookmarkEnd w:id="94"/>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ectPr>
          <w:pgSz w:w="11900" w:h="16838" w:orient="portrait"/>
          <w:cols w:equalWidth="0" w:num="1">
            <w:col w:w="10980"/>
          </w:cols>
          <w:pgMar w:left="440" w:top="274" w:right="479" w:bottom="1440" w:gutter="0" w:footer="0" w:header="0"/>
        </w:sectPr>
      </w:pP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Issuer will maintain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any series or this Indenture may be served.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an agency where notices and demands to or upon the Issuer in respect of the Securities of</w:t>
      </w:r>
    </w:p>
    <w:p>
      <w:pPr>
        <w:spacing w:after="0" w:line="430" w:lineRule="exact"/>
        <w:rPr>
          <w:sz w:val="20"/>
          <w:szCs w:val="20"/>
          <w:color w:val="auto"/>
        </w:rPr>
      </w:pPr>
    </w:p>
    <w:p>
      <w:pPr>
        <w:sectPr>
          <w:pgSz w:w="11900" w:h="16838" w:orient="portrait"/>
          <w:cols w:equalWidth="0" w:num="2">
            <w:col w:w="3540" w:space="720"/>
            <w:col w:w="6720"/>
          </w:cols>
          <w:pgMar w:left="440" w:top="274" w:right="479" w:bottom="1440" w:gutter="0" w:footer="0" w:header="0"/>
          <w:type w:val="continuous"/>
        </w:sectPr>
      </w:pP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fail to maintain any agency required by this Section to be located in , or shall fail to give such notice of the location or of any change in the location of any of the above agencies, presentations and demands may be made and notices may be served at the Corporate Trust Office of the Trustee.</w:t>
      </w:r>
    </w:p>
    <w:p>
      <w:pPr>
        <w:spacing w:after="0" w:line="19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89" w:lineRule="exact"/>
        <w:rPr>
          <w:sz w:val="20"/>
          <w:szCs w:val="20"/>
          <w:color w:val="auto"/>
        </w:rPr>
      </w:pPr>
    </w:p>
    <w:p>
      <w:pPr>
        <w:ind w:left="1420" w:right="80" w:hanging="43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89" w:lineRule="exact"/>
        <w:rPr>
          <w:rFonts w:ascii="Arial" w:cs="Arial" w:eastAsia="Arial" w:hAnsi="Arial"/>
          <w:sz w:val="18"/>
          <w:szCs w:val="18"/>
          <w:color w:val="auto"/>
        </w:rPr>
      </w:pPr>
    </w:p>
    <w:p>
      <w:pPr>
        <w:ind w:left="1420" w:right="140" w:hanging="439"/>
        <w:spacing w:after="0" w:line="342" w:lineRule="auto"/>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29" w:lineRule="exact"/>
        <w:rPr>
          <w:rFonts w:ascii="Arial" w:cs="Arial" w:eastAsia="Arial" w:hAnsi="Arial"/>
          <w:sz w:val="16"/>
          <w:szCs w:val="16"/>
          <w:color w:val="auto"/>
        </w:rPr>
      </w:pPr>
    </w:p>
    <w:p>
      <w:pPr>
        <w:ind w:left="1420" w:right="520" w:hanging="43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type w:val="continuous"/>
        </w:sectPr>
      </w:pPr>
    </w:p>
    <w:bookmarkStart w:id="95" w:name="page96"/>
    <w:bookmarkEnd w:id="95"/>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Written Statement to Trustee.</w:t>
      </w:r>
      <w:r>
        <w:rPr>
          <w:rFonts w:ascii="Arial" w:cs="Arial" w:eastAsia="Arial" w:hAnsi="Arial"/>
          <w:sz w:val="17"/>
          <w:szCs w:val="17"/>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89" w:lineRule="exact"/>
        <w:rPr>
          <w:sz w:val="20"/>
          <w:szCs w:val="20"/>
          <w:color w:val="auto"/>
        </w:rPr>
      </w:pPr>
    </w:p>
    <w:p>
      <w:pPr>
        <w:ind w:left="1420" w:right="180" w:hanging="439"/>
        <w:spacing w:after="0" w:line="263"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89" w:lineRule="exact"/>
        <w:rPr>
          <w:rFonts w:ascii="Arial" w:cs="Arial" w:eastAsia="Arial" w:hAnsi="Arial"/>
          <w:sz w:val="18"/>
          <w:szCs w:val="18"/>
          <w:color w:val="auto"/>
        </w:rPr>
      </w:pPr>
    </w:p>
    <w:p>
      <w:pPr>
        <w:ind w:left="1420" w:right="160" w:hanging="439"/>
        <w:spacing w:after="0" w:line="286" w:lineRule="auto"/>
        <w:tabs>
          <w:tab w:leader="none" w:pos="1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so long as the Trustee shall be the Security registrar (the </w:t>
      </w:r>
      <w:r>
        <w:rPr>
          <w:rFonts w:ascii="Arial" w:cs="Arial" w:eastAsia="Arial" w:hAnsi="Arial"/>
          <w:sz w:val="17"/>
          <w:szCs w:val="17"/>
          <w:b w:val="1"/>
          <w:bCs w:val="1"/>
          <w:color w:val="auto"/>
        </w:rPr>
        <w:t>“Security Registrar”</w:t>
      </w:r>
      <w:r>
        <w:rPr>
          <w:rFonts w:ascii="Arial" w:cs="Arial" w:eastAsia="Arial" w:hAnsi="Arial"/>
          <w:sz w:val="17"/>
          <w:szCs w:val="17"/>
          <w:color w:val="auto"/>
        </w:rPr>
        <w:t>) for such series, such list shall not be required to be furnished.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96" w:name="page97"/>
    <w:bookmarkEnd w:id="96"/>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Reports by the Trustee.</w:t>
      </w:r>
      <w:r>
        <w:rPr>
          <w:rFonts w:ascii="Arial" w:cs="Arial" w:eastAsia="Arial" w:hAnsi="Arial"/>
          <w:sz w:val="16"/>
          <w:szCs w:val="16"/>
          <w:color w:val="auto"/>
        </w:rPr>
        <w:t xml:space="preserve"> Any Trustee’s report required under Section 313(a) of the Trust Indenture Act of 1939 shall be transmitted on</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or before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19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Preservation of Information; Communication with Securityholders.</w:t>
      </w:r>
      <w:r>
        <w:rPr>
          <w:rFonts w:ascii="Arial" w:cs="Arial" w:eastAsia="Arial" w:hAnsi="Arial"/>
          <w:sz w:val="18"/>
          <w:szCs w:val="18"/>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92" w:lineRule="exact"/>
        <w:rPr>
          <w:sz w:val="20"/>
          <w:szCs w:val="20"/>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30" w:lineRule="exact"/>
        <w:rPr>
          <w:rFonts w:ascii="Arial" w:cs="Arial" w:eastAsia="Arial" w:hAnsi="Arial"/>
          <w:sz w:val="18"/>
          <w:szCs w:val="18"/>
          <w:color w:val="auto"/>
        </w:rPr>
      </w:pPr>
    </w:p>
    <w:p>
      <w:pPr>
        <w:ind w:left="1420" w:right="80" w:hanging="439"/>
        <w:spacing w:after="0" w:line="263"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89" w:lineRule="exact"/>
        <w:rPr>
          <w:sz w:val="20"/>
          <w:szCs w:val="20"/>
          <w:color w:val="auto"/>
        </w:rPr>
      </w:pPr>
    </w:p>
    <w:p>
      <w:pPr>
        <w:jc w:val="both"/>
        <w:ind w:left="1420" w:hanging="43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89"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97" w:name="page98"/>
    <w:bookmarkEnd w:id="97"/>
    <w:p>
      <w:pPr>
        <w:ind w:left="142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either at maturity, upon redemption, by declaration or otherwise (and, if established for the Securities of such series as contemplated by Section 2.03, the continuance of such default for a specified period); or</w:t>
      </w:r>
    </w:p>
    <w:p>
      <w:pPr>
        <w:spacing w:after="0" w:line="76" w:lineRule="exact"/>
        <w:rPr>
          <w:sz w:val="20"/>
          <w:szCs w:val="20"/>
          <w:color w:val="auto"/>
        </w:rPr>
      </w:pPr>
    </w:p>
    <w:p>
      <w:pPr>
        <w:ind w:left="1420" w:hanging="439"/>
        <w:spacing w:after="0" w:line="273" w:lineRule="auto"/>
        <w:tabs>
          <w:tab w:leader="none" w:pos="1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or</w:t>
      </w:r>
    </w:p>
    <w:p>
      <w:pPr>
        <w:spacing w:after="0" w:line="83" w:lineRule="exact"/>
        <w:rPr>
          <w:rFonts w:ascii="Arial" w:cs="Arial" w:eastAsia="Arial" w:hAnsi="Arial"/>
          <w:sz w:val="17"/>
          <w:szCs w:val="17"/>
          <w:color w:val="auto"/>
        </w:rPr>
      </w:pPr>
    </w:p>
    <w:p>
      <w:pPr>
        <w:ind w:left="1420" w:right="20" w:hanging="439"/>
        <w:spacing w:after="0" w:line="25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93" w:lineRule="exact"/>
        <w:rPr>
          <w:rFonts w:ascii="Arial" w:cs="Arial" w:eastAsia="Arial" w:hAnsi="Arial"/>
          <w:sz w:val="18"/>
          <w:szCs w:val="18"/>
          <w:color w:val="auto"/>
        </w:rPr>
      </w:pPr>
    </w:p>
    <w:p>
      <w:pPr>
        <w:jc w:val="both"/>
        <w:ind w:left="1420" w:right="240" w:hanging="439"/>
        <w:spacing w:after="0" w:line="301"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98" w:name="page99"/>
    <w:bookmarkEnd w:id="98"/>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Collection of Debt by Trustee; Trustee May Prove Debt.</w:t>
      </w:r>
      <w:r>
        <w:rPr>
          <w:rFonts w:ascii="Arial" w:cs="Arial" w:eastAsia="Arial" w:hAnsi="Arial"/>
          <w:sz w:val="17"/>
          <w:szCs w:val="17"/>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99" w:name="page100"/>
    <w:bookmarkEnd w:id="9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87" w:lineRule="exact"/>
        <w:rPr>
          <w:sz w:val="20"/>
          <w:szCs w:val="20"/>
          <w:color w:val="auto"/>
        </w:rPr>
      </w:pPr>
    </w:p>
    <w:p>
      <w:pPr>
        <w:jc w:val="both"/>
        <w:ind w:right="80" w:firstLine="440"/>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83" w:lineRule="exact"/>
        <w:rPr>
          <w:sz w:val="20"/>
          <w:szCs w:val="20"/>
          <w:color w:val="auto"/>
        </w:rPr>
      </w:pPr>
    </w:p>
    <w:p>
      <w:pPr>
        <w:ind w:left="1960" w:hanging="533"/>
        <w:spacing w:after="0" w:line="271" w:lineRule="auto"/>
        <w:tabs>
          <w:tab w:leader="none" w:pos="1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83" w:lineRule="exact"/>
        <w:rPr>
          <w:rFonts w:ascii="Arial" w:cs="Arial" w:eastAsia="Arial" w:hAnsi="Arial"/>
          <w:sz w:val="17"/>
          <w:szCs w:val="17"/>
          <w:color w:val="auto"/>
        </w:rPr>
      </w:pPr>
    </w:p>
    <w:p>
      <w:pPr>
        <w:ind w:left="1960" w:right="320" w:hanging="533"/>
        <w:spacing w:after="0" w:line="263" w:lineRule="auto"/>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00" w:name="page101"/>
    <w:bookmarkEnd w:id="100"/>
    <w:p>
      <w:pPr>
        <w:ind w:left="1960" w:right="40" w:hanging="533"/>
        <w:spacing w:after="0" w:line="271" w:lineRule="auto"/>
        <w:tabs>
          <w:tab w:leader="none" w:pos="1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78"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1" w:name="page102"/>
    <w:bookmarkEnd w:id="101"/>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To the payment of all amounts due to the Trustee or any predecessor trustee pursuant to Section 6.06;</w:t>
      </w:r>
    </w:p>
    <w:p>
      <w:pPr>
        <w:spacing w:after="0" w:line="117" w:lineRule="exact"/>
        <w:rPr>
          <w:sz w:val="20"/>
          <w:szCs w:val="20"/>
          <w:color w:val="auto"/>
        </w:rPr>
      </w:pPr>
    </w:p>
    <w:p>
      <w:pPr>
        <w:ind w:left="440" w:right="180" w:firstLine="423"/>
        <w:spacing w:after="0" w:line="296" w:lineRule="auto"/>
        <w:rPr>
          <w:sz w:val="20"/>
          <w:szCs w:val="20"/>
          <w:color w:val="auto"/>
        </w:rPr>
      </w:pPr>
      <w:r>
        <w:rPr>
          <w:rFonts w:ascii="Arial" w:cs="Arial" w:eastAsia="Arial" w:hAnsi="Arial"/>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53" w:lineRule="exact"/>
        <w:rPr>
          <w:sz w:val="20"/>
          <w:szCs w:val="20"/>
          <w:color w:val="auto"/>
        </w:rPr>
      </w:pPr>
    </w:p>
    <w:p>
      <w:pPr>
        <w:ind w:left="440" w:firstLine="423"/>
        <w:spacing w:after="0" w:line="290"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02" w:name="page103"/>
    <w:bookmarkEnd w:id="102"/>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7"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Unconditional Right of Securityholders to Institute Certain Suits</w:t>
      </w:r>
      <w:r>
        <w:rPr>
          <w:rFonts w:ascii="Arial" w:cs="Arial" w:eastAsia="Arial" w:hAnsi="Arial"/>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03" w:name="page104"/>
    <w:bookmarkEnd w:id="103"/>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jc w:val="both"/>
        <w:ind w:right="260" w:firstLine="440"/>
        <w:spacing w:after="0" w:line="301"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5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Control by Holders of Securities</w:t>
      </w:r>
      <w:r>
        <w:rPr>
          <w:rFonts w:ascii="Arial" w:cs="Arial" w:eastAsia="Arial" w:hAnsi="Arial"/>
          <w:sz w:val="17"/>
          <w:szCs w:val="17"/>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7"/>
          <w:szCs w:val="17"/>
          <w:i w:val="1"/>
          <w:iCs w:val="1"/>
          <w:color w:val="auto"/>
        </w:rPr>
        <w:t>provided</w:t>
      </w:r>
      <w:r>
        <w:rPr>
          <w:rFonts w:ascii="Arial" w:cs="Arial" w:eastAsia="Arial" w:hAnsi="Arial"/>
          <w:sz w:val="17"/>
          <w:szCs w:val="17"/>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8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04" w:name="page105"/>
    <w:bookmarkEnd w:id="10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arising therefrom shall be deemed to have been cured, and not to have occurred for every purpose of this Indenture; but no such waiver shall extend to any subsequent or other default or Event of Default or impair any right consequent thereon.</w:t>
      </w:r>
    </w:p>
    <w:p>
      <w:pPr>
        <w:spacing w:after="0" w:line="170"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Trustee to Give Notice of Default</w:t>
      </w:r>
      <w:r>
        <w:rPr>
          <w:rFonts w:ascii="Arial" w:cs="Arial" w:eastAsia="Arial" w:hAnsi="Arial"/>
          <w:sz w:val="17"/>
          <w:szCs w:val="17"/>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Arial" w:cs="Arial" w:eastAsia="Arial" w:hAnsi="Arial"/>
          <w:sz w:val="17"/>
          <w:szCs w:val="17"/>
          <w:b w:val="1"/>
          <w:bCs w:val="1"/>
          <w:color w:val="auto"/>
        </w:rPr>
        <w:t>defaults</w:t>
      </w:r>
      <w:r>
        <w:rPr>
          <w:rFonts w:ascii="Arial" w:cs="Arial" w:eastAsia="Arial" w:hAnsi="Arial"/>
          <w:sz w:val="17"/>
          <w:szCs w:val="17"/>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Right of Court to Require Filing of Undertaking to Pay Costs</w:t>
      </w:r>
      <w:r>
        <w:rPr>
          <w:rFonts w:ascii="Arial" w:cs="Arial" w:eastAsia="Arial" w:hAnsi="Arial"/>
          <w:sz w:val="17"/>
          <w:szCs w:val="17"/>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05" w:name="page106"/>
    <w:bookmarkEnd w:id="105"/>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Certain Rights of the Trustee.</w:t>
      </w:r>
      <w:r>
        <w:rPr>
          <w:rFonts w:ascii="Arial" w:cs="Arial" w:eastAsia="Arial" w:hAnsi="Arial"/>
          <w:sz w:val="17"/>
          <w:szCs w:val="17"/>
          <w:color w:val="auto"/>
        </w:rPr>
        <w:t xml:space="preserve"> In furtherance of and subject to the Trust Indenture Act of 1939 and subject to Section 6.01:</w:t>
      </w:r>
    </w:p>
    <w:p>
      <w:pPr>
        <w:spacing w:after="0" w:line="142" w:lineRule="exact"/>
        <w:rPr>
          <w:sz w:val="20"/>
          <w:szCs w:val="20"/>
          <w:color w:val="auto"/>
        </w:rPr>
      </w:pPr>
    </w:p>
    <w:p>
      <w:pPr>
        <w:ind w:left="1420" w:right="60" w:hanging="439"/>
        <w:spacing w:after="0" w:line="275" w:lineRule="auto"/>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81" w:lineRule="exact"/>
        <w:rPr>
          <w:rFonts w:ascii="Arial" w:cs="Arial" w:eastAsia="Arial" w:hAnsi="Arial"/>
          <w:sz w:val="17"/>
          <w:szCs w:val="17"/>
          <w:color w:val="auto"/>
        </w:rPr>
      </w:pPr>
    </w:p>
    <w:p>
      <w:pPr>
        <w:ind w:left="1420" w:right="100" w:hanging="43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75" w:lineRule="exact"/>
        <w:rPr>
          <w:rFonts w:ascii="Arial" w:cs="Arial" w:eastAsia="Arial" w:hAnsi="Arial"/>
          <w:sz w:val="18"/>
          <w:szCs w:val="18"/>
          <w:color w:val="auto"/>
        </w:rPr>
      </w:pPr>
    </w:p>
    <w:p>
      <w:pPr>
        <w:jc w:val="both"/>
        <w:ind w:left="1420" w:right="460" w:hanging="439"/>
        <w:spacing w:after="0" w:line="311" w:lineRule="auto"/>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54" w:lineRule="exact"/>
        <w:rPr>
          <w:rFonts w:ascii="Arial" w:cs="Arial" w:eastAsia="Arial" w:hAnsi="Arial"/>
          <w:sz w:val="16"/>
          <w:szCs w:val="16"/>
          <w:color w:val="auto"/>
        </w:rPr>
      </w:pPr>
    </w:p>
    <w:p>
      <w:pPr>
        <w:ind w:left="1420" w:right="280" w:hanging="439"/>
        <w:spacing w:after="0" w:line="259"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92" w:lineRule="exact"/>
        <w:rPr>
          <w:rFonts w:ascii="Arial" w:cs="Arial" w:eastAsia="Arial" w:hAnsi="Arial"/>
          <w:sz w:val="18"/>
          <w:szCs w:val="18"/>
          <w:color w:val="auto"/>
        </w:rPr>
      </w:pPr>
    </w:p>
    <w:p>
      <w:pPr>
        <w:ind w:left="1420" w:hanging="439"/>
        <w:spacing w:after="0" w:line="286" w:lineRule="auto"/>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70" w:lineRule="exact"/>
        <w:rPr>
          <w:rFonts w:ascii="Arial" w:cs="Arial" w:eastAsia="Arial" w:hAnsi="Arial"/>
          <w:sz w:val="17"/>
          <w:szCs w:val="17"/>
          <w:color w:val="auto"/>
        </w:rPr>
      </w:pPr>
    </w:p>
    <w:p>
      <w:pPr>
        <w:jc w:val="both"/>
        <w:ind w:left="1420" w:right="300" w:hanging="439"/>
        <w:spacing w:after="0" w:line="311" w:lineRule="auto"/>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106" w:name="page107"/>
    <w:bookmarkEnd w:id="106"/>
    <w:p>
      <w:pPr>
        <w:ind w:left="1420" w:right="80" w:hanging="439"/>
        <w:spacing w:after="0" w:line="263"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89" w:lineRule="exact"/>
        <w:rPr>
          <w:rFonts w:ascii="Arial" w:cs="Arial" w:eastAsia="Arial" w:hAnsi="Arial"/>
          <w:sz w:val="18"/>
          <w:szCs w:val="18"/>
          <w:color w:val="auto"/>
        </w:rPr>
      </w:pPr>
    </w:p>
    <w:p>
      <w:pPr>
        <w:ind w:left="1420" w:hanging="439"/>
        <w:spacing w:after="0" w:line="311" w:lineRule="auto"/>
        <w:tabs>
          <w:tab w:leader="none" w:pos="1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54" w:lineRule="exact"/>
        <w:rPr>
          <w:rFonts w:ascii="Arial" w:cs="Arial" w:eastAsia="Arial" w:hAnsi="Arial"/>
          <w:sz w:val="16"/>
          <w:szCs w:val="16"/>
          <w:color w:val="auto"/>
        </w:rPr>
      </w:pPr>
    </w:p>
    <w:p>
      <w:pPr>
        <w:ind w:left="1420" w:right="300" w:hanging="43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75" w:lineRule="exact"/>
        <w:rPr>
          <w:rFonts w:ascii="Arial" w:cs="Arial" w:eastAsia="Arial" w:hAnsi="Arial"/>
          <w:sz w:val="18"/>
          <w:szCs w:val="18"/>
          <w:color w:val="auto"/>
        </w:rPr>
      </w:pPr>
    </w:p>
    <w:p>
      <w:pPr>
        <w:ind w:left="1420" w:right="80" w:hanging="439"/>
        <w:spacing w:after="0" w:line="289" w:lineRule="auto"/>
        <w:tabs>
          <w:tab w:leader="none" w:pos="1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71"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107" w:name="page108"/>
    <w:bookmarkEnd w:id="107"/>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Compensation and Indemnification of Trustee and Its Prior Claim.</w:t>
      </w:r>
      <w:r>
        <w:rPr>
          <w:rFonts w:ascii="Arial" w:cs="Arial" w:eastAsia="Arial" w:hAnsi="Arial"/>
          <w:sz w:val="16"/>
          <w:szCs w:val="16"/>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7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08" w:name="page109"/>
    <w:bookmarkEnd w:id="108"/>
    <w:p>
      <w:pPr>
        <w:ind w:right="4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84"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61"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74" w:lineRule="exact"/>
        <w:rPr>
          <w:sz w:val="20"/>
          <w:szCs w:val="20"/>
          <w:color w:val="auto"/>
        </w:rPr>
      </w:pPr>
    </w:p>
    <w:p>
      <w:pPr>
        <w:ind w:left="1420" w:hanging="43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30" w:lineRule="exact"/>
        <w:rPr>
          <w:rFonts w:ascii="Arial" w:cs="Arial" w:eastAsia="Arial" w:hAnsi="Arial"/>
          <w:sz w:val="18"/>
          <w:szCs w:val="18"/>
          <w:color w:val="auto"/>
        </w:rPr>
      </w:pPr>
    </w:p>
    <w:p>
      <w:pPr>
        <w:ind w:left="1960" w:hanging="533"/>
        <w:spacing w:after="0" w:line="263"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89" w:lineRule="exact"/>
        <w:rPr>
          <w:rFonts w:ascii="Arial" w:cs="Arial" w:eastAsia="Arial" w:hAnsi="Arial"/>
          <w:sz w:val="18"/>
          <w:szCs w:val="18"/>
          <w:color w:val="auto"/>
        </w:rPr>
      </w:pPr>
    </w:p>
    <w:p>
      <w:pPr>
        <w:ind w:left="1960" w:right="120" w:hanging="533"/>
        <w:spacing w:after="0" w:line="277"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09" w:name="page110"/>
    <w:bookmarkEnd w:id="109"/>
    <w:p>
      <w:pPr>
        <w:ind w:left="1960" w:right="400" w:hanging="533"/>
        <w:spacing w:after="0" w:line="311" w:lineRule="auto"/>
        <w:tabs>
          <w:tab w:leader="none" w:pos="1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41"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00" w:lineRule="exact"/>
        <w:rPr>
          <w:sz w:val="20"/>
          <w:szCs w:val="20"/>
          <w:color w:val="auto"/>
        </w:rPr>
      </w:pPr>
    </w:p>
    <w:p>
      <w:pPr>
        <w:ind w:left="1420" w:hanging="439"/>
        <w:spacing w:after="0" w:line="279" w:lineRule="auto"/>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76" w:lineRule="exact"/>
        <w:rPr>
          <w:rFonts w:ascii="Arial" w:cs="Arial" w:eastAsia="Arial" w:hAnsi="Arial"/>
          <w:sz w:val="17"/>
          <w:szCs w:val="17"/>
          <w:color w:val="auto"/>
        </w:rPr>
      </w:pPr>
    </w:p>
    <w:p>
      <w:pPr>
        <w:jc w:val="both"/>
        <w:ind w:left="1420" w:right="60" w:hanging="439"/>
        <w:spacing w:after="0" w:line="263"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0" w:name="page111"/>
    <w:bookmarkEnd w:id="110"/>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7"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 of Trustee.</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such corporation shall be qualified under the provisions of Section 310(b) of the Trust Indenture Act of 1939 and eligible under the provisions of</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310(a) of the Trust Indenture Act of 1939, without the execution or filing of any paper or any further act on the part of any of the parties hereto, anything herein to the contrary notwithstanding.</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have; </w:t>
      </w:r>
      <w:r>
        <w:rPr>
          <w:rFonts w:ascii="Arial" w:cs="Arial" w:eastAsia="Arial" w:hAnsi="Arial"/>
          <w:sz w:val="18"/>
          <w:szCs w:val="18"/>
          <w:i w:val="1"/>
          <w:iCs w:val="1"/>
          <w:color w:val="auto"/>
        </w:rPr>
        <w:t>provided</w:t>
      </w:r>
      <w:r>
        <w:rPr>
          <w:rFonts w:ascii="Arial" w:cs="Arial" w:eastAsia="Arial" w:hAnsi="Arial"/>
          <w:sz w:val="18"/>
          <w:szCs w:val="18"/>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9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Proof of Execution of Instruments and of Holding of Securities.</w:t>
      </w:r>
      <w:r>
        <w:rPr>
          <w:rFonts w:ascii="Arial" w:cs="Arial" w:eastAsia="Arial" w:hAnsi="Arial"/>
          <w:sz w:val="17"/>
          <w:szCs w:val="17"/>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8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12" w:name="page113"/>
    <w:bookmarkEnd w:id="11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7.04 </w:t>
      </w:r>
      <w:r>
        <w:rPr>
          <w:rFonts w:ascii="Arial" w:cs="Arial" w:eastAsia="Arial" w:hAnsi="Arial"/>
          <w:sz w:val="17"/>
          <w:szCs w:val="17"/>
          <w:i w:val="1"/>
          <w:iCs w:val="1"/>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113" w:name="page114"/>
    <w:bookmarkEnd w:id="113"/>
    <w:p>
      <w:pPr>
        <w:ind w:left="439" w:right="420" w:hanging="439"/>
        <w:spacing w:after="0" w:line="277" w:lineRule="auto"/>
        <w:tabs>
          <w:tab w:leader="none" w:pos="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convey, transfer, assign, mortgage or pledge to the Trustee as security for the Securities of one or more series any property or assets;</w:t>
      </w:r>
    </w:p>
    <w:p>
      <w:pPr>
        <w:spacing w:after="0" w:line="75" w:lineRule="exact"/>
        <w:rPr>
          <w:rFonts w:ascii="Arial" w:cs="Arial" w:eastAsia="Arial" w:hAnsi="Arial"/>
          <w:sz w:val="18"/>
          <w:szCs w:val="18"/>
          <w:color w:val="auto"/>
        </w:rPr>
      </w:pPr>
    </w:p>
    <w:p>
      <w:pPr>
        <w:ind w:left="439" w:right="260" w:hanging="439"/>
        <w:spacing w:after="0" w:line="308" w:lineRule="auto"/>
        <w:tabs>
          <w:tab w:leader="none" w:pos="4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51" w:lineRule="exact"/>
        <w:rPr>
          <w:rFonts w:ascii="Arial" w:cs="Arial" w:eastAsia="Arial" w:hAnsi="Arial"/>
          <w:sz w:val="17"/>
          <w:szCs w:val="17"/>
          <w:color w:val="auto"/>
        </w:rPr>
      </w:pPr>
    </w:p>
    <w:p>
      <w:pPr>
        <w:ind w:left="439" w:right="140" w:hanging="439"/>
        <w:spacing w:after="0" w:line="277" w:lineRule="auto"/>
        <w:tabs>
          <w:tab w:leader="none" w:pos="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comply with the requirements of the Commission in order to effect or maintain the qualification of this Indenture under the Trust Indenture Act of 1939, as amended;</w:t>
      </w:r>
    </w:p>
    <w:p>
      <w:pPr>
        <w:spacing w:after="0" w:line="75" w:lineRule="exact"/>
        <w:rPr>
          <w:rFonts w:ascii="Arial" w:cs="Arial" w:eastAsia="Arial" w:hAnsi="Arial"/>
          <w:sz w:val="18"/>
          <w:szCs w:val="18"/>
          <w:color w:val="auto"/>
        </w:rPr>
      </w:pPr>
    </w:p>
    <w:p>
      <w:pPr>
        <w:ind w:left="439" w:hanging="439"/>
        <w:spacing w:after="0" w:line="253" w:lineRule="auto"/>
        <w:tabs>
          <w:tab w:leader="none" w:pos="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i w:val="1"/>
          <w:iCs w:val="1"/>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01" w:lineRule="exact"/>
        <w:rPr>
          <w:rFonts w:ascii="Arial" w:cs="Arial" w:eastAsia="Arial" w:hAnsi="Arial"/>
          <w:sz w:val="18"/>
          <w:szCs w:val="18"/>
          <w:color w:val="auto"/>
        </w:rPr>
      </w:pPr>
    </w:p>
    <w:p>
      <w:pPr>
        <w:ind w:left="439" w:right="200" w:hanging="439"/>
        <w:spacing w:after="0" w:line="342" w:lineRule="auto"/>
        <w:tabs>
          <w:tab w:leader="none" w:pos="43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29" w:lineRule="exact"/>
        <w:rPr>
          <w:rFonts w:ascii="Arial" w:cs="Arial" w:eastAsia="Arial" w:hAnsi="Arial"/>
          <w:sz w:val="16"/>
          <w:szCs w:val="16"/>
          <w:color w:val="auto"/>
        </w:rPr>
      </w:pPr>
    </w:p>
    <w:p>
      <w:pPr>
        <w:ind w:left="439" w:hanging="439"/>
        <w:spacing w:after="0"/>
        <w:tabs>
          <w:tab w:leader="none" w:pos="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30" w:lineRule="exact"/>
        <w:rPr>
          <w:rFonts w:ascii="Arial" w:cs="Arial" w:eastAsia="Arial" w:hAnsi="Arial"/>
          <w:sz w:val="18"/>
          <w:szCs w:val="18"/>
          <w:color w:val="auto"/>
        </w:rPr>
      </w:pPr>
    </w:p>
    <w:p>
      <w:pPr>
        <w:ind w:left="439" w:right="200" w:hanging="439"/>
        <w:spacing w:after="0" w:line="286" w:lineRule="auto"/>
        <w:tabs>
          <w:tab w:leader="none" w:pos="4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70" w:lineRule="exact"/>
        <w:rPr>
          <w:rFonts w:ascii="Arial" w:cs="Arial" w:eastAsia="Arial" w:hAnsi="Arial"/>
          <w:sz w:val="17"/>
          <w:szCs w:val="17"/>
          <w:color w:val="auto"/>
        </w:rPr>
      </w:pPr>
    </w:p>
    <w:p>
      <w:pPr>
        <w:ind w:left="439" w:right="60" w:hanging="439"/>
        <w:spacing w:after="0" w:line="277" w:lineRule="auto"/>
        <w:tabs>
          <w:tab w:leader="none" w:pos="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shall (A) not (i) apply to any Security of</w:t>
      </w:r>
    </w:p>
    <w:p>
      <w:pPr>
        <w:spacing w:after="0" w:line="10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39"/>
          </w:cols>
          <w:pgMar w:left="1421" w:top="274" w:right="439" w:bottom="1440" w:gutter="0" w:footer="0" w:header="0"/>
        </w:sectPr>
      </w:pPr>
    </w:p>
    <w:bookmarkStart w:id="114" w:name="page115"/>
    <w:bookmarkEnd w:id="114"/>
    <w:p>
      <w:pPr>
        <w:ind w:left="1420"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89" w:lineRule="exact"/>
        <w:rPr>
          <w:sz w:val="20"/>
          <w:szCs w:val="20"/>
          <w:color w:val="auto"/>
        </w:rPr>
      </w:pPr>
    </w:p>
    <w:p>
      <w:pPr>
        <w:ind w:left="1420" w:hanging="43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3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Supplemental Indentures With Consent of Securityholders.</w:t>
      </w:r>
      <w:r>
        <w:rPr>
          <w:rFonts w:ascii="Arial" w:cs="Arial" w:eastAsia="Arial" w:hAnsi="Arial"/>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15" w:name="page116"/>
    <w:bookmarkEnd w:id="115"/>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8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116" w:name="page117"/>
    <w:bookmarkEnd w:id="116"/>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8.05 </w:t>
      </w:r>
      <w:r>
        <w:rPr>
          <w:rFonts w:ascii="Arial" w:cs="Arial" w:eastAsia="Arial" w:hAnsi="Arial"/>
          <w:sz w:val="18"/>
          <w:szCs w:val="18"/>
          <w:i w:val="1"/>
          <w:iCs w:val="1"/>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CONSOLIDATION, MERGER, SALE OR CONVEYANCE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spacing w:after="0" w:line="1" w:lineRule="exact"/>
        <w:rPr>
          <w:sz w:val="20"/>
          <w:szCs w:val="20"/>
          <w:color w:val="auto"/>
        </w:rPr>
      </w:pPr>
    </w:p>
    <w:p>
      <w:pPr>
        <w:ind w:left="4" w:right="20" w:hanging="4"/>
        <w:spacing w:after="0" w:line="268" w:lineRule="auto"/>
        <w:tabs>
          <w:tab w:leader="none" w:pos="269"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79"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6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117" w:name="page118"/>
    <w:bookmarkEnd w:id="11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5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OF INDENTURE; DEFEASANCE; UNCLAIMED MONEYS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131" w:lineRule="exact"/>
        <w:rPr>
          <w:sz w:val="20"/>
          <w:szCs w:val="20"/>
          <w:color w:val="auto"/>
        </w:rPr>
      </w:pPr>
    </w:p>
    <w:p>
      <w:pPr>
        <w:ind w:left="1960" w:right="20" w:hanging="533"/>
        <w:spacing w:after="0" w:line="259"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92" w:lineRule="exact"/>
        <w:rPr>
          <w:rFonts w:ascii="Arial" w:cs="Arial" w:eastAsia="Arial" w:hAnsi="Arial"/>
          <w:sz w:val="18"/>
          <w:szCs w:val="18"/>
          <w:color w:val="auto"/>
        </w:rPr>
      </w:pPr>
    </w:p>
    <w:p>
      <w:pPr>
        <w:ind w:left="1960" w:right="60" w:hanging="533"/>
        <w:spacing w:after="0" w:line="263"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89" w:lineRule="exact"/>
        <w:rPr>
          <w:rFonts w:ascii="Arial" w:cs="Arial" w:eastAsia="Arial" w:hAnsi="Arial"/>
          <w:sz w:val="18"/>
          <w:szCs w:val="18"/>
          <w:color w:val="auto"/>
        </w:rPr>
      </w:pPr>
    </w:p>
    <w:p>
      <w:pPr>
        <w:jc w:val="both"/>
        <w:ind w:left="1960" w:right="180" w:hanging="533"/>
        <w:spacing w:after="0" w:line="263"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89" w:lineRule="exact"/>
        <w:rPr>
          <w:rFonts w:ascii="Arial" w:cs="Arial" w:eastAsia="Arial" w:hAnsi="Arial"/>
          <w:sz w:val="18"/>
          <w:szCs w:val="18"/>
          <w:color w:val="auto"/>
        </w:rPr>
      </w:pPr>
    </w:p>
    <w:p>
      <w:pPr>
        <w:ind w:left="2400" w:right="60" w:hanging="433"/>
        <w:spacing w:after="0" w:line="259" w:lineRule="auto"/>
        <w:tabs>
          <w:tab w:leader="none" w:pos="24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92" w:lineRule="exact"/>
        <w:rPr>
          <w:rFonts w:ascii="Arial" w:cs="Arial" w:eastAsia="Arial" w:hAnsi="Arial"/>
          <w:sz w:val="18"/>
          <w:szCs w:val="18"/>
          <w:color w:val="auto"/>
        </w:rPr>
      </w:pPr>
    </w:p>
    <w:p>
      <w:pPr>
        <w:ind w:left="5420" w:right="160" w:hanging="3453"/>
        <w:spacing w:after="0" w:line="449" w:lineRule="auto"/>
        <w:tabs>
          <w:tab w:leader="none" w:pos="2405"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Issuer shall have irrevocably deposited or caused to be deposited with the Trustee as trust funds the entire amount 40</w:t>
      </w:r>
    </w:p>
    <w:p>
      <w:pPr>
        <w:sectPr>
          <w:pgSz w:w="11900" w:h="16838" w:orient="portrait"/>
          <w:cols w:equalWidth="0" w:num="1">
            <w:col w:w="11000"/>
          </w:cols>
          <w:pgMar w:left="440" w:top="274" w:right="459" w:bottom="1440" w:gutter="0" w:footer="0" w:header="0"/>
        </w:sectPr>
      </w:pPr>
    </w:p>
    <w:bookmarkStart w:id="118" w:name="page119"/>
    <w:bookmarkEnd w:id="118"/>
    <w:p>
      <w:pPr>
        <w:ind w:left="2420" w:hanging="8"/>
        <w:spacing w:after="0" w:line="287" w:lineRule="auto"/>
        <w:tabs>
          <w:tab w:leader="none" w:pos="2635"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6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73" w:lineRule="exact"/>
        <w:rPr>
          <w:sz w:val="20"/>
          <w:szCs w:val="20"/>
          <w:color w:val="auto"/>
        </w:rPr>
      </w:pPr>
    </w:p>
    <w:p>
      <w:pPr>
        <w:ind w:left="1420" w:right="240" w:hanging="43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subsection shall apply to the Securities of each series unless specifically otherwise provided in a Board Resolution, Officer’s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19" w:name="page120"/>
    <w:bookmarkEnd w:id="119"/>
    <w:p>
      <w:pPr>
        <w:ind w:left="439"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6"/>
          <w:szCs w:val="16"/>
          <w:b w:val="1"/>
          <w:bCs w:val="1"/>
          <w:color w:val="auto"/>
        </w:rPr>
        <w:t>Legal Defeasance</w:t>
      </w:r>
      <w:r>
        <w:rPr>
          <w:rFonts w:ascii="Arial" w:cs="Arial" w:eastAsia="Arial" w:hAnsi="Arial"/>
          <w:sz w:val="16"/>
          <w:szCs w:val="16"/>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79" w:lineRule="exact"/>
        <w:rPr>
          <w:sz w:val="20"/>
          <w:szCs w:val="20"/>
          <w:color w:val="auto"/>
        </w:rPr>
      </w:pPr>
    </w:p>
    <w:p>
      <w:pPr>
        <w:ind w:left="439" w:right="160" w:hanging="439"/>
        <w:spacing w:after="0" w:line="284" w:lineRule="auto"/>
        <w:tabs>
          <w:tab w:leader="none" w:pos="43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w:t>
      </w:r>
    </w:p>
    <w:p>
      <w:pPr>
        <w:spacing w:after="0" w:line="2" w:lineRule="exact"/>
        <w:rPr>
          <w:rFonts w:ascii="Arial" w:cs="Arial" w:eastAsia="Arial" w:hAnsi="Arial"/>
          <w:sz w:val="16"/>
          <w:szCs w:val="16"/>
          <w:color w:val="auto"/>
        </w:rPr>
      </w:pPr>
    </w:p>
    <w:p>
      <w:pPr>
        <w:ind w:left="439"/>
        <w:spacing w:after="0" w:line="252" w:lineRule="auto"/>
        <w:rPr>
          <w:rFonts w:ascii="Arial" w:cs="Arial" w:eastAsia="Arial" w:hAnsi="Arial"/>
          <w:sz w:val="16"/>
          <w:szCs w:val="16"/>
          <w:color w:val="auto"/>
        </w:rPr>
      </w:pPr>
      <w:r>
        <w:rPr>
          <w:rFonts w:ascii="Arial" w:cs="Arial" w:eastAsia="Arial" w:hAnsi="Arial"/>
          <w:sz w:val="18"/>
          <w:szCs w:val="18"/>
          <w:color w:val="auto"/>
        </w:rPr>
        <w:t>(i)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w:t>
      </w:r>
    </w:p>
    <w:p>
      <w:pPr>
        <w:spacing w:after="0" w:line="12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19"/>
          </w:cols>
          <w:pgMar w:left="1421" w:top="274" w:right="459" w:bottom="1440" w:gutter="0" w:footer="0" w:header="0"/>
        </w:sectPr>
      </w:pPr>
    </w:p>
    <w:bookmarkStart w:id="120" w:name="page121"/>
    <w:bookmarkEnd w:id="120"/>
    <w:p>
      <w:pPr>
        <w:ind w:left="439"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63" w:lineRule="exact"/>
        <w:rPr>
          <w:sz w:val="20"/>
          <w:szCs w:val="20"/>
          <w:color w:val="auto"/>
        </w:rPr>
      </w:pPr>
    </w:p>
    <w:p>
      <w:pPr>
        <w:ind w:left="439" w:right="180" w:hanging="439"/>
        <w:spacing w:after="0" w:line="277" w:lineRule="auto"/>
        <w:tabs>
          <w:tab w:leader="none" w:pos="4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75" w:lineRule="exact"/>
        <w:rPr>
          <w:rFonts w:ascii="Arial" w:cs="Arial" w:eastAsia="Arial" w:hAnsi="Arial"/>
          <w:sz w:val="18"/>
          <w:szCs w:val="18"/>
          <w:color w:val="auto"/>
        </w:rPr>
      </w:pPr>
    </w:p>
    <w:p>
      <w:pPr>
        <w:ind w:left="979" w:hanging="533"/>
        <w:spacing w:after="0" w:line="268" w:lineRule="auto"/>
        <w:tabs>
          <w:tab w:leader="none" w:pos="979"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89" w:lineRule="exact"/>
        <w:rPr>
          <w:rFonts w:ascii="Arial" w:cs="Arial" w:eastAsia="Arial" w:hAnsi="Arial"/>
          <w:sz w:val="17"/>
          <w:szCs w:val="17"/>
          <w:color w:val="auto"/>
        </w:rPr>
      </w:pPr>
    </w:p>
    <w:p>
      <w:pPr>
        <w:ind w:left="979" w:right="140" w:hanging="533"/>
        <w:spacing w:after="0" w:line="263" w:lineRule="auto"/>
        <w:tabs>
          <w:tab w:leader="none" w:pos="979"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89" w:lineRule="exact"/>
        <w:rPr>
          <w:rFonts w:ascii="Arial" w:cs="Arial" w:eastAsia="Arial" w:hAnsi="Arial"/>
          <w:sz w:val="18"/>
          <w:szCs w:val="18"/>
          <w:color w:val="auto"/>
        </w:rPr>
      </w:pPr>
    </w:p>
    <w:p>
      <w:pPr>
        <w:ind w:left="979" w:right="140" w:hanging="533"/>
        <w:spacing w:after="0" w:line="277" w:lineRule="auto"/>
        <w:tabs>
          <w:tab w:leader="none" w:pos="979"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Event of Default under subsection (a), (b), (d) or (e) of Section 5.01 shall have occurred and be continuing, and no event which</w:t>
      </w:r>
    </w:p>
    <w:p>
      <w:pPr>
        <w:spacing w:after="0" w:line="10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19"/>
          </w:cols>
          <w:pgMar w:left="1421" w:top="274" w:right="459" w:bottom="1440" w:gutter="0" w:footer="0" w:header="0"/>
        </w:sectPr>
      </w:pPr>
    </w:p>
    <w:bookmarkStart w:id="121" w:name="page122"/>
    <w:bookmarkEnd w:id="121"/>
    <w:p>
      <w:pPr>
        <w:ind w:left="196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notice or lapse of time or both would become such an Event of Default shall have occurred and be continuing, on the date of such deposit;</w:t>
      </w:r>
    </w:p>
    <w:p>
      <w:pPr>
        <w:spacing w:after="0" w:line="76" w:lineRule="exact"/>
        <w:rPr>
          <w:sz w:val="20"/>
          <w:szCs w:val="20"/>
          <w:color w:val="auto"/>
        </w:rPr>
      </w:pPr>
    </w:p>
    <w:p>
      <w:pPr>
        <w:ind w:left="1960" w:hanging="533"/>
        <w:spacing w:after="0" w:line="291" w:lineRule="auto"/>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71" w:lineRule="exact"/>
        <w:rPr>
          <w:rFonts w:ascii="Arial" w:cs="Arial" w:eastAsia="Arial" w:hAnsi="Arial"/>
          <w:sz w:val="16"/>
          <w:szCs w:val="16"/>
          <w:color w:val="auto"/>
        </w:rPr>
      </w:pPr>
    </w:p>
    <w:p>
      <w:pPr>
        <w:ind w:left="1960" w:hanging="533"/>
        <w:spacing w:after="0" w:line="257" w:lineRule="auto"/>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93" w:lineRule="exact"/>
        <w:rPr>
          <w:rFonts w:ascii="Arial" w:cs="Arial" w:eastAsia="Arial" w:hAnsi="Arial"/>
          <w:sz w:val="18"/>
          <w:szCs w:val="18"/>
          <w:color w:val="auto"/>
        </w:rPr>
      </w:pPr>
    </w:p>
    <w:p>
      <w:pPr>
        <w:ind w:left="1960" w:right="560" w:hanging="533"/>
        <w:spacing w:after="0" w:line="342" w:lineRule="auto"/>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4"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122" w:name="page123"/>
    <w:bookmarkEnd w:id="122"/>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9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Indemnity for U.S. Government Obligations and Foreign Government Obligations.</w:t>
      </w:r>
      <w:r>
        <w:rPr>
          <w:rFonts w:ascii="Arial" w:cs="Arial" w:eastAsia="Arial" w:hAnsi="Arial"/>
          <w:sz w:val="18"/>
          <w:szCs w:val="18"/>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123" w:name="page124"/>
    <w:bookmarkEnd w:id="123"/>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Arial" w:cs="Arial" w:eastAsia="Arial" w:hAnsi="Arial"/>
          <w:sz w:val="16"/>
          <w:szCs w:val="16"/>
          <w:i w:val="1"/>
          <w:iCs w:val="1"/>
          <w:color w:val="auto"/>
        </w:rPr>
        <w:t>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70"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Notices and Demands on Issuer, Trustee and Holders of Securities.</w:t>
      </w:r>
      <w:r>
        <w:rPr>
          <w:rFonts w:ascii="Arial" w:cs="Arial" w:eastAsia="Arial" w:hAnsi="Arial"/>
          <w:sz w:val="16"/>
          <w:szCs w:val="16"/>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Fulcrum Therapeutics, Inc., 26 Landsdowne Street, Cambridge, MA 02139, Attn: Chief Operating Officer. Any notice, direction, request or demand by the Issuer or any Holder of Securities to or upon the Trustee shall be deemed to have been sufficiently given or made,</w:t>
      </w:r>
    </w:p>
    <w:p>
      <w:pPr>
        <w:spacing w:after="0" w:line="2" w:lineRule="exact"/>
        <w:rPr>
          <w:sz w:val="20"/>
          <w:szCs w:val="20"/>
          <w:color w:val="auto"/>
        </w:rPr>
      </w:pPr>
    </w:p>
    <w:p>
      <w:pPr>
        <w:spacing w:after="0"/>
        <w:tabs>
          <w:tab w:leader="none" w:pos="3480" w:val="left"/>
          <w:tab w:leader="none" w:pos="4480" w:val="left"/>
          <w:tab w:leader="none" w:pos="5880" w:val="left"/>
        </w:tabs>
        <w:rPr>
          <w:sz w:val="20"/>
          <w:szCs w:val="20"/>
          <w:color w:val="auto"/>
        </w:rPr>
      </w:pPr>
      <w:r>
        <w:rPr>
          <w:rFonts w:ascii="Arial" w:cs="Arial" w:eastAsia="Arial" w:hAnsi="Arial"/>
          <w:sz w:val="18"/>
          <w:szCs w:val="18"/>
          <w:color w:val="auto"/>
        </w:rPr>
        <w:t>for all purposes, if given or made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Attn: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76"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124" w:name="page125"/>
    <w:bookmarkEnd w:id="124"/>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125" w:name="page126"/>
    <w:bookmarkEnd w:id="125"/>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certificate or opinion of any independent firm of public accountants filed with and directed to the Trustee shall contain a statement that such firm is independent.</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 SINKING FUNDS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26" w:name="page127"/>
    <w:bookmarkEnd w:id="126"/>
    <w:p>
      <w:pPr>
        <w:ind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12.02 </w:t>
      </w:r>
      <w:r>
        <w:rPr>
          <w:rFonts w:ascii="Arial" w:cs="Arial" w:eastAsia="Arial" w:hAnsi="Arial"/>
          <w:sz w:val="16"/>
          <w:szCs w:val="16"/>
          <w:i w:val="1"/>
          <w:iCs w:val="1"/>
          <w:color w:val="auto"/>
        </w:rPr>
        <w:t>Notice of Redemption; Partial Redemptions. Notice of redemption to the Holders of Securities of any series to be redeemed as a</w:t>
      </w:r>
      <w:r>
        <w:rPr>
          <w:rFonts w:ascii="Arial" w:cs="Arial" w:eastAsia="Arial" w:hAnsi="Arial"/>
          <w:sz w:val="16"/>
          <w:szCs w:val="16"/>
          <w:color w:val="auto"/>
        </w:rPr>
        <w:t xml:space="preserve"> </w:t>
      </w:r>
      <w:r>
        <w:rPr>
          <w:rFonts w:ascii="Arial" w:cs="Arial" w:eastAsia="Arial" w:hAnsi="Arial"/>
          <w:sz w:val="16"/>
          <w:szCs w:val="16"/>
          <w:i w:val="1"/>
          <w:iCs w:val="1"/>
          <w:color w:val="auto"/>
        </w:rPr>
        <w:t>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85"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6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27" w:name="page128"/>
    <w:bookmarkEnd w:id="127"/>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7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28" w:name="page129"/>
    <w:bookmarkEnd w:id="128"/>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right="260" w:firstLine="440"/>
        <w:spacing w:after="0" w:line="290"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29" w:name="page130"/>
    <w:bookmarkEnd w:id="129"/>
    <w:p>
      <w:pPr>
        <w:jc w:val="both"/>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6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Trustee shall not redeem or cause to be redeemed any Securities of a series with sinking fund moneys or give any notice of redemption of Securities for such series by operation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30" w:name="page131"/>
    <w:bookmarkEnd w:id="130"/>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131" w:name="page132"/>
    <w:bookmarkEnd w:id="131"/>
    <w:p>
      <w:pPr>
        <w:spacing w:after="0"/>
        <w:tabs>
          <w:tab w:leader="none" w:pos="7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FULCRUM THERAPEUTICS,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4"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Trustee</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133" w:name="page134"/>
    <w:bookmarkEnd w:id="133"/>
    <w:tbl>
      <w:tblPr>
        <w:tblLayout w:type="fixed"/>
        <w:tblInd w:w="4" w:type="dxa"/>
        <w:tblCellMar>
          <w:top w:w="0" w:type="dxa"/>
          <w:left w:w="0" w:type="dxa"/>
          <w:bottom w:w="0" w:type="dxa"/>
          <w:right w:w="0" w:type="dxa"/>
        </w:tblCellMar>
      </w:tblPr>
      <w:tr>
        <w:trPr>
          <w:trHeight w:val="253"/>
        </w:trPr>
        <w:tc>
          <w:tcPr>
            <w:tcW w:w="3620" w:type="dxa"/>
            <w:vAlign w:val="bottom"/>
          </w:tcPr>
          <w:p>
            <w:pPr>
              <w:spacing w:after="0"/>
              <w:rPr>
                <w:sz w:val="22"/>
                <w:szCs w:val="22"/>
                <w:color w:val="auto"/>
              </w:rPr>
            </w:pPr>
          </w:p>
        </w:tc>
        <w:tc>
          <w:tcPr>
            <w:tcW w:w="7400" w:type="dxa"/>
            <w:vAlign w:val="bottom"/>
            <w:gridSpan w:val="2"/>
          </w:tcPr>
          <w:p>
            <w:pPr>
              <w:ind w:left="640"/>
              <w:spacing w:after="0"/>
              <w:rPr>
                <w:sz w:val="20"/>
                <w:szCs w:val="20"/>
                <w:color w:val="auto"/>
              </w:rPr>
            </w:pPr>
            <w:r>
              <w:rPr>
                <w:rFonts w:ascii="Arial" w:cs="Arial" w:eastAsia="Arial" w:hAnsi="Arial"/>
                <w:sz w:val="18"/>
                <w:szCs w:val="18"/>
                <w:b w:val="1"/>
                <w:bCs w:val="1"/>
                <w:color w:val="auto"/>
              </w:rPr>
              <w:t>CROSS-REFERENCE TABLE</w:t>
            </w:r>
            <w:r>
              <w:rPr>
                <w:rFonts w:ascii="Arial" w:cs="Arial" w:eastAsia="Arial" w:hAnsi="Arial"/>
                <w:sz w:val="15"/>
                <w:szCs w:val="15"/>
                <w:b w:val="1"/>
                <w:bCs w:val="1"/>
                <w:color w:val="auto"/>
              </w:rPr>
              <w:t>1</w:t>
            </w:r>
          </w:p>
        </w:tc>
      </w:tr>
      <w:tr>
        <w:trPr>
          <w:trHeight w:val="354"/>
        </w:trPr>
        <w:tc>
          <w:tcPr>
            <w:tcW w:w="36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4"/>
                <w:szCs w:val="14"/>
                <w:color w:val="auto"/>
              </w:rPr>
              <w:t>Section of</w:t>
            </w:r>
          </w:p>
        </w:tc>
      </w:tr>
      <w:tr>
        <w:trPr>
          <w:trHeight w:val="181"/>
        </w:trPr>
        <w:tc>
          <w:tcPr>
            <w:tcW w:w="3620" w:type="dxa"/>
            <w:vAlign w:val="bottom"/>
          </w:tcPr>
          <w:p>
            <w:pPr>
              <w:spacing w:after="0"/>
              <w:rPr>
                <w:sz w:val="20"/>
                <w:szCs w:val="20"/>
                <w:color w:val="auto"/>
              </w:rPr>
            </w:pPr>
            <w:r>
              <w:rPr>
                <w:rFonts w:ascii="Arial" w:cs="Arial" w:eastAsia="Arial" w:hAnsi="Arial"/>
                <w:sz w:val="14"/>
                <w:szCs w:val="14"/>
                <w:color w:val="auto"/>
              </w:rPr>
              <w:t>Section of Trust Indenture Act of 1939, as amended</w:t>
            </w:r>
          </w:p>
        </w:tc>
        <w:tc>
          <w:tcPr>
            <w:tcW w:w="6400" w:type="dxa"/>
            <w:vAlign w:val="bottom"/>
          </w:tcPr>
          <w:p>
            <w:pPr>
              <w:spacing w:after="0"/>
              <w:rPr>
                <w:sz w:val="15"/>
                <w:szCs w:val="15"/>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Indenture</w:t>
            </w: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310(a)</w:t>
            </w:r>
          </w:p>
        </w:tc>
        <w:tc>
          <w:tcPr>
            <w:tcW w:w="640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6.09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310(b)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6.08</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6.10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310(c)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311(a)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311(b)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311(c)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312(a)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4.01</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312(b)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4.04(c)</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312(c)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4.04(c)</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313(d)</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4.02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2.04</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8.04</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9.01(c)</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10.01(b)</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11.05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314(d)</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314(e)</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11.05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314(f)</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Inapplicable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6.01</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315(d)</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6.01</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6.02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315(e)</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5.09</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5.10</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7.04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5.06</w:t>
            </w:r>
          </w:p>
        </w:tc>
      </w:tr>
      <w:tr>
        <w:trPr>
          <w:trHeight w:val="216"/>
        </w:trPr>
        <w:tc>
          <w:tcPr>
            <w:tcW w:w="3620" w:type="dxa"/>
            <w:vAlign w:val="bottom"/>
          </w:tcPr>
          <w:p>
            <w:pPr>
              <w:spacing w:after="0"/>
              <w:rPr>
                <w:sz w:val="18"/>
                <w:szCs w:val="18"/>
                <w:color w:val="auto"/>
              </w:rPr>
            </w:pP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5.10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316(c)</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7.02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317(a)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5.04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317(b)</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3.04</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318(a)</w:t>
            </w:r>
          </w:p>
        </w:tc>
        <w:tc>
          <w:tcPr>
            <w:tcW w:w="7400" w:type="dxa"/>
            <w:vAlign w:val="bottom"/>
            <w:gridSpan w:val="2"/>
          </w:tcPr>
          <w:p>
            <w:pPr>
              <w:ind w:left="6400"/>
              <w:spacing w:after="0"/>
              <w:rPr>
                <w:sz w:val="20"/>
                <w:szCs w:val="20"/>
                <w:color w:val="auto"/>
              </w:rPr>
            </w:pPr>
            <w:r>
              <w:rPr>
                <w:rFonts w:ascii="Arial" w:cs="Arial" w:eastAsia="Arial" w:hAnsi="Arial"/>
                <w:sz w:val="18"/>
                <w:szCs w:val="18"/>
                <w:color w:val="auto"/>
              </w:rPr>
              <w:t>11.07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600" w:hanging="224"/>
        <w:spacing w:after="0" w:line="277" w:lineRule="auto"/>
        <w:tabs>
          <w:tab w:leader="none" w:pos="224" w:val="left"/>
        </w:tabs>
        <w:numPr>
          <w:ilvl w:val="0"/>
          <w:numId w:val="72"/>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70" w:right="4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00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406"/>
        </w:trPr>
        <w:tc>
          <w:tcPr>
            <w:tcW w:w="14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460" w:type="dxa"/>
            <w:vAlign w:val="bottom"/>
          </w:tcPr>
          <w:p>
            <w:pPr>
              <w:spacing w:after="0"/>
              <w:rPr>
                <w:sz w:val="20"/>
                <w:szCs w:val="20"/>
                <w:color w:val="auto"/>
              </w:rPr>
            </w:pPr>
            <w:r>
              <w:rPr>
                <w:rFonts w:ascii="Arial" w:cs="Arial" w:eastAsia="Arial" w:hAnsi="Arial"/>
                <w:sz w:val="18"/>
                <w:szCs w:val="18"/>
                <w:color w:val="auto"/>
              </w:rPr>
              <w:t>ARTICLE 1</w:t>
            </w:r>
          </w:p>
        </w:tc>
        <w:tc>
          <w:tcPr>
            <w:tcW w:w="80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1.01   Certain Terms Defined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2</w:t>
            </w:r>
          </w:p>
        </w:tc>
        <w:tc>
          <w:tcPr>
            <w:tcW w:w="800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60" w:type="dxa"/>
            <w:vAlign w:val="bottom"/>
          </w:tcPr>
          <w:p>
            <w:pPr>
              <w:ind w:left="420"/>
              <w:spacing w:after="0"/>
              <w:rPr>
                <w:sz w:val="20"/>
                <w:szCs w:val="20"/>
                <w:color w:val="auto"/>
              </w:rPr>
            </w:pPr>
            <w:r>
              <w:rPr>
                <w:rFonts w:ascii="Arial" w:cs="Arial" w:eastAsia="Arial" w:hAnsi="Arial"/>
                <w:sz w:val="18"/>
                <w:szCs w:val="18"/>
                <w:color w:val="auto"/>
              </w:rPr>
              <w:t>Section 2.01</w:t>
            </w:r>
          </w:p>
        </w:tc>
        <w:tc>
          <w:tcPr>
            <w:tcW w:w="8000" w:type="dxa"/>
            <w:vAlign w:val="bottom"/>
          </w:tcPr>
          <w:p>
            <w:pPr>
              <w:ind w:left="160"/>
              <w:spacing w:after="0"/>
              <w:rPr>
                <w:sz w:val="20"/>
                <w:szCs w:val="20"/>
                <w:color w:val="auto"/>
              </w:rPr>
            </w:pPr>
            <w:r>
              <w:rPr>
                <w:rFonts w:ascii="Arial" w:cs="Arial" w:eastAsia="Arial" w:hAnsi="Arial"/>
                <w:sz w:val="18"/>
                <w:szCs w:val="18"/>
                <w:color w:val="auto"/>
              </w:rPr>
              <w:t>Forms Generally</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2.02   Form of Trustee’s Certificate of Authentication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2.03   Amount Unlimited; Issuable in Series</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2.04   Authentication and Delivery of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2.05   Execution of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2.06   Certificate of Authentication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2.07   Denomination and Date of Securities; Payments of 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2.08   Registration, Transfer and Exchange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2.09   Mutilated, Defaced, Destroyed, Lost and Stolen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2.10   Cancellation of Securities; Destruction Thereof</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60" w:type="dxa"/>
            <w:vAlign w:val="bottom"/>
          </w:tcPr>
          <w:p>
            <w:pPr>
              <w:ind w:left="420"/>
              <w:spacing w:after="0"/>
              <w:rPr>
                <w:sz w:val="20"/>
                <w:szCs w:val="20"/>
                <w:color w:val="auto"/>
              </w:rPr>
            </w:pPr>
            <w:r>
              <w:rPr>
                <w:rFonts w:ascii="Arial" w:cs="Arial" w:eastAsia="Arial" w:hAnsi="Arial"/>
                <w:sz w:val="18"/>
                <w:szCs w:val="18"/>
                <w:color w:val="auto"/>
              </w:rPr>
              <w:t>Section 2.11</w:t>
            </w:r>
          </w:p>
        </w:tc>
        <w:tc>
          <w:tcPr>
            <w:tcW w:w="8000" w:type="dxa"/>
            <w:vAlign w:val="bottom"/>
          </w:tcPr>
          <w:p>
            <w:pPr>
              <w:ind w:left="160"/>
              <w:spacing w:after="0"/>
              <w:rPr>
                <w:sz w:val="20"/>
                <w:szCs w:val="20"/>
                <w:color w:val="auto"/>
              </w:rPr>
            </w:pPr>
            <w:r>
              <w:rPr>
                <w:rFonts w:ascii="Arial" w:cs="Arial" w:eastAsia="Arial" w:hAnsi="Arial"/>
                <w:sz w:val="18"/>
                <w:szCs w:val="18"/>
                <w:color w:val="auto"/>
              </w:rPr>
              <w:t>Temporary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60" w:type="dxa"/>
            <w:vAlign w:val="bottom"/>
          </w:tcPr>
          <w:p>
            <w:pPr>
              <w:ind w:left="420"/>
              <w:spacing w:after="0"/>
              <w:rPr>
                <w:sz w:val="20"/>
                <w:szCs w:val="20"/>
                <w:color w:val="auto"/>
              </w:rPr>
            </w:pPr>
            <w:r>
              <w:rPr>
                <w:rFonts w:ascii="Arial" w:cs="Arial" w:eastAsia="Arial" w:hAnsi="Arial"/>
                <w:sz w:val="18"/>
                <w:szCs w:val="18"/>
                <w:color w:val="auto"/>
              </w:rPr>
              <w:t>Section 2.12</w:t>
            </w:r>
          </w:p>
        </w:tc>
        <w:tc>
          <w:tcPr>
            <w:tcW w:w="8000" w:type="dxa"/>
            <w:vAlign w:val="bottom"/>
          </w:tcPr>
          <w:p>
            <w:pPr>
              <w:ind w:left="160"/>
              <w:spacing w:after="0"/>
              <w:rPr>
                <w:sz w:val="20"/>
                <w:szCs w:val="20"/>
                <w:color w:val="auto"/>
              </w:rPr>
            </w:pPr>
            <w:r>
              <w:rPr>
                <w:rFonts w:ascii="Arial" w:cs="Arial" w:eastAsia="Arial" w:hAnsi="Arial"/>
                <w:sz w:val="18"/>
                <w:szCs w:val="18"/>
                <w:color w:val="auto"/>
              </w:rPr>
              <w:t>CUSIP Numbers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3</w:t>
            </w:r>
          </w:p>
        </w:tc>
        <w:tc>
          <w:tcPr>
            <w:tcW w:w="8000" w:type="dxa"/>
            <w:vAlign w:val="bottom"/>
          </w:tcPr>
          <w:p>
            <w:pPr>
              <w:ind w:left="160"/>
              <w:spacing w:after="0"/>
              <w:rPr>
                <w:sz w:val="20"/>
                <w:szCs w:val="20"/>
                <w:color w:val="auto"/>
              </w:rPr>
            </w:pPr>
            <w:r>
              <w:rPr>
                <w:rFonts w:ascii="Arial" w:cs="Arial" w:eastAsia="Arial" w:hAnsi="Arial"/>
                <w:sz w:val="18"/>
                <w:szCs w:val="18"/>
                <w:color w:val="auto"/>
              </w:rPr>
              <w:t>COVENANTS OF THE ISSUER</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3.01   Payment of Principal and 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3.02   Offices for Payments, Etc</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3.03   Appointment to Fill a Vacancy in Office of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420"/>
              <w:spacing w:after="0"/>
              <w:rPr>
                <w:sz w:val="20"/>
                <w:szCs w:val="20"/>
                <w:color w:val="auto"/>
              </w:rPr>
            </w:pPr>
            <w:r>
              <w:rPr>
                <w:rFonts w:ascii="Arial" w:cs="Arial" w:eastAsia="Arial" w:hAnsi="Arial"/>
                <w:sz w:val="18"/>
                <w:szCs w:val="18"/>
                <w:color w:val="auto"/>
              </w:rPr>
              <w:t>Section 3.04</w:t>
            </w:r>
          </w:p>
        </w:tc>
        <w:tc>
          <w:tcPr>
            <w:tcW w:w="8000" w:type="dxa"/>
            <w:vAlign w:val="bottom"/>
          </w:tcPr>
          <w:p>
            <w:pPr>
              <w:ind w:left="160"/>
              <w:spacing w:after="0"/>
              <w:rPr>
                <w:sz w:val="20"/>
                <w:szCs w:val="20"/>
                <w:color w:val="auto"/>
              </w:rPr>
            </w:pPr>
            <w:r>
              <w:rPr>
                <w:rFonts w:ascii="Arial" w:cs="Arial" w:eastAsia="Arial" w:hAnsi="Arial"/>
                <w:sz w:val="18"/>
                <w:szCs w:val="18"/>
                <w:color w:val="auto"/>
              </w:rPr>
              <w:t>Paying Agents</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3.05   Written Statement to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4</w:t>
            </w:r>
          </w:p>
        </w:tc>
        <w:tc>
          <w:tcPr>
            <w:tcW w:w="8000" w:type="dxa"/>
            <w:vAlign w:val="bottom"/>
          </w:tcPr>
          <w:p>
            <w:pPr>
              <w:ind w:left="160"/>
              <w:spacing w:after="0"/>
              <w:rPr>
                <w:sz w:val="20"/>
                <w:szCs w:val="20"/>
                <w:color w:val="auto"/>
              </w:rPr>
            </w:pPr>
            <w:r>
              <w:rPr>
                <w:rFonts w:ascii="Arial" w:cs="Arial" w:eastAsia="Arial" w:hAnsi="Arial"/>
                <w:sz w:val="18"/>
                <w:szCs w:val="18"/>
                <w:color w:val="auto"/>
              </w:rPr>
              <w:t>SECURITYHOLDERS LISTS AND REPORTS BY THE ISSUER AND THE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4.01   Issuer to Furnish Trustee Information as to Names and Addresses of Securityholders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4.02   Reports by the Issuer</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4.03   Reports by the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4.04   Preservation of Information; Communication with Securityholders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ARTICLE 5</w:t>
            </w:r>
          </w:p>
        </w:tc>
        <w:tc>
          <w:tcPr>
            <w:tcW w:w="8000" w:type="dxa"/>
            <w:vAlign w:val="bottom"/>
          </w:tcPr>
          <w:p>
            <w:pPr>
              <w:ind w:left="160"/>
              <w:spacing w:after="0"/>
              <w:rPr>
                <w:sz w:val="20"/>
                <w:szCs w:val="20"/>
                <w:color w:val="auto"/>
              </w:rPr>
            </w:pPr>
            <w:r>
              <w:rPr>
                <w:rFonts w:ascii="Arial" w:cs="Arial" w:eastAsia="Arial" w:hAnsi="Arial"/>
                <w:sz w:val="18"/>
                <w:szCs w:val="18"/>
                <w:color w:val="auto"/>
              </w:rPr>
              <w:t>REMEDIES OF THE TRUSTEE AND SECURITYHOLDERS ON EVENT OF DEFAULT</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5.01   Event of Default Defined; Acceleration of Maturity; Waiver of Default</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5.02   Collection of Debt by Trustee; Trustee May Prove Debt</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5.03   Application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5.04   Suits for Enforcement</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5.05   Restoration of Rights on Abandonment of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5.06   Limitations on Suits by Securityholders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5.07   Unconditional Right of Securityholders to Institute Certain Suits</w:t>
            </w: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460" w:type="dxa"/>
            <w:vAlign w:val="bottom"/>
            <w:gridSpan w:val="2"/>
          </w:tcPr>
          <w:p>
            <w:pPr>
              <w:ind w:left="420"/>
              <w:spacing w:after="0"/>
              <w:rPr>
                <w:sz w:val="20"/>
                <w:szCs w:val="20"/>
                <w:color w:val="auto"/>
              </w:rPr>
            </w:pPr>
            <w:r>
              <w:rPr>
                <w:rFonts w:ascii="Arial" w:cs="Arial" w:eastAsia="Arial" w:hAnsi="Arial"/>
                <w:sz w:val="18"/>
                <w:szCs w:val="18"/>
                <w:color w:val="auto"/>
              </w:rPr>
              <w:t>Section 5.08   Powers and Remedies Cumulative; Delay or Omission Not Waiver of Default</w:t>
            </w: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5" w:name="page136"/>
    <w:bookmarkEnd w:id="135"/>
    <w:tbl>
      <w:tblPr>
        <w:tblLayout w:type="fixed"/>
        <w:tblInd w:w="0" w:type="dxa"/>
        <w:tblCellMar>
          <w:top w:w="0" w:type="dxa"/>
          <w:left w:w="0" w:type="dxa"/>
          <w:bottom w:w="0" w:type="dxa"/>
          <w:right w:w="0" w:type="dxa"/>
        </w:tblCellMar>
      </w:tblP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5.09</w:t>
            </w:r>
          </w:p>
        </w:tc>
        <w:tc>
          <w:tcPr>
            <w:tcW w:w="8380" w:type="dxa"/>
            <w:vAlign w:val="bottom"/>
          </w:tcPr>
          <w:p>
            <w:pPr>
              <w:ind w:left="100"/>
              <w:spacing w:after="0"/>
              <w:rPr>
                <w:sz w:val="20"/>
                <w:szCs w:val="20"/>
                <w:color w:val="auto"/>
              </w:rPr>
            </w:pPr>
            <w:r>
              <w:rPr>
                <w:rFonts w:ascii="Arial" w:cs="Arial" w:eastAsia="Arial" w:hAnsi="Arial"/>
                <w:sz w:val="18"/>
                <w:szCs w:val="18"/>
                <w:color w:val="auto"/>
              </w:rPr>
              <w:t>Control by Holders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5.10</w:t>
            </w:r>
          </w:p>
        </w:tc>
        <w:tc>
          <w:tcPr>
            <w:tcW w:w="8380" w:type="dxa"/>
            <w:vAlign w:val="bottom"/>
          </w:tcPr>
          <w:p>
            <w:pPr>
              <w:ind w:left="100"/>
              <w:spacing w:after="0"/>
              <w:rPr>
                <w:sz w:val="20"/>
                <w:szCs w:val="20"/>
                <w:color w:val="auto"/>
              </w:rPr>
            </w:pPr>
            <w:r>
              <w:rPr>
                <w:rFonts w:ascii="Arial" w:cs="Arial" w:eastAsia="Arial" w:hAnsi="Arial"/>
                <w:sz w:val="18"/>
                <w:szCs w:val="18"/>
                <w:color w:val="auto"/>
              </w:rPr>
              <w:t>Waiver of Past Defaults</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5.11</w:t>
            </w:r>
          </w:p>
        </w:tc>
        <w:tc>
          <w:tcPr>
            <w:tcW w:w="8380" w:type="dxa"/>
            <w:vAlign w:val="bottom"/>
          </w:tcPr>
          <w:p>
            <w:pPr>
              <w:ind w:left="100"/>
              <w:spacing w:after="0"/>
              <w:rPr>
                <w:sz w:val="20"/>
                <w:szCs w:val="20"/>
                <w:color w:val="auto"/>
              </w:rPr>
            </w:pPr>
            <w:r>
              <w:rPr>
                <w:rFonts w:ascii="Arial" w:cs="Arial" w:eastAsia="Arial" w:hAnsi="Arial"/>
                <w:sz w:val="18"/>
                <w:szCs w:val="18"/>
                <w:color w:val="auto"/>
              </w:rPr>
              <w:t>Trustee to Give Notice of Default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5.12</w:t>
            </w:r>
          </w:p>
        </w:tc>
        <w:tc>
          <w:tcPr>
            <w:tcW w:w="8380" w:type="dxa"/>
            <w:vAlign w:val="bottom"/>
          </w:tcPr>
          <w:p>
            <w:pPr>
              <w:ind w:left="100"/>
              <w:spacing w:after="0"/>
              <w:rPr>
                <w:sz w:val="20"/>
                <w:szCs w:val="20"/>
                <w:color w:val="auto"/>
              </w:rPr>
            </w:pPr>
            <w:r>
              <w:rPr>
                <w:rFonts w:ascii="Arial" w:cs="Arial" w:eastAsia="Arial" w:hAnsi="Arial"/>
                <w:sz w:val="18"/>
                <w:szCs w:val="18"/>
                <w:color w:val="auto"/>
              </w:rPr>
              <w:t>Right of Court to Require Filing of Undertaking to Pay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6</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CONCERNING THE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6.01</w:t>
            </w:r>
          </w:p>
        </w:tc>
        <w:tc>
          <w:tcPr>
            <w:tcW w:w="8380" w:type="dxa"/>
            <w:vAlign w:val="bottom"/>
          </w:tcPr>
          <w:p>
            <w:pPr>
              <w:ind w:left="10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6.02</w:t>
            </w:r>
          </w:p>
        </w:tc>
        <w:tc>
          <w:tcPr>
            <w:tcW w:w="8380" w:type="dxa"/>
            <w:vAlign w:val="bottom"/>
          </w:tcPr>
          <w:p>
            <w:pPr>
              <w:ind w:left="100"/>
              <w:spacing w:after="0"/>
              <w:rPr>
                <w:sz w:val="20"/>
                <w:szCs w:val="20"/>
                <w:color w:val="auto"/>
              </w:rPr>
            </w:pPr>
            <w:r>
              <w:rPr>
                <w:rFonts w:ascii="Arial" w:cs="Arial" w:eastAsia="Arial" w:hAnsi="Arial"/>
                <w:sz w:val="18"/>
                <w:szCs w:val="18"/>
                <w:color w:val="auto"/>
              </w:rPr>
              <w:t>Certain Rights of the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6.03</w:t>
            </w:r>
          </w:p>
        </w:tc>
        <w:tc>
          <w:tcPr>
            <w:tcW w:w="8380" w:type="dxa"/>
            <w:vAlign w:val="bottom"/>
          </w:tcPr>
          <w:p>
            <w:pPr>
              <w:ind w:left="10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6.04</w:t>
            </w:r>
          </w:p>
        </w:tc>
        <w:tc>
          <w:tcPr>
            <w:tcW w:w="8380" w:type="dxa"/>
            <w:vAlign w:val="bottom"/>
          </w:tcPr>
          <w:p>
            <w:pPr>
              <w:ind w:left="100"/>
              <w:spacing w:after="0"/>
              <w:rPr>
                <w:sz w:val="20"/>
                <w:szCs w:val="20"/>
                <w:color w:val="auto"/>
              </w:rPr>
            </w:pPr>
            <w:r>
              <w:rPr>
                <w:rFonts w:ascii="Arial" w:cs="Arial" w:eastAsia="Arial" w:hAnsi="Arial"/>
                <w:sz w:val="18"/>
                <w:szCs w:val="18"/>
                <w:color w:val="auto"/>
              </w:rPr>
              <w:t>Trustee and Agents May Hold Securities; Collections, Etc</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6.05</w:t>
            </w:r>
          </w:p>
        </w:tc>
        <w:tc>
          <w:tcPr>
            <w:tcW w:w="8380" w:type="dxa"/>
            <w:vAlign w:val="bottom"/>
          </w:tcPr>
          <w:p>
            <w:pPr>
              <w:ind w:left="100"/>
              <w:spacing w:after="0"/>
              <w:rPr>
                <w:sz w:val="20"/>
                <w:szCs w:val="20"/>
                <w:color w:val="auto"/>
              </w:rPr>
            </w:pPr>
            <w:r>
              <w:rPr>
                <w:rFonts w:ascii="Arial" w:cs="Arial" w:eastAsia="Arial" w:hAnsi="Arial"/>
                <w:sz w:val="18"/>
                <w:szCs w:val="18"/>
                <w:color w:val="auto"/>
              </w:rPr>
              <w:t>Moneys Held by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6.06</w:t>
            </w:r>
          </w:p>
        </w:tc>
        <w:tc>
          <w:tcPr>
            <w:tcW w:w="8380" w:type="dxa"/>
            <w:vAlign w:val="bottom"/>
          </w:tcPr>
          <w:p>
            <w:pPr>
              <w:ind w:left="100"/>
              <w:spacing w:after="0"/>
              <w:rPr>
                <w:sz w:val="20"/>
                <w:szCs w:val="20"/>
                <w:color w:val="auto"/>
              </w:rPr>
            </w:pPr>
            <w:r>
              <w:rPr>
                <w:rFonts w:ascii="Arial" w:cs="Arial" w:eastAsia="Arial" w:hAnsi="Arial"/>
                <w:sz w:val="18"/>
                <w:szCs w:val="18"/>
                <w:color w:val="auto"/>
              </w:rPr>
              <w:t>Compensation and Indemnification of Trustee and Its Prior Claim</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6.07</w:t>
            </w:r>
          </w:p>
        </w:tc>
        <w:tc>
          <w:tcPr>
            <w:tcW w:w="8380" w:type="dxa"/>
            <w:vAlign w:val="bottom"/>
          </w:tcPr>
          <w:p>
            <w:pPr>
              <w:ind w:left="100"/>
              <w:spacing w:after="0"/>
              <w:rPr>
                <w:sz w:val="20"/>
                <w:szCs w:val="20"/>
                <w:color w:val="auto"/>
              </w:rPr>
            </w:pPr>
            <w:r>
              <w:rPr>
                <w:rFonts w:ascii="Arial" w:cs="Arial" w:eastAsia="Arial" w:hAnsi="Arial"/>
                <w:sz w:val="18"/>
                <w:szCs w:val="18"/>
                <w:color w:val="auto"/>
              </w:rPr>
              <w:t>Right of Trustee to Rely on Officer’s Certificate, Etc</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6.08</w:t>
            </w:r>
          </w:p>
        </w:tc>
        <w:tc>
          <w:tcPr>
            <w:tcW w:w="8380" w:type="dxa"/>
            <w:vAlign w:val="bottom"/>
          </w:tcPr>
          <w:p>
            <w:pPr>
              <w:ind w:left="100"/>
              <w:spacing w:after="0"/>
              <w:rPr>
                <w:sz w:val="20"/>
                <w:szCs w:val="20"/>
                <w:color w:val="auto"/>
              </w:rPr>
            </w:pPr>
            <w:r>
              <w:rPr>
                <w:rFonts w:ascii="Arial" w:cs="Arial" w:eastAsia="Arial" w:hAnsi="Arial"/>
                <w:sz w:val="18"/>
                <w:szCs w:val="18"/>
                <w:color w:val="auto"/>
              </w:rPr>
              <w:t>Disqualification; Conflicting Interests</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6.09</w:t>
            </w:r>
          </w:p>
        </w:tc>
        <w:tc>
          <w:tcPr>
            <w:tcW w:w="8380" w:type="dxa"/>
            <w:vAlign w:val="bottom"/>
          </w:tcPr>
          <w:p>
            <w:pPr>
              <w:ind w:left="100"/>
              <w:spacing w:after="0"/>
              <w:rPr>
                <w:sz w:val="20"/>
                <w:szCs w:val="20"/>
                <w:color w:val="auto"/>
              </w:rPr>
            </w:pPr>
            <w:r>
              <w:rPr>
                <w:rFonts w:ascii="Arial" w:cs="Arial" w:eastAsia="Arial" w:hAnsi="Arial"/>
                <w:sz w:val="18"/>
                <w:szCs w:val="18"/>
                <w:color w:val="auto"/>
              </w:rPr>
              <w:t>Persons Eligible for Appointment as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6.10</w:t>
            </w:r>
          </w:p>
        </w:tc>
        <w:tc>
          <w:tcPr>
            <w:tcW w:w="8380" w:type="dxa"/>
            <w:vAlign w:val="bottom"/>
          </w:tcPr>
          <w:p>
            <w:pPr>
              <w:ind w:left="100"/>
              <w:spacing w:after="0"/>
              <w:rPr>
                <w:sz w:val="20"/>
                <w:szCs w:val="20"/>
                <w:color w:val="auto"/>
              </w:rPr>
            </w:pPr>
            <w:r>
              <w:rPr>
                <w:rFonts w:ascii="Arial" w:cs="Arial" w:eastAsia="Arial" w:hAnsi="Arial"/>
                <w:sz w:val="18"/>
                <w:szCs w:val="18"/>
                <w:color w:val="auto"/>
              </w:rPr>
              <w:t>Resignation and Removal; Appointment of Successor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6.11</w:t>
            </w:r>
          </w:p>
        </w:tc>
        <w:tc>
          <w:tcPr>
            <w:tcW w:w="8380" w:type="dxa"/>
            <w:vAlign w:val="bottom"/>
          </w:tcPr>
          <w:p>
            <w:pPr>
              <w:ind w:left="100"/>
              <w:spacing w:after="0"/>
              <w:rPr>
                <w:sz w:val="20"/>
                <w:szCs w:val="20"/>
                <w:color w:val="auto"/>
              </w:rPr>
            </w:pPr>
            <w:r>
              <w:rPr>
                <w:rFonts w:ascii="Arial" w:cs="Arial" w:eastAsia="Arial" w:hAnsi="Arial"/>
                <w:sz w:val="18"/>
                <w:szCs w:val="18"/>
                <w:color w:val="auto"/>
              </w:rPr>
              <w:t>Acceptance of Appointment by Successor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6.12</w:t>
            </w:r>
          </w:p>
        </w:tc>
        <w:tc>
          <w:tcPr>
            <w:tcW w:w="8380" w:type="dxa"/>
            <w:vAlign w:val="bottom"/>
          </w:tcPr>
          <w:p>
            <w:pPr>
              <w:ind w:left="10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6.13</w:t>
            </w:r>
          </w:p>
        </w:tc>
        <w:tc>
          <w:tcPr>
            <w:tcW w:w="8380" w:type="dxa"/>
            <w:vAlign w:val="bottom"/>
          </w:tcPr>
          <w:p>
            <w:pPr>
              <w:ind w:left="100"/>
              <w:spacing w:after="0"/>
              <w:rPr>
                <w:sz w:val="20"/>
                <w:szCs w:val="20"/>
                <w:color w:val="auto"/>
              </w:rPr>
            </w:pPr>
            <w:r>
              <w:rPr>
                <w:rFonts w:ascii="Arial" w:cs="Arial" w:eastAsia="Arial" w:hAnsi="Arial"/>
                <w:sz w:val="18"/>
                <w:szCs w:val="18"/>
                <w:color w:val="auto"/>
              </w:rPr>
              <w:t>Preferential Collection of Claims Against the Issuer</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7</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CONCERNING THE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7.01</w:t>
            </w:r>
          </w:p>
        </w:tc>
        <w:tc>
          <w:tcPr>
            <w:tcW w:w="8380" w:type="dxa"/>
            <w:vAlign w:val="bottom"/>
          </w:tcPr>
          <w:p>
            <w:pPr>
              <w:ind w:left="100"/>
              <w:spacing w:after="0"/>
              <w:rPr>
                <w:sz w:val="20"/>
                <w:szCs w:val="20"/>
                <w:color w:val="auto"/>
              </w:rPr>
            </w:pPr>
            <w:r>
              <w:rPr>
                <w:rFonts w:ascii="Arial" w:cs="Arial" w:eastAsia="Arial" w:hAnsi="Arial"/>
                <w:sz w:val="18"/>
                <w:szCs w:val="18"/>
                <w:color w:val="auto"/>
              </w:rPr>
              <w:t>Evidence of Action Taken by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7.02</w:t>
            </w:r>
          </w:p>
        </w:tc>
        <w:tc>
          <w:tcPr>
            <w:tcW w:w="8380" w:type="dxa"/>
            <w:vAlign w:val="bottom"/>
          </w:tcPr>
          <w:p>
            <w:pPr>
              <w:ind w:left="100"/>
              <w:spacing w:after="0"/>
              <w:rPr>
                <w:sz w:val="20"/>
                <w:szCs w:val="20"/>
                <w:color w:val="auto"/>
              </w:rPr>
            </w:pPr>
            <w:r>
              <w:rPr>
                <w:rFonts w:ascii="Arial" w:cs="Arial" w:eastAsia="Arial" w:hAnsi="Arial"/>
                <w:sz w:val="18"/>
                <w:szCs w:val="18"/>
                <w:color w:val="auto"/>
              </w:rPr>
              <w:t>Proof of Execution of Instruments and of Holding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7.03</w:t>
            </w:r>
          </w:p>
        </w:tc>
        <w:tc>
          <w:tcPr>
            <w:tcW w:w="8380" w:type="dxa"/>
            <w:vAlign w:val="bottom"/>
          </w:tcPr>
          <w:p>
            <w:pPr>
              <w:ind w:left="100"/>
              <w:spacing w:after="0"/>
              <w:rPr>
                <w:sz w:val="20"/>
                <w:szCs w:val="20"/>
                <w:color w:val="auto"/>
              </w:rPr>
            </w:pPr>
            <w:r>
              <w:rPr>
                <w:rFonts w:ascii="Arial" w:cs="Arial" w:eastAsia="Arial" w:hAnsi="Arial"/>
                <w:sz w:val="18"/>
                <w:szCs w:val="18"/>
                <w:color w:val="auto"/>
              </w:rPr>
              <w:t>Holders to Be Treated as Owners</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7.04</w:t>
            </w:r>
          </w:p>
        </w:tc>
        <w:tc>
          <w:tcPr>
            <w:tcW w:w="8380" w:type="dxa"/>
            <w:vAlign w:val="bottom"/>
          </w:tcPr>
          <w:p>
            <w:pPr>
              <w:ind w:left="100"/>
              <w:spacing w:after="0"/>
              <w:rPr>
                <w:sz w:val="20"/>
                <w:szCs w:val="20"/>
                <w:color w:val="auto"/>
              </w:rPr>
            </w:pPr>
            <w:r>
              <w:rPr>
                <w:rFonts w:ascii="Arial" w:cs="Arial" w:eastAsia="Arial" w:hAnsi="Arial"/>
                <w:sz w:val="18"/>
                <w:szCs w:val="18"/>
                <w:color w:val="auto"/>
              </w:rPr>
              <w:t>Securities Owned by Issuer Deemed Not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7.05</w:t>
            </w:r>
          </w:p>
        </w:tc>
        <w:tc>
          <w:tcPr>
            <w:tcW w:w="8380" w:type="dxa"/>
            <w:vAlign w:val="bottom"/>
          </w:tcPr>
          <w:p>
            <w:pPr>
              <w:ind w:left="100"/>
              <w:spacing w:after="0"/>
              <w:rPr>
                <w:sz w:val="20"/>
                <w:szCs w:val="20"/>
                <w:color w:val="auto"/>
              </w:rPr>
            </w:pPr>
            <w:r>
              <w:rPr>
                <w:rFonts w:ascii="Arial" w:cs="Arial" w:eastAsia="Arial" w:hAnsi="Arial"/>
                <w:sz w:val="18"/>
                <w:szCs w:val="18"/>
                <w:color w:val="auto"/>
              </w:rPr>
              <w:t>Right of Revocation of Action Taken</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8</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8.01</w:t>
            </w:r>
          </w:p>
        </w:tc>
        <w:tc>
          <w:tcPr>
            <w:tcW w:w="838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8.02</w:t>
            </w:r>
          </w:p>
        </w:tc>
        <w:tc>
          <w:tcPr>
            <w:tcW w:w="838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Securityholders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8.03</w:t>
            </w:r>
          </w:p>
        </w:tc>
        <w:tc>
          <w:tcPr>
            <w:tcW w:w="8380" w:type="dxa"/>
            <w:vAlign w:val="bottom"/>
          </w:tcPr>
          <w:p>
            <w:pPr>
              <w:ind w:left="100"/>
              <w:spacing w:after="0"/>
              <w:rPr>
                <w:sz w:val="20"/>
                <w:szCs w:val="20"/>
                <w:color w:val="auto"/>
              </w:rPr>
            </w:pPr>
            <w:r>
              <w:rPr>
                <w:rFonts w:ascii="Arial" w:cs="Arial" w:eastAsia="Arial" w:hAnsi="Arial"/>
                <w:sz w:val="18"/>
                <w:szCs w:val="18"/>
                <w:color w:val="auto"/>
              </w:rPr>
              <w:t>Effect of Supplemental Indenture</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8.04</w:t>
            </w:r>
          </w:p>
        </w:tc>
        <w:tc>
          <w:tcPr>
            <w:tcW w:w="8380" w:type="dxa"/>
            <w:vAlign w:val="bottom"/>
          </w:tcPr>
          <w:p>
            <w:pPr>
              <w:ind w:left="100"/>
              <w:spacing w:after="0"/>
              <w:rPr>
                <w:sz w:val="20"/>
                <w:szCs w:val="20"/>
                <w:color w:val="auto"/>
              </w:rPr>
            </w:pPr>
            <w:r>
              <w:rPr>
                <w:rFonts w:ascii="Arial" w:cs="Arial" w:eastAsia="Arial" w:hAnsi="Arial"/>
                <w:sz w:val="18"/>
                <w:szCs w:val="18"/>
                <w:color w:val="auto"/>
              </w:rPr>
              <w:t>Documents to Be Given to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8.05</w:t>
            </w:r>
          </w:p>
        </w:tc>
        <w:tc>
          <w:tcPr>
            <w:tcW w:w="8380" w:type="dxa"/>
            <w:vAlign w:val="bottom"/>
          </w:tcPr>
          <w:p>
            <w:pPr>
              <w:ind w:left="100"/>
              <w:spacing w:after="0"/>
              <w:rPr>
                <w:sz w:val="20"/>
                <w:szCs w:val="20"/>
                <w:color w:val="auto"/>
              </w:rPr>
            </w:pPr>
            <w:r>
              <w:rPr>
                <w:rFonts w:ascii="Arial" w:cs="Arial" w:eastAsia="Arial" w:hAnsi="Arial"/>
                <w:sz w:val="18"/>
                <w:szCs w:val="18"/>
                <w:color w:val="auto"/>
              </w:rPr>
              <w:t>Notation on Securities in Respect of Supplemental Indentures</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000" w:type="dxa"/>
            <w:vAlign w:val="bottom"/>
          </w:tcPr>
          <w:p>
            <w:pPr>
              <w:jc w:val="right"/>
              <w:ind w:right="30"/>
              <w:spacing w:after="0"/>
              <w:rPr>
                <w:sz w:val="20"/>
                <w:szCs w:val="20"/>
                <w:color w:val="auto"/>
              </w:rPr>
            </w:pPr>
            <w:r>
              <w:rPr>
                <w:rFonts w:ascii="Arial" w:cs="Arial" w:eastAsia="Arial" w:hAnsi="Arial"/>
                <w:sz w:val="18"/>
                <w:szCs w:val="18"/>
                <w:color w:val="auto"/>
                <w:w w:val="94"/>
              </w:rPr>
              <w:t>ARTICLE 9</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CONSOLIDATION, MERGER, SALE OR CONVEYANCE</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9.01</w:t>
            </w:r>
          </w:p>
        </w:tc>
        <w:tc>
          <w:tcPr>
            <w:tcW w:w="8380" w:type="dxa"/>
            <w:vAlign w:val="bottom"/>
          </w:tcPr>
          <w:p>
            <w:pPr>
              <w:ind w:left="100"/>
              <w:spacing w:after="0"/>
              <w:rPr>
                <w:sz w:val="20"/>
                <w:szCs w:val="20"/>
                <w:color w:val="auto"/>
              </w:rPr>
            </w:pPr>
            <w:r>
              <w:rPr>
                <w:rFonts w:ascii="Arial" w:cs="Arial" w:eastAsia="Arial" w:hAnsi="Arial"/>
                <w:sz w:val="18"/>
                <w:szCs w:val="18"/>
                <w:color w:val="auto"/>
              </w:rPr>
              <w:t>Issuer May Consolidate, Etc., on Certain Terms</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9.02</w:t>
            </w:r>
          </w:p>
        </w:tc>
        <w:tc>
          <w:tcPr>
            <w:tcW w:w="8380" w:type="dxa"/>
            <w:vAlign w:val="bottom"/>
          </w:tcPr>
          <w:p>
            <w:pPr>
              <w:ind w:left="100"/>
              <w:spacing w:after="0"/>
              <w:rPr>
                <w:sz w:val="20"/>
                <w:szCs w:val="20"/>
                <w:color w:val="auto"/>
              </w:rPr>
            </w:pPr>
            <w:r>
              <w:rPr>
                <w:rFonts w:ascii="Arial" w:cs="Arial" w:eastAsia="Arial" w:hAnsi="Arial"/>
                <w:sz w:val="18"/>
                <w:szCs w:val="18"/>
                <w:color w:val="auto"/>
              </w:rPr>
              <w:t>Successor Issuer Substituted</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00" w:type="dxa"/>
            <w:vAlign w:val="bottom"/>
          </w:tcPr>
          <w:p>
            <w:pPr>
              <w:jc w:val="right"/>
              <w:spacing w:after="0"/>
              <w:rPr>
                <w:sz w:val="20"/>
                <w:szCs w:val="20"/>
                <w:color w:val="auto"/>
              </w:rPr>
            </w:pPr>
            <w:r>
              <w:rPr>
                <w:rFonts w:ascii="Arial" w:cs="Arial" w:eastAsia="Arial" w:hAnsi="Arial"/>
                <w:sz w:val="18"/>
                <w:szCs w:val="18"/>
                <w:color w:val="auto"/>
                <w:w w:val="92"/>
              </w:rPr>
              <w:t>ARTICLE 10</w:t>
            </w:r>
          </w:p>
        </w:tc>
        <w:tc>
          <w:tcPr>
            <w:tcW w:w="520" w:type="dxa"/>
            <w:vAlign w:val="bottom"/>
          </w:tcPr>
          <w:p>
            <w:pPr>
              <w:spacing w:after="0"/>
              <w:rPr>
                <w:sz w:val="24"/>
                <w:szCs w:val="24"/>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 UNCLAIMED MONEYS</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10.01</w:t>
            </w:r>
          </w:p>
        </w:tc>
        <w:tc>
          <w:tcPr>
            <w:tcW w:w="838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 Defeasance</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10.02</w:t>
            </w:r>
          </w:p>
        </w:tc>
        <w:tc>
          <w:tcPr>
            <w:tcW w:w="8380" w:type="dxa"/>
            <w:vAlign w:val="bottom"/>
          </w:tcPr>
          <w:p>
            <w:pPr>
              <w:ind w:left="10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6" w:name="page137"/>
    <w:bookmarkEnd w:id="136"/>
    <w:tbl>
      <w:tblPr>
        <w:tblLayout w:type="fixed"/>
        <w:tblInd w:w="0" w:type="dxa"/>
        <w:tblCellMar>
          <w:top w:w="0" w:type="dxa"/>
          <w:left w:w="0" w:type="dxa"/>
          <w:bottom w:w="0" w:type="dxa"/>
          <w:right w:w="0" w:type="dxa"/>
        </w:tblCellMar>
      </w:tblP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10.03</w:t>
            </w:r>
          </w:p>
        </w:tc>
        <w:tc>
          <w:tcPr>
            <w:tcW w:w="7740" w:type="dxa"/>
            <w:vAlign w:val="bottom"/>
          </w:tcPr>
          <w:p>
            <w:pPr>
              <w:ind w:left="100"/>
              <w:spacing w:after="0"/>
              <w:rPr>
                <w:sz w:val="20"/>
                <w:szCs w:val="20"/>
                <w:color w:val="auto"/>
              </w:rPr>
            </w:pPr>
            <w:r>
              <w:rPr>
                <w:rFonts w:ascii="Arial" w:cs="Arial" w:eastAsia="Arial" w:hAnsi="Arial"/>
                <w:sz w:val="18"/>
                <w:szCs w:val="18"/>
                <w:color w:val="auto"/>
              </w:rPr>
              <w:t>Repayment of Moneys Held by Paying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10.04</w:t>
            </w:r>
          </w:p>
        </w:tc>
        <w:tc>
          <w:tcPr>
            <w:tcW w:w="7740" w:type="dxa"/>
            <w:vAlign w:val="bottom"/>
          </w:tcPr>
          <w:p>
            <w:pPr>
              <w:ind w:left="10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10.05</w:t>
            </w:r>
          </w:p>
        </w:tc>
        <w:tc>
          <w:tcPr>
            <w:tcW w:w="7740" w:type="dxa"/>
            <w:vAlign w:val="bottom"/>
          </w:tcPr>
          <w:p>
            <w:pPr>
              <w:ind w:left="100"/>
              <w:spacing w:after="0"/>
              <w:rPr>
                <w:sz w:val="20"/>
                <w:szCs w:val="20"/>
                <w:color w:val="auto"/>
              </w:rPr>
            </w:pPr>
            <w:r>
              <w:rPr>
                <w:rFonts w:ascii="Arial" w:cs="Arial" w:eastAsia="Arial" w:hAnsi="Arial"/>
                <w:sz w:val="18"/>
                <w:szCs w:val="18"/>
                <w:color w:val="auto"/>
              </w:rPr>
              <w:t>Indemnity for U.S. Government Obligations and Foreign Government Obligations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w w:val="96"/>
              </w:rPr>
              <w:t>ARTICLE 11</w:t>
            </w:r>
          </w:p>
        </w:tc>
        <w:tc>
          <w:tcPr>
            <w:tcW w:w="52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20" w:type="dxa"/>
            <w:vAlign w:val="bottom"/>
            <w:gridSpan w:val="2"/>
          </w:tcPr>
          <w:p>
            <w:pPr>
              <w:ind w:left="420"/>
              <w:spacing w:after="0"/>
              <w:rPr>
                <w:sz w:val="20"/>
                <w:szCs w:val="20"/>
                <w:color w:val="auto"/>
              </w:rPr>
            </w:pPr>
            <w:r>
              <w:rPr>
                <w:rFonts w:ascii="Arial" w:cs="Arial" w:eastAsia="Arial" w:hAnsi="Arial"/>
                <w:sz w:val="18"/>
                <w:szCs w:val="18"/>
                <w:color w:val="auto"/>
                <w:w w:val="98"/>
              </w:rPr>
              <w:t>Section 11.01</w:t>
            </w:r>
          </w:p>
        </w:tc>
        <w:tc>
          <w:tcPr>
            <w:tcW w:w="774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11.02   Provisions of Indenture for the Sole Benefit of Parties and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11.03   Successors and Assigns of Issuer Bound by Indenture</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11.04   Notices and Demands on Issuer, Trustee and Holders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11.05   Officer’s Certificates and Opinions of Counsel; Statements to Be Contained Therein</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11.06   Payments Due on Saturdays, Sundays and Holidays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11.07   Conflict of Any Provision of Indenture With Trust Indenture Act of 1939</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11.08   New York Law to Govern</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20" w:type="dxa"/>
            <w:vAlign w:val="bottom"/>
            <w:gridSpan w:val="2"/>
          </w:tcPr>
          <w:p>
            <w:pPr>
              <w:ind w:left="420"/>
              <w:spacing w:after="0"/>
              <w:rPr>
                <w:sz w:val="20"/>
                <w:szCs w:val="20"/>
                <w:color w:val="auto"/>
              </w:rPr>
            </w:pPr>
            <w:r>
              <w:rPr>
                <w:rFonts w:ascii="Arial" w:cs="Arial" w:eastAsia="Arial" w:hAnsi="Arial"/>
                <w:sz w:val="18"/>
                <w:szCs w:val="18"/>
                <w:color w:val="auto"/>
                <w:w w:val="98"/>
              </w:rPr>
              <w:t>Section 11.09</w:t>
            </w:r>
          </w:p>
        </w:tc>
        <w:tc>
          <w:tcPr>
            <w:tcW w:w="77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260" w:type="dxa"/>
            <w:vAlign w:val="bottom"/>
            <w:gridSpan w:val="3"/>
          </w:tcPr>
          <w:p>
            <w:pPr>
              <w:ind w:left="420"/>
              <w:spacing w:after="0"/>
              <w:rPr>
                <w:sz w:val="20"/>
                <w:szCs w:val="20"/>
                <w:color w:val="auto"/>
              </w:rPr>
            </w:pPr>
            <w:r>
              <w:rPr>
                <w:rFonts w:ascii="Arial" w:cs="Arial" w:eastAsia="Arial" w:hAnsi="Arial"/>
                <w:sz w:val="18"/>
                <w:szCs w:val="18"/>
                <w:color w:val="auto"/>
              </w:rPr>
              <w:t>Section 11.10   Effect of Headings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11.11</w:t>
            </w:r>
          </w:p>
        </w:tc>
        <w:tc>
          <w:tcPr>
            <w:tcW w:w="7740" w:type="dxa"/>
            <w:vAlign w:val="bottom"/>
          </w:tcPr>
          <w:p>
            <w:pPr>
              <w:ind w:left="100"/>
              <w:spacing w:after="0"/>
              <w:rPr>
                <w:sz w:val="20"/>
                <w:szCs w:val="20"/>
                <w:color w:val="auto"/>
              </w:rPr>
            </w:pPr>
            <w:r>
              <w:rPr>
                <w:rFonts w:ascii="Arial" w:cs="Arial" w:eastAsia="Arial" w:hAnsi="Arial"/>
                <w:sz w:val="18"/>
                <w:szCs w:val="18"/>
                <w:color w:val="auto"/>
              </w:rPr>
              <w:t>Actions by Successor</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520" w:type="dxa"/>
            <w:vAlign w:val="bottom"/>
            <w:gridSpan w:val="2"/>
          </w:tcPr>
          <w:p>
            <w:pPr>
              <w:ind w:left="420"/>
              <w:spacing w:after="0"/>
              <w:rPr>
                <w:sz w:val="20"/>
                <w:szCs w:val="20"/>
                <w:color w:val="auto"/>
              </w:rPr>
            </w:pPr>
            <w:r>
              <w:rPr>
                <w:rFonts w:ascii="Arial" w:cs="Arial" w:eastAsia="Arial" w:hAnsi="Arial"/>
                <w:sz w:val="18"/>
                <w:szCs w:val="18"/>
                <w:color w:val="auto"/>
                <w:w w:val="98"/>
              </w:rPr>
              <w:t>Section 11.12</w:t>
            </w:r>
          </w:p>
        </w:tc>
        <w:tc>
          <w:tcPr>
            <w:tcW w:w="77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w w:val="96"/>
              </w:rPr>
              <w:t>ARTICLE 12</w:t>
            </w:r>
          </w:p>
        </w:tc>
        <w:tc>
          <w:tcPr>
            <w:tcW w:w="52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REDEMPTION OF SECURITIES AND SINKING FUNDS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12.01</w:t>
            </w:r>
          </w:p>
        </w:tc>
        <w:tc>
          <w:tcPr>
            <w:tcW w:w="7740" w:type="dxa"/>
            <w:vAlign w:val="bottom"/>
          </w:tcPr>
          <w:p>
            <w:pPr>
              <w:ind w:left="100"/>
              <w:spacing w:after="0"/>
              <w:rPr>
                <w:sz w:val="20"/>
                <w:szCs w:val="20"/>
                <w:color w:val="auto"/>
              </w:rPr>
            </w:pPr>
            <w:r>
              <w:rPr>
                <w:rFonts w:ascii="Arial" w:cs="Arial" w:eastAsia="Arial" w:hAnsi="Arial"/>
                <w:sz w:val="18"/>
                <w:szCs w:val="18"/>
                <w:color w:val="auto"/>
              </w:rPr>
              <w:t>Applicability of Article</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12.02</w:t>
            </w:r>
          </w:p>
        </w:tc>
        <w:tc>
          <w:tcPr>
            <w:tcW w:w="7740" w:type="dxa"/>
            <w:vAlign w:val="bottom"/>
          </w:tcPr>
          <w:p>
            <w:pPr>
              <w:ind w:left="100"/>
              <w:spacing w:after="0"/>
              <w:rPr>
                <w:sz w:val="20"/>
                <w:szCs w:val="20"/>
                <w:color w:val="auto"/>
              </w:rPr>
            </w:pPr>
            <w:r>
              <w:rPr>
                <w:rFonts w:ascii="Arial" w:cs="Arial" w:eastAsia="Arial" w:hAnsi="Arial"/>
                <w:sz w:val="18"/>
                <w:szCs w:val="18"/>
                <w:color w:val="auto"/>
              </w:rPr>
              <w:t>Notice of Redemption; Partial Redemptions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12.03</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 of Securities Called for Redemption</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12.04</w:t>
            </w:r>
          </w:p>
        </w:tc>
        <w:tc>
          <w:tcPr>
            <w:tcW w:w="7740" w:type="dxa"/>
            <w:vAlign w:val="bottom"/>
          </w:tcPr>
          <w:p>
            <w:pPr>
              <w:ind w:left="10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12.05</w:t>
            </w:r>
          </w:p>
        </w:tc>
        <w:tc>
          <w:tcPr>
            <w:tcW w:w="7740" w:type="dxa"/>
            <w:vAlign w:val="bottom"/>
          </w:tcPr>
          <w:p>
            <w:pPr>
              <w:ind w:left="100"/>
              <w:spacing w:after="0"/>
              <w:rPr>
                <w:sz w:val="20"/>
                <w:szCs w:val="20"/>
                <w:color w:val="auto"/>
              </w:rPr>
            </w:pPr>
            <w:r>
              <w:rPr>
                <w:rFonts w:ascii="Arial" w:cs="Arial" w:eastAsia="Arial" w:hAnsi="Arial"/>
                <w:sz w:val="18"/>
                <w:szCs w:val="18"/>
                <w:color w:val="auto"/>
              </w:rPr>
              <w:t>Mandatory and Optional Sinking Funds</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w w:val="96"/>
              </w:rPr>
              <w:t>ARTICLE 13</w:t>
            </w:r>
          </w:p>
        </w:tc>
        <w:tc>
          <w:tcPr>
            <w:tcW w:w="52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SUBORDINATION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13.01</w:t>
            </w:r>
          </w:p>
        </w:tc>
        <w:tc>
          <w:tcPr>
            <w:tcW w:w="7740" w:type="dxa"/>
            <w:vAlign w:val="bottom"/>
          </w:tcPr>
          <w:p>
            <w:pPr>
              <w:ind w:left="100"/>
              <w:spacing w:after="0"/>
              <w:rPr>
                <w:sz w:val="20"/>
                <w:szCs w:val="20"/>
                <w:color w:val="auto"/>
              </w:rPr>
            </w:pPr>
            <w:r>
              <w:rPr>
                <w:rFonts w:ascii="Arial" w:cs="Arial" w:eastAsia="Arial" w:hAnsi="Arial"/>
                <w:sz w:val="18"/>
                <w:szCs w:val="18"/>
                <w:color w:val="auto"/>
              </w:rPr>
              <w:t>Agreement of Subordination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13.02</w:t>
            </w:r>
          </w:p>
        </w:tc>
        <w:tc>
          <w:tcPr>
            <w:tcW w:w="7740" w:type="dxa"/>
            <w:vAlign w:val="bottom"/>
          </w:tcPr>
          <w:p>
            <w:pPr>
              <w:ind w:left="100"/>
              <w:spacing w:after="0"/>
              <w:rPr>
                <w:sz w:val="20"/>
                <w:szCs w:val="20"/>
                <w:color w:val="auto"/>
              </w:rPr>
            </w:pPr>
            <w:r>
              <w:rPr>
                <w:rFonts w:ascii="Arial" w:cs="Arial" w:eastAsia="Arial" w:hAnsi="Arial"/>
                <w:sz w:val="18"/>
                <w:szCs w:val="18"/>
                <w:color w:val="auto"/>
              </w:rPr>
              <w:t>Payments to Securityholders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13.03</w:t>
            </w:r>
          </w:p>
        </w:tc>
        <w:tc>
          <w:tcPr>
            <w:tcW w:w="7740" w:type="dxa"/>
            <w:vAlign w:val="bottom"/>
          </w:tcPr>
          <w:p>
            <w:pPr>
              <w:ind w:left="100"/>
              <w:spacing w:after="0"/>
              <w:rPr>
                <w:sz w:val="20"/>
                <w:szCs w:val="20"/>
                <w:color w:val="auto"/>
              </w:rPr>
            </w:pPr>
            <w:r>
              <w:rPr>
                <w:rFonts w:ascii="Arial" w:cs="Arial" w:eastAsia="Arial" w:hAnsi="Arial"/>
                <w:sz w:val="18"/>
                <w:szCs w:val="18"/>
                <w:color w:val="auto"/>
              </w:rPr>
              <w:t>Subrogation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13.04</w:t>
            </w:r>
          </w:p>
        </w:tc>
        <w:tc>
          <w:tcPr>
            <w:tcW w:w="7740" w:type="dxa"/>
            <w:vAlign w:val="bottom"/>
          </w:tcPr>
          <w:p>
            <w:pPr>
              <w:ind w:left="100"/>
              <w:spacing w:after="0"/>
              <w:rPr>
                <w:sz w:val="20"/>
                <w:szCs w:val="20"/>
                <w:color w:val="auto"/>
              </w:rPr>
            </w:pPr>
            <w:r>
              <w:rPr>
                <w:rFonts w:ascii="Arial" w:cs="Arial" w:eastAsia="Arial" w:hAnsi="Arial"/>
                <w:sz w:val="18"/>
                <w:szCs w:val="18"/>
                <w:color w:val="auto"/>
              </w:rPr>
              <w:t>Authorization by Securityholders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13.05</w:t>
            </w:r>
          </w:p>
        </w:tc>
        <w:tc>
          <w:tcPr>
            <w:tcW w:w="7740" w:type="dxa"/>
            <w:vAlign w:val="bottom"/>
          </w:tcPr>
          <w:p>
            <w:pPr>
              <w:ind w:left="100"/>
              <w:spacing w:after="0"/>
              <w:rPr>
                <w:sz w:val="20"/>
                <w:szCs w:val="20"/>
                <w:color w:val="auto"/>
              </w:rPr>
            </w:pPr>
            <w:r>
              <w:rPr>
                <w:rFonts w:ascii="Arial" w:cs="Arial" w:eastAsia="Arial" w:hAnsi="Arial"/>
                <w:sz w:val="18"/>
                <w:szCs w:val="18"/>
                <w:color w:val="auto"/>
              </w:rPr>
              <w:t>Notice to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13.06</w:t>
            </w:r>
          </w:p>
        </w:tc>
        <w:tc>
          <w:tcPr>
            <w:tcW w:w="7740" w:type="dxa"/>
            <w:vAlign w:val="bottom"/>
          </w:tcPr>
          <w:p>
            <w:pPr>
              <w:ind w:left="100"/>
              <w:spacing w:after="0"/>
              <w:rPr>
                <w:sz w:val="20"/>
                <w:szCs w:val="20"/>
                <w:color w:val="auto"/>
              </w:rPr>
            </w:pPr>
            <w:r>
              <w:rPr>
                <w:rFonts w:ascii="Arial" w:cs="Arial" w:eastAsia="Arial" w:hAnsi="Arial"/>
                <w:sz w:val="18"/>
                <w:szCs w:val="18"/>
                <w:color w:val="auto"/>
              </w:rPr>
              <w:t>Trustee’s Relation to Senior Indebtedness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13.07</w:t>
            </w:r>
          </w:p>
        </w:tc>
        <w:tc>
          <w:tcPr>
            <w:tcW w:w="7740" w:type="dxa"/>
            <w:vAlign w:val="bottom"/>
          </w:tcPr>
          <w:p>
            <w:pPr>
              <w:ind w:left="100"/>
              <w:spacing w:after="0"/>
              <w:rPr>
                <w:sz w:val="20"/>
                <w:szCs w:val="20"/>
                <w:color w:val="auto"/>
              </w:rPr>
            </w:pPr>
            <w:r>
              <w:rPr>
                <w:rFonts w:ascii="Arial" w:cs="Arial" w:eastAsia="Arial" w:hAnsi="Arial"/>
                <w:sz w:val="18"/>
                <w:szCs w:val="18"/>
                <w:color w:val="auto"/>
              </w:rPr>
              <w:t>No Impairment of Subordination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000" w:type="dxa"/>
            <w:vAlign w:val="bottom"/>
          </w:tcPr>
          <w:p>
            <w:pPr>
              <w:ind w:left="420"/>
              <w:spacing w:after="0"/>
              <w:rPr>
                <w:sz w:val="20"/>
                <w:szCs w:val="20"/>
                <w:color w:val="auto"/>
              </w:rPr>
            </w:pPr>
            <w:r>
              <w:rPr>
                <w:rFonts w:ascii="Arial" w:cs="Arial" w:eastAsia="Arial" w:hAnsi="Arial"/>
                <w:sz w:val="18"/>
                <w:szCs w:val="18"/>
                <w:color w:val="auto"/>
                <w:w w:val="93"/>
              </w:rPr>
              <w:t>Section</w:t>
            </w:r>
          </w:p>
        </w:tc>
        <w:tc>
          <w:tcPr>
            <w:tcW w:w="520" w:type="dxa"/>
            <w:vAlign w:val="bottom"/>
          </w:tcPr>
          <w:p>
            <w:pPr>
              <w:ind w:left="20"/>
              <w:spacing w:after="0"/>
              <w:rPr>
                <w:sz w:val="20"/>
                <w:szCs w:val="20"/>
                <w:color w:val="auto"/>
              </w:rPr>
            </w:pPr>
            <w:r>
              <w:rPr>
                <w:rFonts w:ascii="Arial" w:cs="Arial" w:eastAsia="Arial" w:hAnsi="Arial"/>
                <w:sz w:val="18"/>
                <w:szCs w:val="18"/>
                <w:color w:val="auto"/>
              </w:rPr>
              <w:t>13.08</w:t>
            </w:r>
          </w:p>
        </w:tc>
        <w:tc>
          <w:tcPr>
            <w:tcW w:w="7740" w:type="dxa"/>
            <w:vAlign w:val="bottom"/>
          </w:tcPr>
          <w:p>
            <w:pPr>
              <w:ind w:left="100"/>
              <w:spacing w:after="0"/>
              <w:rPr>
                <w:sz w:val="20"/>
                <w:szCs w:val="20"/>
                <w:color w:val="auto"/>
              </w:rPr>
            </w:pPr>
            <w:r>
              <w:rPr>
                <w:rFonts w:ascii="Arial" w:cs="Arial" w:eastAsia="Arial" w:hAnsi="Arial"/>
                <w:sz w:val="18"/>
                <w:szCs w:val="18"/>
                <w:color w:val="auto"/>
              </w:rPr>
              <w:t>Rights of Trustee</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37" w:name="page138"/>
    <w:bookmarkEnd w:id="137"/>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dated as of</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6"/>
          <w:szCs w:val="16"/>
          <w:color w:val="auto"/>
        </w:rPr>
        <w:t>between Fulcrum Therapeutics,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-198755</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w:t>
      </w:r>
    </w:p>
    <w:p>
      <w:pPr>
        <w:spacing w:after="0" w:line="46" w:lineRule="exact"/>
        <w:rPr>
          <w:sz w:val="20"/>
          <w:szCs w:val="20"/>
          <w:color w:val="auto"/>
        </w:rPr>
      </w:pPr>
    </w:p>
    <w:p>
      <w:pPr>
        <w:sectPr>
          <w:pgSz w:w="11900" w:h="16838" w:orient="portrait"/>
          <w:cols w:equalWidth="0" w:num="3">
            <w:col w:w="3040" w:space="720"/>
            <w:col w:w="5960" w:space="720"/>
            <w:col w:w="560"/>
          </w:cols>
          <w:pgMar w:left="440" w:top="270" w:right="459" w:bottom="1440" w:gutter="0" w:footer="0" w:header="0"/>
        </w:sectPr>
      </w:pPr>
    </w:p>
    <w:p>
      <w:pPr>
        <w:ind w:left="94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WHEREAS, the Issuer may from time to time duly authorize the issue of its unsecured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w:t>
      </w:r>
      <w:r>
        <w:rPr>
          <w:rFonts w:ascii="Arial" w:cs="Arial" w:eastAsia="Arial" w:hAnsi="Arial"/>
          <w:sz w:val="16"/>
          <w:szCs w:val="16"/>
          <w:color w:val="auto"/>
        </w:rPr>
        <w:t xml:space="preserve"> </w:t>
      </w:r>
      <w:r>
        <w:rPr>
          <w:rFonts w:ascii="Arial" w:cs="Arial" w:eastAsia="Arial" w:hAnsi="Arial"/>
          <w:sz w:val="16"/>
          <w:szCs w:val="16"/>
          <w:b w:val="1"/>
          <w:bCs w:val="1"/>
          <w:color w:val="auto"/>
        </w:rPr>
        <w:t>principles</w:t>
      </w:r>
      <w:r>
        <w:rPr>
          <w:rFonts w:ascii="Arial" w:cs="Arial" w:eastAsia="Arial" w:hAnsi="Arial"/>
          <w:sz w:val="16"/>
          <w:szCs w:val="16"/>
          <w:color w:val="auto"/>
        </w:rPr>
        <w:t>” means such accounting principles as are generally accepted in the United States at the time of any computation. The words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64"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means any additional amounts that are required by this Indenture or by any Security, under circumstances specified herein or therein, to be paid by the Issuer in respect of certain taxes, assessments or other governmental charges imposed on Holders specified therein and which are owing to such Holders.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type w:val="continuous"/>
        </w:sectPr>
      </w:pPr>
    </w:p>
    <w:bookmarkStart w:id="138" w:name="page139"/>
    <w:bookmarkEnd w:id="138"/>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 Depositary, as to any matter at any time, the policies and procedures of such Depositary, if any, that are applicable to such matter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either the Board of Directors of the Issuer or any committee of such Board duly authorized to act on its behalf.</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62"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16"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4"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76"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$0.001 per share, of the Issuer as the same exists at the date of execution and delivery of this Indenture or as such stock may be reconstituted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w:t>
      </w:r>
    </w:p>
    <w:p>
      <w:pPr>
        <w:spacing w:after="0" w:line="50" w:lineRule="exact"/>
        <w:rPr>
          <w:sz w:val="20"/>
          <w:szCs w:val="20"/>
          <w:color w:val="auto"/>
        </w:rPr>
      </w:pPr>
    </w:p>
    <w:p>
      <w:pPr>
        <w:spacing w:after="0"/>
        <w:tabs>
          <w:tab w:leader="none" w:pos="7960" w:val="left"/>
        </w:tabs>
        <w:rPr>
          <w:sz w:val="20"/>
          <w:szCs w:val="20"/>
          <w:color w:val="auto"/>
        </w:rPr>
      </w:pPr>
      <w:r>
        <w:rPr>
          <w:rFonts w:ascii="Arial" w:cs="Arial" w:eastAsia="Arial" w:hAnsi="Arial"/>
          <w:sz w:val="18"/>
          <w:szCs w:val="18"/>
          <w:color w:val="auto"/>
        </w:rPr>
        <w:t>principally administered, which office is, at the date as of which this Indenture is dated, located at</w:t>
      </w:r>
      <w:r>
        <w:rPr>
          <w:sz w:val="20"/>
          <w:szCs w:val="20"/>
          <w:color w:val="auto"/>
        </w:rPr>
        <w:tab/>
      </w:r>
      <w:r>
        <w:rPr>
          <w:rFonts w:ascii="Arial" w:cs="Arial" w:eastAsia="Arial" w:hAnsi="Arial"/>
          <w:sz w:val="13"/>
          <w:szCs w:val="13"/>
          <w:color w:val="auto"/>
        </w:rPr>
        <w:t>.</w:t>
      </w:r>
    </w:p>
    <w:p>
      <w:pPr>
        <w:spacing w:after="0" w:line="20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w:t>
      </w:r>
      <w:r>
        <w:rPr>
          <w:rFonts w:ascii="Arial" w:cs="Arial" w:eastAsia="Arial" w:hAnsi="Arial"/>
          <w:sz w:val="17"/>
          <w:szCs w:val="17"/>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39" w:name="page140"/>
    <w:bookmarkEnd w:id="139"/>
    <w:p>
      <w:pPr>
        <w:ind w:right="2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Global Securities of that series.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Government Obligation</w:t>
      </w:r>
      <w:r>
        <w:rPr>
          <w:rFonts w:ascii="Arial" w:cs="Arial" w:eastAsia="Arial" w:hAnsi="Arial"/>
          <w:sz w:val="16"/>
          <w:szCs w:val="16"/>
          <w:color w:val="auto"/>
        </w:rPr>
        <w:t>” means (a) a direct obligation of the government of a 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59"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when used with respect to non-interest bearing Securities, refers to interest payable after maturity, if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40" w:name="page141"/>
    <w:bookmarkEnd w:id="1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with respect to any Security, means the Stated Maturity of an installment of interest on such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Fulcrum Therapeutics, Inc., a Delaware corporation, and, subject to Article 9, its successors and assigns.</w:t>
      </w:r>
    </w:p>
    <w:p>
      <w:pPr>
        <w:spacing w:after="0" w:line="225"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shall have the meaning set forth in Section 5.01(c).</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58"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58"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6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166" w:lineRule="exact"/>
        <w:rPr>
          <w:sz w:val="20"/>
          <w:szCs w:val="20"/>
          <w:color w:val="auto"/>
        </w:rPr>
      </w:pPr>
    </w:p>
    <w:p>
      <w:pPr>
        <w:ind w:left="1240" w:hanging="253"/>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jc w:val="both"/>
        <w:ind w:firstLine="987"/>
        <w:spacing w:after="0" w:line="296" w:lineRule="auto"/>
        <w:tabs>
          <w:tab w:leader="none" w:pos="124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141" w:name="page142"/>
    <w:bookmarkEnd w:id="141"/>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as to which Legal Defeasance shall have been effected pursuant to Section 10.01(b);</w:t>
      </w:r>
    </w:p>
    <w:p>
      <w:pPr>
        <w:spacing w:after="0" w:line="225" w:lineRule="exact"/>
        <w:rPr>
          <w:rFonts w:ascii="Arial" w:cs="Arial" w:eastAsia="Arial" w:hAnsi="Arial"/>
          <w:sz w:val="18"/>
          <w:szCs w:val="18"/>
          <w:color w:val="auto"/>
        </w:rPr>
      </w:pPr>
    </w:p>
    <w:p>
      <w:pPr>
        <w:jc w:val="both"/>
        <w:ind w:right="380" w:firstLine="987"/>
        <w:spacing w:after="0" w:line="279" w:lineRule="auto"/>
        <w:tabs>
          <w:tab w:leader="none" w:pos="12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71" w:lineRule="exact"/>
        <w:rPr>
          <w:rFonts w:ascii="Arial" w:cs="Arial" w:eastAsia="Arial" w:hAnsi="Arial"/>
          <w:sz w:val="17"/>
          <w:szCs w:val="17"/>
          <w:color w:val="auto"/>
        </w:rPr>
      </w:pPr>
    </w:p>
    <w:p>
      <w:pPr>
        <w:ind w:firstLine="987"/>
        <w:spacing w:after="0" w:line="342" w:lineRule="auto"/>
        <w:tabs>
          <w:tab w:leader="none" w:pos="12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7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shall have the meaning set forth in Section 2.07.</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42" w:name="page143"/>
    <w:bookmarkEnd w:id="142"/>
    <w:p>
      <w:pPr>
        <w:ind w:right="8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4.01(b).</w:t>
      </w:r>
    </w:p>
    <w:p>
      <w:pPr>
        <w:spacing w:after="0" w:line="225"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of a Person means the principal of, premium, if any, interest on, and any other payment due pursuant to any of the following, whether outstanding at the date hereof or hereafter incurred or created:</w:t>
      </w:r>
    </w:p>
    <w:p>
      <w:pPr>
        <w:spacing w:after="0" w:line="166" w:lineRule="exact"/>
        <w:rPr>
          <w:sz w:val="20"/>
          <w:szCs w:val="20"/>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211" w:lineRule="exact"/>
        <w:rPr>
          <w:sz w:val="20"/>
          <w:szCs w:val="20"/>
          <w:color w:val="auto"/>
        </w:rPr>
      </w:pPr>
    </w:p>
    <w:p>
      <w:pPr>
        <w:ind w:right="40" w:firstLine="987"/>
        <w:spacing w:after="0" w:line="263"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183" w:lineRule="exact"/>
        <w:rPr>
          <w:rFonts w:ascii="Arial" w:cs="Arial" w:eastAsia="Arial" w:hAnsi="Arial"/>
          <w:sz w:val="18"/>
          <w:szCs w:val="18"/>
          <w:color w:val="auto"/>
        </w:rPr>
      </w:pPr>
    </w:p>
    <w:p>
      <w:pPr>
        <w:ind w:right="320" w:firstLine="987"/>
        <w:spacing w:after="0" w:line="277" w:lineRule="auto"/>
        <w:tabs>
          <w:tab w:leader="none" w:pos="12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70"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or guarantee relating to it expressly provides that such indebtedness, lease, renewal, extension or refunding is not superior in right of payment to the Securities.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76" w:lineRule="exact"/>
        <w:rPr>
          <w:sz w:val="20"/>
          <w:szCs w:val="20"/>
          <w:color w:val="auto"/>
        </w:rPr>
      </w:pPr>
    </w:p>
    <w:p>
      <w:pPr>
        <w:ind w:right="2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43" w:name="page144"/>
    <w:bookmarkEnd w:id="143"/>
    <w:p>
      <w:pPr>
        <w:ind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62"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14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44" w:name="page145"/>
    <w:bookmarkEnd w:id="144"/>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71" w:lineRule="exact"/>
        <w:rPr>
          <w:sz w:val="20"/>
          <w:szCs w:val="20"/>
          <w:color w:val="auto"/>
        </w:rPr>
      </w:pPr>
    </w:p>
    <w:p>
      <w:pPr>
        <w:ind w:left="1240" w:hanging="253"/>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225" w:lineRule="exact"/>
        <w:rPr>
          <w:rFonts w:ascii="Arial" w:cs="Arial" w:eastAsia="Arial" w:hAnsi="Arial"/>
          <w:sz w:val="18"/>
          <w:szCs w:val="18"/>
          <w:color w:val="auto"/>
        </w:rPr>
      </w:pPr>
    </w:p>
    <w:p>
      <w:pPr>
        <w:ind w:firstLine="987"/>
        <w:spacing w:after="0" w:line="263"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83" w:lineRule="exact"/>
        <w:rPr>
          <w:rFonts w:ascii="Arial" w:cs="Arial" w:eastAsia="Arial" w:hAnsi="Arial"/>
          <w:sz w:val="18"/>
          <w:szCs w:val="18"/>
          <w:color w:val="auto"/>
        </w:rPr>
      </w:pPr>
    </w:p>
    <w:p>
      <w:pPr>
        <w:ind w:right="260" w:firstLine="987"/>
        <w:spacing w:after="0" w:line="277" w:lineRule="auto"/>
        <w:tabs>
          <w:tab w:leader="none" w:pos="12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used to determine those dates and the right, if any, to extend such date or dates;</w:t>
      </w:r>
    </w:p>
    <w:p>
      <w:pPr>
        <w:spacing w:after="0" w:line="170" w:lineRule="exact"/>
        <w:rPr>
          <w:rFonts w:ascii="Arial" w:cs="Arial" w:eastAsia="Arial" w:hAnsi="Arial"/>
          <w:sz w:val="18"/>
          <w:szCs w:val="18"/>
          <w:color w:val="auto"/>
        </w:rPr>
      </w:pPr>
    </w:p>
    <w:p>
      <w:pPr>
        <w:ind w:right="60" w:firstLine="987"/>
        <w:spacing w:after="0" w:line="257"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interest on Securities of the series shall be payable (if other than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3.02);</w:t>
      </w:r>
    </w:p>
    <w:p>
      <w:pPr>
        <w:spacing w:after="0" w:line="210" w:lineRule="exact"/>
        <w:rPr>
          <w:rFonts w:ascii="Arial" w:cs="Arial" w:eastAsia="Arial" w:hAnsi="Arial"/>
          <w:sz w:val="17"/>
          <w:szCs w:val="17"/>
          <w:color w:val="auto"/>
        </w:rPr>
      </w:pPr>
    </w:p>
    <w:p>
      <w:pPr>
        <w:ind w:right="220" w:firstLine="987"/>
        <w:spacing w:after="0" w:line="259" w:lineRule="auto"/>
        <w:tabs>
          <w:tab w:leader="none" w:pos="121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45" w:name="page146"/>
    <w:bookmarkEnd w:id="145"/>
    <w:p>
      <w:pPr>
        <w:ind w:right="160" w:firstLine="987"/>
        <w:spacing w:after="0" w:line="277" w:lineRule="auto"/>
        <w:tabs>
          <w:tab w:leader="none" w:pos="1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other than denominations of $2,000 and any integral multiple of $1,000 in excess thereof, the denominations in which Securities of the series shall be issuable;</w:t>
      </w:r>
    </w:p>
    <w:p>
      <w:pPr>
        <w:spacing w:after="0" w:line="170"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other than Dollars, the currency, currencies or currency units in which the Securities of the series are denominated;</w:t>
      </w:r>
    </w:p>
    <w:p>
      <w:pPr>
        <w:spacing w:after="0" w:line="225" w:lineRule="exact"/>
        <w:rPr>
          <w:rFonts w:ascii="Arial" w:cs="Arial" w:eastAsia="Arial" w:hAnsi="Arial"/>
          <w:sz w:val="18"/>
          <w:szCs w:val="18"/>
          <w:color w:val="auto"/>
        </w:rPr>
      </w:pPr>
    </w:p>
    <w:p>
      <w:pPr>
        <w:ind w:right="280" w:firstLine="987"/>
        <w:spacing w:after="0" w:line="277" w:lineRule="auto"/>
        <w:tabs>
          <w:tab w:leader="none" w:pos="12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the series are denominated, the currency in which payment of the principal of or interest on the Securities of such series shall be payable;</w:t>
      </w:r>
    </w:p>
    <w:p>
      <w:pPr>
        <w:spacing w:after="0" w:line="170"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83" w:lineRule="exact"/>
        <w:rPr>
          <w:rFonts w:ascii="Arial" w:cs="Arial" w:eastAsia="Arial" w:hAnsi="Arial"/>
          <w:sz w:val="18"/>
          <w:szCs w:val="18"/>
          <w:color w:val="auto"/>
        </w:rPr>
      </w:pPr>
    </w:p>
    <w:p>
      <w:pPr>
        <w:jc w:val="both"/>
        <w:ind w:right="80" w:firstLine="987"/>
        <w:spacing w:after="0" w:line="263" w:lineRule="auto"/>
        <w:tabs>
          <w:tab w:leader="none" w:pos="12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83" w:lineRule="exact"/>
        <w:rPr>
          <w:rFonts w:ascii="Arial" w:cs="Arial" w:eastAsia="Arial" w:hAnsi="Arial"/>
          <w:sz w:val="18"/>
          <w:szCs w:val="18"/>
          <w:color w:val="auto"/>
        </w:rPr>
      </w:pPr>
    </w:p>
    <w:p>
      <w:pPr>
        <w:ind w:right="360" w:firstLine="987"/>
        <w:spacing w:after="0" w:line="263" w:lineRule="auto"/>
        <w:tabs>
          <w:tab w:leader="none" w:pos="12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83" w:lineRule="exact"/>
        <w:rPr>
          <w:rFonts w:ascii="Arial" w:cs="Arial" w:eastAsia="Arial" w:hAnsi="Arial"/>
          <w:sz w:val="18"/>
          <w:szCs w:val="18"/>
          <w:color w:val="auto"/>
        </w:rPr>
      </w:pPr>
    </w:p>
    <w:p>
      <w:pPr>
        <w:ind w:firstLine="987"/>
        <w:spacing w:after="0" w:line="311" w:lineRule="auto"/>
        <w:tabs>
          <w:tab w:leader="none" w:pos="12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Sections 10.01(b) or 10.01(c) are inapplicable to Securities of such series;</w:t>
      </w:r>
    </w:p>
    <w:p>
      <w:pPr>
        <w:spacing w:after="0" w:line="225" w:lineRule="exact"/>
        <w:rPr>
          <w:rFonts w:ascii="Arial" w:cs="Arial" w:eastAsia="Arial" w:hAnsi="Arial"/>
          <w:sz w:val="18"/>
          <w:szCs w:val="18"/>
          <w:color w:val="auto"/>
        </w:rPr>
      </w:pPr>
    </w:p>
    <w:p>
      <w:pPr>
        <w:ind w:firstLine="987"/>
        <w:spacing w:after="0" w:line="277" w:lineRule="auto"/>
        <w:tabs>
          <w:tab w:leader="none" w:pos="1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and, if so, whether the Issuer will have the option to redeem such Securities rather than pay such additional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6" w:name="page147"/>
    <w:bookmarkEnd w:id="146"/>
    <w:p>
      <w:pPr>
        <w:ind w:right="180" w:firstLine="987"/>
        <w:spacing w:after="0" w:line="263"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89"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any other agents with respect to the Securities of such series;</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events of default or covenants with respect to the Securities of such series in addition to or in lieu of those contained in this Indenture;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extent to which payments on the Securities will be subordinated to the payment of Senior Indebtedness of the Issuer; and</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8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an Issuer Order requesting such authentication and setting forth delivery instructions if the Securities are not to be delivered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right="660"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Board Resolution, Officer’s Certificate and/or executed supplemental indenture referred to in Sections 2.01 and 2.03 by or pursuant to which the forms and terms of the Securities were established;</w:t>
      </w:r>
    </w:p>
    <w:p>
      <w:pPr>
        <w:spacing w:after="0" w:line="170" w:lineRule="exact"/>
        <w:rPr>
          <w:rFonts w:ascii="Arial" w:cs="Arial" w:eastAsia="Arial" w:hAnsi="Arial"/>
          <w:sz w:val="18"/>
          <w:szCs w:val="18"/>
          <w:color w:val="auto"/>
        </w:rPr>
      </w:pPr>
    </w:p>
    <w:p>
      <w:pPr>
        <w:ind w:right="80" w:firstLine="987"/>
        <w:spacing w:after="0" w:line="263"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7" w:name="page148"/>
    <w:bookmarkEnd w:id="147"/>
    <w:p>
      <w:pPr>
        <w:ind w:left="1240" w:hanging="253"/>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Opinion of Counsel to the effect that:</w:t>
      </w:r>
    </w:p>
    <w:p>
      <w:pPr>
        <w:spacing w:after="0" w:line="117" w:lineRule="exact"/>
        <w:rPr>
          <w:rFonts w:ascii="Arial" w:cs="Arial" w:eastAsia="Arial" w:hAnsi="Arial"/>
          <w:sz w:val="18"/>
          <w:szCs w:val="18"/>
          <w:color w:val="auto"/>
        </w:rPr>
      </w:pPr>
    </w:p>
    <w:p>
      <w:pPr>
        <w:ind w:left="980" w:right="320" w:firstLine="408"/>
        <w:spacing w:after="0" w:line="277" w:lineRule="auto"/>
        <w:tabs>
          <w:tab w:leader="none" w:pos="159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pursuant to Sections 2.01 and 2.03 and comply with this Indenture,</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authentication and delivery of such Securities by the Trustee are authorized under the provisions of this Indenture, and</w:t>
      </w:r>
    </w:p>
    <w:p>
      <w:pPr>
        <w:spacing w:after="0" w:line="128" w:lineRule="exact"/>
        <w:rPr>
          <w:rFonts w:ascii="Arial" w:cs="Arial" w:eastAsia="Arial" w:hAnsi="Arial"/>
          <w:sz w:val="17"/>
          <w:szCs w:val="17"/>
          <w:color w:val="auto"/>
        </w:rPr>
      </w:pPr>
    </w:p>
    <w:p>
      <w:pPr>
        <w:ind w:left="980" w:right="520" w:firstLine="408"/>
        <w:spacing w:after="0" w:line="308" w:lineRule="auto"/>
        <w:tabs>
          <w:tab w:leader="none" w:pos="1696" w:val="left"/>
        </w:tabs>
        <w:numPr>
          <w:ilvl w:val="1"/>
          <w:numId w:val="81"/>
        </w:numPr>
        <w:rPr>
          <w:rFonts w:ascii="Arial" w:cs="Arial" w:eastAsia="Arial" w:hAnsi="Arial"/>
          <w:sz w:val="17"/>
          <w:szCs w:val="17"/>
          <w:color w:val="auto"/>
        </w:rPr>
      </w:pPr>
      <w:r>
        <w:rPr>
          <w:rFonts w:ascii="Arial" w:cs="Arial" w:eastAsia="Arial" w:hAnsi="Arial"/>
          <w:sz w:val="17"/>
          <w:szCs w:val="17"/>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4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any vice chairman of its Board of Directors,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48" w:name="page149"/>
    <w:bookmarkEnd w:id="148"/>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6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7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r>
        <w:rPr>
          <w:rFonts w:ascii="Arial" w:cs="Arial" w:eastAsia="Arial" w:hAnsi="Arial"/>
          <w:sz w:val="18"/>
          <w:szCs w:val="18"/>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4" w:right="539" w:bottom="1440" w:gutter="0" w:footer="0" w:header="0"/>
        </w:sectPr>
      </w:pPr>
    </w:p>
    <w:bookmarkStart w:id="149" w:name="page150"/>
    <w:bookmarkEnd w:id="149"/>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8"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84"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50" w:name="page151"/>
    <w:bookmarkEnd w:id="150"/>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88"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57" w:lineRule="exact"/>
        <w:rPr>
          <w:sz w:val="20"/>
          <w:szCs w:val="20"/>
          <w:color w:val="auto"/>
        </w:rPr>
      </w:pPr>
    </w:p>
    <w:p>
      <w:pPr>
        <w:jc w:val="both"/>
        <w:ind w:left="980" w:right="280" w:firstLine="408"/>
        <w:spacing w:after="0" w:line="263" w:lineRule="auto"/>
        <w:tabs>
          <w:tab w:leader="none" w:pos="15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75" w:lineRule="exact"/>
        <w:rPr>
          <w:rFonts w:ascii="Arial" w:cs="Arial" w:eastAsia="Arial" w:hAnsi="Arial"/>
          <w:sz w:val="18"/>
          <w:szCs w:val="18"/>
          <w:color w:val="auto"/>
        </w:rPr>
      </w:pPr>
    </w:p>
    <w:p>
      <w:pPr>
        <w:ind w:left="980" w:right="180" w:firstLine="408"/>
        <w:spacing w:after="0" w:line="342" w:lineRule="auto"/>
        <w:tabs>
          <w:tab w:leader="none" w:pos="16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51" w:name="page152"/>
    <w:bookmarkEnd w:id="151"/>
    <w:p>
      <w:pPr>
        <w:ind w:right="2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81"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52" w:name="page153"/>
    <w:bookmarkEnd w:id="15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2"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9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6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i w:val="1"/>
          <w:iCs w:val="1"/>
          <w:color w:val="auto"/>
        </w:rPr>
        <w:t>CUSIP Numbers</w:t>
      </w:r>
      <w:r>
        <w:rPr>
          <w:rFonts w:ascii="Arial" w:cs="Arial" w:eastAsia="Arial" w:hAnsi="Arial"/>
          <w:sz w:val="16"/>
          <w:szCs w:val="16"/>
          <w:color w:val="auto"/>
        </w:rPr>
        <w:t>.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ISSUER</w:t>
      </w:r>
    </w:p>
    <w:p>
      <w:pPr>
        <w:spacing w:after="0" w:line="211"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Issuer covenants and agrees for the benefit of each series of Securities that it will duly and punctually pay or cause to be paid the principal of, and interest on, each of the Securities of such series (together with any additional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53" w:name="page154"/>
    <w:bookmarkEnd w:id="15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71" w:lineRule="exact"/>
        <w:rPr>
          <w:sz w:val="20"/>
          <w:szCs w:val="20"/>
          <w:color w:val="auto"/>
        </w:rPr>
      </w:pPr>
    </w:p>
    <w:p>
      <w:pPr>
        <w:ind w:left="440"/>
        <w:spacing w:after="0"/>
        <w:tabs>
          <w:tab w:leader="none" w:pos="6380" w:val="left"/>
        </w:tabs>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xml:space="preserve"> The Issuer will maintain (i) in</w:t>
      </w:r>
      <w:r>
        <w:rPr>
          <w:sz w:val="20"/>
          <w:szCs w:val="20"/>
          <w:color w:val="auto"/>
        </w:rPr>
        <w:tab/>
      </w:r>
      <w:r>
        <w:rPr>
          <w:rFonts w:ascii="Arial" w:cs="Arial" w:eastAsia="Arial" w:hAnsi="Arial"/>
          <w:sz w:val="15"/>
          <w:szCs w:val="15"/>
          <w:color w:val="auto"/>
        </w:rPr>
        <w:t>, an agency where the Securities of each series may be</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ectPr>
          <w:pgSz w:w="11900" w:h="16838" w:orient="portrait"/>
          <w:cols w:equalWidth="0" w:num="1">
            <w:col w:w="10980"/>
          </w:cols>
          <w:pgMar w:left="440" w:top="274" w:right="479" w:bottom="1440" w:gutter="0" w:footer="0" w:header="0"/>
        </w:sectPr>
      </w:pPr>
    </w:p>
    <w:p>
      <w:pPr>
        <w:spacing w:after="0" w:line="173"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Issuer will maintain in this Indenture may be served.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an agency where notices and demands to or upon the Issuer in respect of the Securities of any series or</w:t>
      </w:r>
    </w:p>
    <w:p>
      <w:pPr>
        <w:spacing w:after="0" w:line="464" w:lineRule="exact"/>
        <w:rPr>
          <w:sz w:val="20"/>
          <w:szCs w:val="20"/>
          <w:color w:val="auto"/>
        </w:rPr>
      </w:pPr>
    </w:p>
    <w:p>
      <w:pPr>
        <w:sectPr>
          <w:pgSz w:w="11900" w:h="16838" w:orient="portrait"/>
          <w:cols w:equalWidth="0" w:num="2">
            <w:col w:w="2600" w:space="720"/>
            <w:col w:w="7660"/>
          </w:cols>
          <w:pgMar w:left="440" w:top="274" w:right="4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The Issuer will give to the Trustee written notice of the location of each such agency and of any change of location thereof. In case the Issuer shall</w:t>
      </w:r>
    </w:p>
    <w:p>
      <w:pPr>
        <w:spacing w:after="0" w:line="46" w:lineRule="exact"/>
        <w:rPr>
          <w:sz w:val="20"/>
          <w:szCs w:val="20"/>
          <w:color w:val="auto"/>
        </w:rPr>
      </w:pPr>
    </w:p>
    <w:p>
      <w:pPr>
        <w:jc w:val="both"/>
        <w:ind w:right="80"/>
        <w:spacing w:after="0" w:line="323" w:lineRule="auto"/>
        <w:rPr>
          <w:sz w:val="20"/>
          <w:szCs w:val="20"/>
          <w:color w:val="auto"/>
        </w:rPr>
      </w:pPr>
      <w:r>
        <w:rPr>
          <w:rFonts w:ascii="Arial" w:cs="Arial" w:eastAsia="Arial" w:hAnsi="Arial"/>
          <w:sz w:val="16"/>
          <w:szCs w:val="16"/>
          <w:color w:val="auto"/>
        </w:rPr>
        <w:t>fail to maintain any agency required by this Section to be located in , or shall fail to give such notice of the location or of any change in the location of any of the above agencies, presentations and demands may be made and notices may be served at the Corporate Trust Office of the Trustee.</w:t>
      </w:r>
    </w:p>
    <w:p>
      <w:pPr>
        <w:spacing w:after="0" w:line="13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4" w:lineRule="exact"/>
        <w:rPr>
          <w:sz w:val="20"/>
          <w:szCs w:val="20"/>
          <w:color w:val="auto"/>
        </w:rPr>
      </w:pPr>
    </w:p>
    <w:p>
      <w:pPr>
        <w:ind w:right="220" w:firstLine="987"/>
        <w:spacing w:after="0" w:line="263"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type w:val="continuous"/>
        </w:sectPr>
      </w:pPr>
    </w:p>
    <w:bookmarkStart w:id="154" w:name="page155"/>
    <w:bookmarkEnd w:id="154"/>
    <w:p>
      <w:pPr>
        <w:ind w:right="300" w:firstLine="987"/>
        <w:spacing w:after="0" w:line="277"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0"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at any time during the continuance of any such failure, upon the written request of the Trustee, it will forthwith pay to the Trustee all sums so held in trust by such paying agent.</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Written Statement to Trustee.</w:t>
      </w:r>
      <w:r>
        <w:rPr>
          <w:rFonts w:ascii="Arial" w:cs="Arial" w:eastAsia="Arial" w:hAnsi="Arial"/>
          <w:sz w:val="17"/>
          <w:szCs w:val="17"/>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 BY THE ISSUER AND THE TRUSTEE</w:t>
      </w:r>
    </w:p>
    <w:p>
      <w:pPr>
        <w:spacing w:after="0" w:line="21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84" w:lineRule="exact"/>
        <w:rPr>
          <w:sz w:val="20"/>
          <w:szCs w:val="20"/>
          <w:color w:val="auto"/>
        </w:rPr>
      </w:pPr>
    </w:p>
    <w:p>
      <w:pPr>
        <w:ind w:right="40" w:firstLine="987"/>
        <w:spacing w:after="0" w:line="308"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46" w:lineRule="exact"/>
        <w:rPr>
          <w:rFonts w:ascii="Arial" w:cs="Arial" w:eastAsia="Arial" w:hAnsi="Arial"/>
          <w:sz w:val="17"/>
          <w:szCs w:val="17"/>
          <w:color w:val="auto"/>
        </w:rPr>
      </w:pPr>
    </w:p>
    <w:p>
      <w:pPr>
        <w:ind w:right="80" w:firstLine="987"/>
        <w:spacing w:after="0" w:line="263" w:lineRule="auto"/>
        <w:tabs>
          <w:tab w:leader="none" w:pos="12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and so long as the Trustee shall be the Security registrar (the </w:t>
      </w:r>
      <w:r>
        <w:rPr>
          <w:rFonts w:ascii="Arial" w:cs="Arial" w:eastAsia="Arial" w:hAnsi="Arial"/>
          <w:sz w:val="18"/>
          <w:szCs w:val="18"/>
          <w:b w:val="1"/>
          <w:bCs w:val="1"/>
          <w:color w:val="auto"/>
        </w:rPr>
        <w:t>“Security Registrar”</w:t>
      </w:r>
      <w:r>
        <w:rPr>
          <w:rFonts w:ascii="Arial" w:cs="Arial" w:eastAsia="Arial" w:hAnsi="Arial"/>
          <w:sz w:val="18"/>
          <w:szCs w:val="18"/>
          <w:color w:val="auto"/>
        </w:rPr>
        <w:t>) for such series, such list shall not be required to be furnished.</w:t>
      </w:r>
    </w:p>
    <w:p>
      <w:pPr>
        <w:spacing w:after="0" w:line="18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Reports by the Trustee.</w:t>
      </w:r>
      <w:r>
        <w:rPr>
          <w:rFonts w:ascii="Arial" w:cs="Arial" w:eastAsia="Arial" w:hAnsi="Arial"/>
          <w:sz w:val="16"/>
          <w:szCs w:val="16"/>
          <w:color w:val="auto"/>
        </w:rPr>
        <w:t xml:space="preserve"> Any Trustee’s report required under Section 313(a) of the Trust Indenture Act of 1939 shall be transmitted on</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or before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19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Preservation of Information; Communication with Securityholders.</w:t>
      </w:r>
      <w:r>
        <w:rPr>
          <w:rFonts w:ascii="Arial" w:cs="Arial" w:eastAsia="Arial" w:hAnsi="Arial"/>
          <w:sz w:val="18"/>
          <w:szCs w:val="18"/>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92" w:lineRule="exact"/>
        <w:rPr>
          <w:sz w:val="20"/>
          <w:szCs w:val="20"/>
          <w:color w:val="auto"/>
        </w:rPr>
      </w:pPr>
    </w:p>
    <w:p>
      <w:pPr>
        <w:ind w:left="1420" w:hanging="43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4.01 upon receipt of a new list so furnished.</w:t>
      </w:r>
    </w:p>
    <w:p>
      <w:pPr>
        <w:spacing w:after="0" w:line="130" w:lineRule="exact"/>
        <w:rPr>
          <w:rFonts w:ascii="Arial" w:cs="Arial" w:eastAsia="Arial" w:hAnsi="Arial"/>
          <w:sz w:val="18"/>
          <w:szCs w:val="18"/>
          <w:color w:val="auto"/>
        </w:rPr>
      </w:pPr>
    </w:p>
    <w:p>
      <w:pPr>
        <w:ind w:left="1420" w:right="60" w:hanging="439"/>
        <w:spacing w:after="0" w:line="263"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0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right="180" w:firstLine="987"/>
        <w:spacing w:after="0" w:line="263" w:lineRule="auto"/>
        <w:tabs>
          <w:tab w:leader="none" w:pos="12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83"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83" w:lineRule="exact"/>
        <w:rPr>
          <w:rFonts w:ascii="Arial" w:cs="Arial" w:eastAsia="Arial" w:hAnsi="Arial"/>
          <w:sz w:val="18"/>
          <w:szCs w:val="18"/>
          <w:color w:val="auto"/>
        </w:rPr>
      </w:pPr>
    </w:p>
    <w:p>
      <w:pPr>
        <w:ind w:firstLine="987"/>
        <w:spacing w:after="0" w:line="296" w:lineRule="auto"/>
        <w:tabs>
          <w:tab w:leader="none" w:pos="1236"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161" w:lineRule="exact"/>
        <w:rPr>
          <w:rFonts w:ascii="Arial" w:cs="Arial" w:eastAsia="Arial" w:hAnsi="Arial"/>
          <w:sz w:val="16"/>
          <w:szCs w:val="16"/>
          <w:color w:val="auto"/>
        </w:rPr>
      </w:pPr>
    </w:p>
    <w:p>
      <w:pPr>
        <w:ind w:right="100" w:firstLine="987"/>
        <w:spacing w:after="0" w:line="279" w:lineRule="auto"/>
        <w:tabs>
          <w:tab w:leader="none" w:pos="1246"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71" w:lineRule="exact"/>
        <w:rPr>
          <w:rFonts w:ascii="Arial" w:cs="Arial" w:eastAsia="Arial" w:hAnsi="Arial"/>
          <w:sz w:val="17"/>
          <w:szCs w:val="17"/>
          <w:color w:val="auto"/>
        </w:rPr>
      </w:pPr>
    </w:p>
    <w:p>
      <w:pPr>
        <w:ind w:right="20" w:firstLine="987"/>
        <w:spacing w:after="0" w:line="259" w:lineRule="auto"/>
        <w:tabs>
          <w:tab w:leader="none" w:pos="12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86" w:lineRule="exact"/>
        <w:rPr>
          <w:rFonts w:ascii="Arial" w:cs="Arial" w:eastAsia="Arial" w:hAnsi="Arial"/>
          <w:sz w:val="18"/>
          <w:szCs w:val="18"/>
          <w:color w:val="auto"/>
        </w:rPr>
      </w:pPr>
    </w:p>
    <w:p>
      <w:pPr>
        <w:ind w:left="1220" w:hanging="233"/>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225"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57" w:name="page158"/>
    <w:bookmarkEnd w:id="157"/>
    <w:p>
      <w:pPr>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4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8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Collection of Debt by Trustee; Trustee May Prove Debt.</w:t>
      </w:r>
      <w:r>
        <w:rPr>
          <w:rFonts w:ascii="Arial" w:cs="Arial" w:eastAsia="Arial" w:hAnsi="Arial"/>
          <w:sz w:val="18"/>
          <w:szCs w:val="18"/>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58" w:name="page159"/>
    <w:bookmarkEnd w:id="158"/>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64"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69" w:lineRule="exact"/>
        <w:rPr>
          <w:sz w:val="20"/>
          <w:szCs w:val="20"/>
          <w:color w:val="auto"/>
        </w:rPr>
      </w:pPr>
    </w:p>
    <w:p>
      <w:pPr>
        <w:ind w:left="980" w:right="240" w:firstLine="408"/>
        <w:spacing w:after="0" w:line="291" w:lineRule="auto"/>
        <w:tabs>
          <w:tab w:leader="none" w:pos="15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58" w:lineRule="exact"/>
        <w:rPr>
          <w:rFonts w:ascii="Arial" w:cs="Arial" w:eastAsia="Arial" w:hAnsi="Arial"/>
          <w:sz w:val="16"/>
          <w:szCs w:val="16"/>
          <w:color w:val="auto"/>
        </w:rPr>
      </w:pPr>
    </w:p>
    <w:p>
      <w:pPr>
        <w:ind w:left="980" w:firstLine="408"/>
        <w:spacing w:after="0" w:line="277" w:lineRule="auto"/>
        <w:tabs>
          <w:tab w:leader="none" w:pos="16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59" w:name="page160"/>
    <w:bookmarkEnd w:id="159"/>
    <w:p>
      <w:pPr>
        <w:ind w:left="98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standby trustee in arrangement, reorganization, liquidation or other bankruptcy or insolvency proceedings or person performing similar functions in comparable proceedings, and</w:t>
      </w:r>
    </w:p>
    <w:p>
      <w:pPr>
        <w:spacing w:after="0" w:line="62" w:lineRule="exact"/>
        <w:rPr>
          <w:sz w:val="20"/>
          <w:szCs w:val="20"/>
          <w:color w:val="auto"/>
        </w:rPr>
      </w:pPr>
    </w:p>
    <w:p>
      <w:pPr>
        <w:ind w:left="980" w:right="20" w:firstLine="408"/>
        <w:spacing w:after="0" w:line="291" w:lineRule="auto"/>
        <w:tabs>
          <w:tab w:leader="none" w:pos="169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66"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60" w:name="page161"/>
    <w:bookmarkEnd w:id="160"/>
    <w:p>
      <w:pPr>
        <w:ind w:right="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61"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88"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Limitations on Suits by Securityholders</w:t>
      </w:r>
      <w:r>
        <w:rPr>
          <w:rFonts w:ascii="Arial" w:cs="Arial" w:eastAsia="Arial" w:hAnsi="Arial"/>
          <w:sz w:val="17"/>
          <w:szCs w:val="17"/>
          <w:color w:val="auto"/>
        </w:rPr>
        <w:t>. No Holder of any Security of any series shall have any right by virtue, or by availing itself, of any provision of this Indenture to institute any action or proceeding at law or in equity or in bankruptcy or otherwise upon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61" w:name="page162"/>
    <w:bookmarkEnd w:id="16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74" w:lineRule="exact"/>
        <w:rPr>
          <w:sz w:val="20"/>
          <w:szCs w:val="20"/>
          <w:color w:val="auto"/>
        </w:rPr>
      </w:pPr>
    </w:p>
    <w:p>
      <w:pPr>
        <w:ind w:right="220" w:firstLine="440"/>
        <w:spacing w:after="0" w:line="288"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Unconditional Right of Securityholders to Institute Certain Suits</w:t>
      </w:r>
      <w:r>
        <w:rPr>
          <w:rFonts w:ascii="Arial" w:cs="Arial" w:eastAsia="Arial" w:hAnsi="Arial"/>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6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62" w:name="page163"/>
    <w:bookmarkEnd w:id="162"/>
    <w:p>
      <w:pPr>
        <w:jc w:val="both"/>
        <w:ind w:right="2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5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Control by Holders of Securities</w:t>
      </w:r>
      <w:r>
        <w:rPr>
          <w:rFonts w:ascii="Arial" w:cs="Arial" w:eastAsia="Arial" w:hAnsi="Arial"/>
          <w:sz w:val="17"/>
          <w:szCs w:val="17"/>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7"/>
          <w:szCs w:val="17"/>
          <w:i w:val="1"/>
          <w:iCs w:val="1"/>
          <w:color w:val="auto"/>
        </w:rPr>
        <w:t>provided</w:t>
      </w:r>
      <w:r>
        <w:rPr>
          <w:rFonts w:ascii="Arial" w:cs="Arial" w:eastAsia="Arial" w:hAnsi="Arial"/>
          <w:sz w:val="17"/>
          <w:szCs w:val="17"/>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8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1"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Trustee to Give Notice of Default</w:t>
      </w:r>
      <w:r>
        <w:rPr>
          <w:rFonts w:ascii="Arial" w:cs="Arial" w:eastAsia="Arial" w:hAnsi="Arial"/>
          <w:sz w:val="17"/>
          <w:szCs w:val="17"/>
          <w:color w:val="auto"/>
        </w:rPr>
        <w:t>. The Trustee shall, within 90 days after the occurrence of a default with respect to the Securities of any series, give notice of all defaults with respect to that series known to the Trustee to all Holders of Securities of such series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63" w:name="page164"/>
    <w:bookmarkEnd w:id="163"/>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manner and to the extent provided in Sections 4.03 and 11.04, unless in each case such defaults shall have been cured before the giving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6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i w:val="1"/>
          <w:iCs w:val="1"/>
          <w:color w:val="auto"/>
        </w:rPr>
        <w:t>Right of Court to Require Filing of Undertaking to Pay Costs</w:t>
      </w:r>
      <w:r>
        <w:rPr>
          <w:rFonts w:ascii="Arial" w:cs="Arial" w:eastAsia="Arial" w:hAnsi="Arial"/>
          <w:sz w:val="17"/>
          <w:szCs w:val="17"/>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Certain Rights of the Trustee.</w:t>
      </w:r>
      <w:r>
        <w:rPr>
          <w:rFonts w:ascii="Arial" w:cs="Arial" w:eastAsia="Arial" w:hAnsi="Arial"/>
          <w:sz w:val="17"/>
          <w:szCs w:val="17"/>
          <w:color w:val="auto"/>
        </w:rPr>
        <w:t xml:space="preserve"> In furtherance of and subject to the Trust Indenture Act of 1939 and subject to Section 6.01: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64" w:name="page165"/>
    <w:bookmarkEnd w:id="164"/>
    <w:p>
      <w:pPr>
        <w:ind w:right="80" w:firstLine="987"/>
        <w:spacing w:after="0" w:line="301" w:lineRule="auto"/>
        <w:tabs>
          <w:tab w:leader="none" w:pos="1236"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57" w:lineRule="exact"/>
        <w:rPr>
          <w:rFonts w:ascii="Arial" w:cs="Arial" w:eastAsia="Arial" w:hAnsi="Arial"/>
          <w:sz w:val="16"/>
          <w:szCs w:val="16"/>
          <w:color w:val="auto"/>
        </w:rPr>
      </w:pPr>
    </w:p>
    <w:p>
      <w:pPr>
        <w:ind w:right="320" w:firstLine="987"/>
        <w:spacing w:after="0" w:line="277" w:lineRule="auto"/>
        <w:tabs>
          <w:tab w:leader="none" w:pos="12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right="20" w:firstLine="987"/>
        <w:spacing w:after="0" w:line="263"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83" w:lineRule="exact"/>
        <w:rPr>
          <w:rFonts w:ascii="Arial" w:cs="Arial" w:eastAsia="Arial" w:hAnsi="Arial"/>
          <w:sz w:val="18"/>
          <w:szCs w:val="18"/>
          <w:color w:val="auto"/>
        </w:rPr>
      </w:pPr>
    </w:p>
    <w:p>
      <w:pPr>
        <w:jc w:val="both"/>
        <w:ind w:right="80" w:firstLine="987"/>
        <w:spacing w:after="0" w:line="286" w:lineRule="auto"/>
        <w:tabs>
          <w:tab w:leader="none" w:pos="1246"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65" w:lineRule="exact"/>
        <w:rPr>
          <w:rFonts w:ascii="Arial" w:cs="Arial" w:eastAsia="Arial" w:hAnsi="Arial"/>
          <w:sz w:val="17"/>
          <w:szCs w:val="17"/>
          <w:color w:val="auto"/>
        </w:rPr>
      </w:pPr>
    </w:p>
    <w:p>
      <w:pPr>
        <w:ind w:right="60" w:firstLine="987"/>
        <w:spacing w:after="0" w:line="263"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firstLine="987"/>
        <w:spacing w:after="0" w:line="263" w:lineRule="auto"/>
        <w:tabs>
          <w:tab w:leader="none" w:pos="121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83" w:lineRule="exact"/>
        <w:rPr>
          <w:rFonts w:ascii="Arial" w:cs="Arial" w:eastAsia="Arial" w:hAnsi="Arial"/>
          <w:sz w:val="18"/>
          <w:szCs w:val="18"/>
          <w:color w:val="auto"/>
        </w:rPr>
      </w:pPr>
    </w:p>
    <w:p>
      <w:pPr>
        <w:ind w:right="140" w:firstLine="987"/>
        <w:spacing w:after="0" w:line="342" w:lineRule="auto"/>
        <w:tabs>
          <w:tab w:leader="none" w:pos="12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3" w:lineRule="exact"/>
        <w:rPr>
          <w:rFonts w:ascii="Arial" w:cs="Arial" w:eastAsia="Arial" w:hAnsi="Arial"/>
          <w:sz w:val="16"/>
          <w:szCs w:val="16"/>
          <w:color w:val="auto"/>
        </w:rPr>
      </w:pPr>
    </w:p>
    <w:p>
      <w:pPr>
        <w:ind w:right="360" w:firstLine="987"/>
        <w:spacing w:after="0" w:line="286" w:lineRule="auto"/>
        <w:tabs>
          <w:tab w:leader="none" w:pos="124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65" w:name="page166"/>
    <w:bookmarkEnd w:id="165"/>
    <w:p>
      <w:pPr>
        <w:ind w:right="560" w:firstLine="987"/>
        <w:spacing w:after="0" w:line="277" w:lineRule="auto"/>
        <w:tabs>
          <w:tab w:leader="none" w:pos="1206"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action taken or omitted by it in good faith and believed by it to be authorized or within the discretion, rights or powers conferred upon it by this Indenture;</w:t>
      </w:r>
    </w:p>
    <w:p>
      <w:pPr>
        <w:spacing w:after="0" w:line="170" w:lineRule="exact"/>
        <w:rPr>
          <w:rFonts w:ascii="Arial" w:cs="Arial" w:eastAsia="Arial" w:hAnsi="Arial"/>
          <w:sz w:val="18"/>
          <w:szCs w:val="18"/>
          <w:color w:val="auto"/>
        </w:rPr>
      </w:pPr>
    </w:p>
    <w:p>
      <w:pPr>
        <w:ind w:firstLine="987"/>
        <w:spacing w:after="0" w:line="271" w:lineRule="auto"/>
        <w:tabs>
          <w:tab w:leader="none" w:pos="120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78" w:lineRule="exact"/>
        <w:rPr>
          <w:rFonts w:ascii="Arial" w:cs="Arial" w:eastAsia="Arial" w:hAnsi="Arial"/>
          <w:sz w:val="17"/>
          <w:szCs w:val="17"/>
          <w:color w:val="auto"/>
        </w:rPr>
      </w:pPr>
    </w:p>
    <w:p>
      <w:pPr>
        <w:ind w:right="140" w:firstLine="987"/>
        <w:spacing w:after="0" w:line="263"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5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66" w:name="page167"/>
    <w:bookmarkEnd w:id="16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7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2"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84"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Resignation and Removal; Appointment of Successor Trustee.</w:t>
      </w:r>
      <w:r>
        <w:rPr>
          <w:rFonts w:ascii="Arial" w:cs="Arial" w:eastAsia="Arial" w:hAnsi="Arial"/>
          <w:sz w:val="18"/>
          <w:szCs w:val="18"/>
          <w:color w:val="auto"/>
        </w:rPr>
        <w:t xml:space="preserve"> (a) The Trustee, or any trustee or trustees hereafter appointed, may at any time resign with respect to one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67" w:name="page168"/>
    <w:bookmarkEnd w:id="167"/>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1" w:lineRule="exact"/>
        <w:rPr>
          <w:sz w:val="20"/>
          <w:szCs w:val="20"/>
          <w:color w:val="auto"/>
        </w:rPr>
      </w:pPr>
    </w:p>
    <w:p>
      <w:pPr>
        <w:ind w:left="1240" w:hanging="253"/>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980" w:right="20" w:firstLine="408"/>
        <w:spacing w:after="0" w:line="263" w:lineRule="auto"/>
        <w:tabs>
          <w:tab w:leader="none" w:pos="1596"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75" w:lineRule="exact"/>
        <w:rPr>
          <w:rFonts w:ascii="Arial" w:cs="Arial" w:eastAsia="Arial" w:hAnsi="Arial"/>
          <w:sz w:val="18"/>
          <w:szCs w:val="18"/>
          <w:color w:val="auto"/>
        </w:rPr>
      </w:pPr>
    </w:p>
    <w:p>
      <w:pPr>
        <w:ind w:left="980" w:right="120" w:firstLine="408"/>
        <w:spacing w:after="0" w:line="277" w:lineRule="auto"/>
        <w:tabs>
          <w:tab w:leader="none" w:pos="1646"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62" w:lineRule="exact"/>
        <w:rPr>
          <w:rFonts w:ascii="Arial" w:cs="Arial" w:eastAsia="Arial" w:hAnsi="Arial"/>
          <w:sz w:val="18"/>
          <w:szCs w:val="18"/>
          <w:color w:val="auto"/>
        </w:rPr>
      </w:pPr>
    </w:p>
    <w:p>
      <w:pPr>
        <w:ind w:left="980" w:right="80" w:firstLine="408"/>
        <w:spacing w:after="0" w:line="263" w:lineRule="auto"/>
        <w:tabs>
          <w:tab w:leader="none" w:pos="1696"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64" w:lineRule="exact"/>
        <w:rPr>
          <w:sz w:val="20"/>
          <w:szCs w:val="20"/>
          <w:color w:val="auto"/>
        </w:rPr>
      </w:pPr>
    </w:p>
    <w:p>
      <w:pPr>
        <w:ind w:right="500" w:firstLine="987"/>
        <w:spacing w:after="0" w:line="308" w:lineRule="auto"/>
        <w:tabs>
          <w:tab w:leader="none" w:pos="1236"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168" w:name="page169"/>
    <w:bookmarkEnd w:id="168"/>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the Securities of such series by delivering to the Trustee so removed, to the successor trustee so appointed and to the Issuer the evidence provided for in Section 7.01 of the action in that regard taken by the Securityholders.</w:t>
      </w:r>
    </w:p>
    <w:p>
      <w:pPr>
        <w:spacing w:after="0" w:line="170" w:lineRule="exact"/>
        <w:rPr>
          <w:sz w:val="20"/>
          <w:szCs w:val="20"/>
          <w:color w:val="auto"/>
        </w:rPr>
      </w:pPr>
    </w:p>
    <w:p>
      <w:pPr>
        <w:ind w:right="80" w:firstLine="987"/>
        <w:spacing w:after="0" w:line="263" w:lineRule="auto"/>
        <w:tabs>
          <w:tab w:leader="none" w:pos="12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6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77"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69" w:name="page170"/>
    <w:bookmarkEnd w:id="16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 of Trustee.</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such corporation shall be qualified under the provisions of Section 310(b) of the Trust Indenture Act of 1939 and eligible under the provisions of</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310(a) of the Trust Indenture Act of 1939, without the execution or filing of any paper or any further act on the part of any of the parties hereto, anything herein to the contrary notwithstanding.</w:t>
      </w:r>
    </w:p>
    <w:p>
      <w:pPr>
        <w:spacing w:after="0" w:line="18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6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SECURITYHOLDERS</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70" w:name="page171"/>
    <w:bookmarkEnd w:id="170"/>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7"/>
          <w:szCs w:val="17"/>
          <w:i w:val="1"/>
          <w:iCs w:val="1"/>
          <w:color w:val="auto"/>
        </w:rPr>
        <w:t>Proof of Execution of Instruments and of Holding of Securities.</w:t>
      </w:r>
      <w:r>
        <w:rPr>
          <w:rFonts w:ascii="Arial" w:cs="Arial" w:eastAsia="Arial" w:hAnsi="Arial"/>
          <w:sz w:val="17"/>
          <w:szCs w:val="17"/>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8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6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82"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7.01, of the taking of any action by the Holders of the percentage in aggregate principal amount of the Securities of any or all series, as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71" w:name="page172"/>
    <w:bookmarkEnd w:id="17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84" w:lineRule="exact"/>
        <w:rPr>
          <w:sz w:val="20"/>
          <w:szCs w:val="20"/>
          <w:color w:val="auto"/>
        </w:rPr>
      </w:pPr>
    </w:p>
    <w:p>
      <w:pPr>
        <w:ind w:left="1240" w:hanging="253"/>
        <w:spacing w:after="0"/>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248" w:lineRule="exact"/>
        <w:rPr>
          <w:rFonts w:ascii="Arial" w:cs="Arial" w:eastAsia="Arial" w:hAnsi="Arial"/>
          <w:sz w:val="16"/>
          <w:szCs w:val="16"/>
          <w:color w:val="auto"/>
        </w:rPr>
      </w:pPr>
    </w:p>
    <w:p>
      <w:pPr>
        <w:ind w:right="420" w:firstLine="987"/>
        <w:spacing w:after="0" w:line="277"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70" w:lineRule="exact"/>
        <w:rPr>
          <w:rFonts w:ascii="Arial" w:cs="Arial" w:eastAsia="Arial" w:hAnsi="Arial"/>
          <w:sz w:val="18"/>
          <w:szCs w:val="18"/>
          <w:color w:val="auto"/>
        </w:rPr>
      </w:pPr>
    </w:p>
    <w:p>
      <w:pPr>
        <w:ind w:right="300" w:firstLine="987"/>
        <w:spacing w:after="0" w:line="277" w:lineRule="auto"/>
        <w:tabs>
          <w:tab w:leader="none" w:pos="12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comply with the requirements of the Commission in order to effect or maintain the qualification of this Indenture under the Trust Indenture Act of 1939, as amended;</w:t>
      </w:r>
    </w:p>
    <w:p>
      <w:pPr>
        <w:spacing w:after="0" w:line="170" w:lineRule="exact"/>
        <w:rPr>
          <w:rFonts w:ascii="Arial" w:cs="Arial" w:eastAsia="Arial" w:hAnsi="Arial"/>
          <w:sz w:val="18"/>
          <w:szCs w:val="18"/>
          <w:color w:val="auto"/>
        </w:rPr>
      </w:pPr>
    </w:p>
    <w:p>
      <w:pPr>
        <w:ind w:firstLine="987"/>
        <w:spacing w:after="0" w:line="254" w:lineRule="auto"/>
        <w:tabs>
          <w:tab w:leader="none" w:pos="12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i w:val="1"/>
          <w:iCs w:val="1"/>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72" w:name="page173"/>
    <w:bookmarkEnd w:id="172"/>
    <w:p>
      <w:pPr>
        <w:ind w:right="360" w:firstLine="987"/>
        <w:spacing w:after="0" w:line="308" w:lineRule="auto"/>
        <w:tabs>
          <w:tab w:leader="none" w:pos="1236"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46" w:lineRule="exact"/>
        <w:rPr>
          <w:rFonts w:ascii="Arial" w:cs="Arial" w:eastAsia="Arial" w:hAnsi="Arial"/>
          <w:sz w:val="17"/>
          <w:szCs w:val="17"/>
          <w:color w:val="auto"/>
        </w:rPr>
      </w:pPr>
    </w:p>
    <w:p>
      <w:pPr>
        <w:ind w:left="1220" w:hanging="233"/>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provide for or add guarantors for the Securities of one or more series;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225" w:lineRule="exact"/>
        <w:rPr>
          <w:rFonts w:ascii="Arial" w:cs="Arial" w:eastAsia="Arial" w:hAnsi="Arial"/>
          <w:sz w:val="18"/>
          <w:szCs w:val="18"/>
          <w:color w:val="auto"/>
        </w:rPr>
      </w:pPr>
    </w:p>
    <w:p>
      <w:pPr>
        <w:jc w:val="both"/>
        <w:ind w:right="360" w:firstLine="987"/>
        <w:spacing w:after="0" w:line="263" w:lineRule="auto"/>
        <w:tabs>
          <w:tab w:leader="none" w:pos="12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83" w:lineRule="exact"/>
        <w:rPr>
          <w:rFonts w:ascii="Arial" w:cs="Arial" w:eastAsia="Arial" w:hAnsi="Arial"/>
          <w:sz w:val="18"/>
          <w:szCs w:val="18"/>
          <w:color w:val="auto"/>
        </w:rPr>
      </w:pPr>
    </w:p>
    <w:p>
      <w:pPr>
        <w:jc w:val="both"/>
        <w:ind w:right="220" w:firstLine="987"/>
        <w:spacing w:after="0" w:line="259" w:lineRule="auto"/>
        <w:tabs>
          <w:tab w:leader="none" w:pos="12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86" w:lineRule="exact"/>
        <w:rPr>
          <w:rFonts w:ascii="Arial" w:cs="Arial" w:eastAsia="Arial" w:hAnsi="Arial"/>
          <w:sz w:val="18"/>
          <w:szCs w:val="18"/>
          <w:color w:val="auto"/>
        </w:rPr>
      </w:pPr>
    </w:p>
    <w:p>
      <w:pPr>
        <w:ind w:left="1200" w:hanging="213"/>
        <w:spacing w:after="0"/>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interests of the Holders of the Securities in any material respect.</w:t>
      </w:r>
    </w:p>
    <w:p>
      <w:pPr>
        <w:spacing w:after="0" w:line="23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Supplemental Indentures With Consent of Securityholders.</w:t>
      </w:r>
      <w:r>
        <w:rPr>
          <w:rFonts w:ascii="Arial" w:cs="Arial" w:eastAsia="Arial" w:hAnsi="Arial"/>
          <w:sz w:val="17"/>
          <w:szCs w:val="17"/>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Arial" w:cs="Arial" w:eastAsia="Arial" w:hAnsi="Arial"/>
          <w:sz w:val="17"/>
          <w:szCs w:val="17"/>
          <w:i w:val="1"/>
          <w:iCs w:val="1"/>
          <w:color w:val="auto"/>
        </w:rPr>
        <w:t>provided</w:t>
      </w:r>
      <w:r>
        <w:rPr>
          <w:rFonts w:ascii="Arial" w:cs="Arial" w:eastAsia="Arial" w:hAnsi="Arial"/>
          <w:sz w:val="17"/>
          <w:szCs w:val="17"/>
          <w:color w:val="auto"/>
        </w:rPr>
        <w:t>, that no such supplemental indenture shall,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73" w:name="page174"/>
    <w:bookmarkEnd w:id="173"/>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7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174" w:name="page175"/>
    <w:bookmarkEnd w:id="174"/>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70"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CONSOLIDATION, MERGER, SALE OR CONVEYANCE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Issuer May Consolidate, Etc., on Certain Terms.</w:t>
      </w:r>
      <w:r>
        <w:rPr>
          <w:rFonts w:ascii="Arial" w:cs="Arial" w:eastAsia="Arial" w:hAnsi="Arial"/>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w:t>
      </w:r>
    </w:p>
    <w:p>
      <w:pPr>
        <w:spacing w:after="0" w:line="1" w:lineRule="exact"/>
        <w:rPr>
          <w:sz w:val="20"/>
          <w:szCs w:val="20"/>
          <w:color w:val="auto"/>
        </w:rPr>
      </w:pPr>
    </w:p>
    <w:p>
      <w:pPr>
        <w:ind w:left="4" w:right="20" w:hanging="4"/>
        <w:spacing w:after="0" w:line="252" w:lineRule="auto"/>
        <w:tabs>
          <w:tab w:leader="none" w:pos="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175" w:name="page176"/>
    <w:bookmarkEnd w:id="17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6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r>
        <w:rPr>
          <w:rFonts w:ascii="Arial" w:cs="Arial" w:eastAsia="Arial" w:hAnsi="Arial"/>
          <w:sz w:val="18"/>
          <w:szCs w:val="18"/>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SATISFACTION AND DISCHARGE OF INDENTURE; DEFEASANCE;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UNCLAIMED MONEYS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 Defeasance.</w:t>
      </w:r>
      <w:r>
        <w:rPr>
          <w:rFonts w:ascii="Arial" w:cs="Arial" w:eastAsia="Arial" w:hAnsi="Arial"/>
          <w:sz w:val="18"/>
          <w:szCs w:val="18"/>
          <w:color w:val="auto"/>
        </w:rPr>
        <w:t xml:space="preserve"> (a) If at any time</w:t>
      </w:r>
    </w:p>
    <w:p>
      <w:pPr>
        <w:spacing w:after="0" w:line="117" w:lineRule="exact"/>
        <w:rPr>
          <w:sz w:val="20"/>
          <w:szCs w:val="20"/>
          <w:color w:val="auto"/>
        </w:rPr>
      </w:pPr>
    </w:p>
    <w:p>
      <w:pPr>
        <w:ind w:left="980" w:right="80" w:firstLine="408"/>
        <w:spacing w:after="0" w:line="311" w:lineRule="auto"/>
        <w:tabs>
          <w:tab w:leader="none" w:pos="159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40" w:lineRule="exact"/>
        <w:rPr>
          <w:rFonts w:ascii="Arial" w:cs="Arial" w:eastAsia="Arial" w:hAnsi="Arial"/>
          <w:sz w:val="16"/>
          <w:szCs w:val="16"/>
          <w:color w:val="auto"/>
        </w:rPr>
      </w:pPr>
    </w:p>
    <w:p>
      <w:pPr>
        <w:ind w:left="980" w:right="20" w:firstLine="408"/>
        <w:spacing w:after="0" w:line="263" w:lineRule="auto"/>
        <w:tabs>
          <w:tab w:leader="none" w:pos="16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176" w:name="page177"/>
    <w:bookmarkEnd w:id="176"/>
    <w:p>
      <w:pPr>
        <w:ind w:left="980" w:right="460" w:firstLine="408"/>
        <w:spacing w:after="0" w:line="263" w:lineRule="auto"/>
        <w:tabs>
          <w:tab w:leader="none" w:pos="1696"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75" w:lineRule="exact"/>
        <w:rPr>
          <w:rFonts w:ascii="Arial" w:cs="Arial" w:eastAsia="Arial" w:hAnsi="Arial"/>
          <w:sz w:val="18"/>
          <w:szCs w:val="18"/>
          <w:color w:val="auto"/>
        </w:rPr>
      </w:pPr>
    </w:p>
    <w:p>
      <w:pPr>
        <w:ind w:left="1420" w:right="20" w:firstLine="391"/>
        <w:spacing w:after="0" w:line="286" w:lineRule="auto"/>
        <w:tabs>
          <w:tab w:leader="none" w:pos="2098"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57" w:lineRule="exact"/>
        <w:rPr>
          <w:rFonts w:ascii="Arial" w:cs="Arial" w:eastAsia="Arial" w:hAnsi="Arial"/>
          <w:sz w:val="17"/>
          <w:szCs w:val="17"/>
          <w:color w:val="auto"/>
        </w:rPr>
      </w:pPr>
    </w:p>
    <w:p>
      <w:pPr>
        <w:ind w:left="1420" w:firstLine="391"/>
        <w:spacing w:after="0" w:line="269" w:lineRule="auto"/>
        <w:tabs>
          <w:tab w:leader="none" w:pos="2088"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77" w:name="page178"/>
    <w:bookmarkEnd w:id="17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84" w:lineRule="exact"/>
        <w:rPr>
          <w:sz w:val="20"/>
          <w:szCs w:val="20"/>
          <w:color w:val="auto"/>
        </w:rPr>
      </w:pPr>
    </w:p>
    <w:p>
      <w:pPr>
        <w:ind w:firstLine="987"/>
        <w:spacing w:after="0" w:line="268" w:lineRule="auto"/>
        <w:tabs>
          <w:tab w:leader="none" w:pos="124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Arial" w:cs="Arial" w:eastAsia="Arial" w:hAnsi="Arial"/>
          <w:sz w:val="17"/>
          <w:szCs w:val="17"/>
          <w:b w:val="1"/>
          <w:bCs w:val="1"/>
          <w:color w:val="auto"/>
        </w:rPr>
        <w:t>Legal Defeasance</w:t>
      </w:r>
      <w:r>
        <w:rPr>
          <w:rFonts w:ascii="Arial" w:cs="Arial" w:eastAsia="Arial" w:hAnsi="Arial"/>
          <w:sz w:val="17"/>
          <w:szCs w:val="17"/>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86" w:lineRule="exact"/>
        <w:rPr>
          <w:rFonts w:ascii="Arial" w:cs="Arial" w:eastAsia="Arial" w:hAnsi="Arial"/>
          <w:sz w:val="17"/>
          <w:szCs w:val="17"/>
          <w:color w:val="auto"/>
        </w:rPr>
      </w:pPr>
    </w:p>
    <w:p>
      <w:pPr>
        <w:ind w:right="20" w:firstLine="987"/>
        <w:spacing w:after="0" w:line="286" w:lineRule="auto"/>
        <w:tabs>
          <w:tab w:leader="none" w:pos="12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Arial" w:cs="Arial" w:eastAsia="Arial" w:hAnsi="Arial"/>
          <w:sz w:val="16"/>
          <w:szCs w:val="16"/>
          <w:b w:val="1"/>
          <w:bCs w:val="1"/>
          <w:color w:val="auto"/>
        </w:rPr>
        <w:t>Covenant Defeasance</w:t>
      </w:r>
      <w:r>
        <w:rPr>
          <w:rFonts w:ascii="Arial" w:cs="Arial" w:eastAsia="Arial" w:hAnsi="Arial"/>
          <w:sz w:val="16"/>
          <w:szCs w:val="16"/>
          <w:color w:val="auto"/>
        </w:rPr>
        <w:t>”),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178" w:name="page179"/>
    <w:bookmarkEnd w:id="178"/>
    <w:p>
      <w:pPr>
        <w:ind w:left="-20" w:right="340" w:firstLine="987"/>
        <w:spacing w:after="0" w:line="277" w:lineRule="auto"/>
        <w:tabs>
          <w:tab w:leader="none" w:pos="12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shall be the conditions to the application of Legal Defeasance (to the extent set forth in subsection (b)), or Covenant Defeasance (to the extent set forth in subsection (c)) to the Securities of the applicable series:</w:t>
      </w:r>
    </w:p>
    <w:p>
      <w:pPr>
        <w:spacing w:after="0" w:line="62" w:lineRule="exact"/>
        <w:rPr>
          <w:rFonts w:ascii="Arial" w:cs="Arial" w:eastAsia="Arial" w:hAnsi="Arial"/>
          <w:sz w:val="18"/>
          <w:szCs w:val="18"/>
          <w:color w:val="auto"/>
        </w:rPr>
      </w:pPr>
    </w:p>
    <w:p>
      <w:pPr>
        <w:ind w:left="960" w:right="60" w:firstLine="408"/>
        <w:spacing w:after="0" w:line="287" w:lineRule="auto"/>
        <w:tabs>
          <w:tab w:leader="none" w:pos="157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59" w:lineRule="exact"/>
        <w:rPr>
          <w:rFonts w:ascii="Arial" w:cs="Arial" w:eastAsia="Arial" w:hAnsi="Arial"/>
          <w:sz w:val="16"/>
          <w:szCs w:val="16"/>
          <w:color w:val="auto"/>
        </w:rPr>
      </w:pPr>
    </w:p>
    <w:p>
      <w:pPr>
        <w:ind w:left="960" w:right="280" w:firstLine="408"/>
        <w:spacing w:after="0" w:line="342" w:lineRule="auto"/>
        <w:tabs>
          <w:tab w:leader="none" w:pos="162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5" w:lineRule="exact"/>
        <w:rPr>
          <w:rFonts w:ascii="Arial" w:cs="Arial" w:eastAsia="Arial" w:hAnsi="Arial"/>
          <w:sz w:val="16"/>
          <w:szCs w:val="16"/>
          <w:color w:val="auto"/>
        </w:rPr>
      </w:pPr>
    </w:p>
    <w:p>
      <w:pPr>
        <w:ind w:left="960" w:right="200" w:firstLine="408"/>
        <w:spacing w:after="0" w:line="263" w:lineRule="auto"/>
        <w:tabs>
          <w:tab w:leader="none" w:pos="167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75" w:lineRule="exact"/>
        <w:rPr>
          <w:rFonts w:ascii="Arial" w:cs="Arial" w:eastAsia="Arial" w:hAnsi="Arial"/>
          <w:sz w:val="18"/>
          <w:szCs w:val="18"/>
          <w:color w:val="auto"/>
        </w:rPr>
      </w:pPr>
    </w:p>
    <w:p>
      <w:pPr>
        <w:ind w:left="960" w:firstLine="408"/>
        <w:spacing w:after="0" w:line="275" w:lineRule="auto"/>
        <w:tabs>
          <w:tab w:leader="none" w:pos="166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60" w:top="274" w:right="459" w:bottom="1440" w:gutter="0" w:footer="0" w:header="0"/>
        </w:sectPr>
      </w:pPr>
    </w:p>
    <w:bookmarkStart w:id="179" w:name="page180"/>
    <w:bookmarkEnd w:id="179"/>
    <w:p>
      <w:pPr>
        <w:ind w:left="98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will be subject to Federal income tax on the same amounts, in the same manner and at the same times as would be the case if such deposit, defeasance and discharge were not to occur;</w:t>
      </w:r>
    </w:p>
    <w:p>
      <w:pPr>
        <w:spacing w:after="0" w:line="62" w:lineRule="exact"/>
        <w:rPr>
          <w:sz w:val="20"/>
          <w:szCs w:val="20"/>
          <w:color w:val="auto"/>
        </w:rPr>
      </w:pPr>
    </w:p>
    <w:p>
      <w:pPr>
        <w:ind w:left="980" w:right="80" w:firstLine="408"/>
        <w:spacing w:after="0" w:line="257" w:lineRule="auto"/>
        <w:tabs>
          <w:tab w:leader="none" w:pos="16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79" w:lineRule="exact"/>
        <w:rPr>
          <w:rFonts w:ascii="Arial" w:cs="Arial" w:eastAsia="Arial" w:hAnsi="Arial"/>
          <w:sz w:val="18"/>
          <w:szCs w:val="18"/>
          <w:color w:val="auto"/>
        </w:rPr>
      </w:pPr>
    </w:p>
    <w:p>
      <w:pPr>
        <w:ind w:left="980" w:firstLine="408"/>
        <w:spacing w:after="0" w:line="277" w:lineRule="auto"/>
        <w:tabs>
          <w:tab w:leader="none" w:pos="16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4"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440" w:top="274" w:right="559" w:bottom="1440" w:gutter="0" w:footer="0" w:header="0"/>
        </w:sectPr>
      </w:pPr>
    </w:p>
    <w:bookmarkStart w:id="180" w:name="page181"/>
    <w:bookmarkEnd w:id="180"/>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10.05 </w:t>
      </w:r>
      <w:r>
        <w:rPr>
          <w:rFonts w:ascii="Arial" w:cs="Arial" w:eastAsia="Arial" w:hAnsi="Arial"/>
          <w:sz w:val="18"/>
          <w:szCs w:val="18"/>
          <w:i w:val="1"/>
          <w:iCs w:val="1"/>
          <w:color w:val="auto"/>
        </w:rPr>
        <w:t>Indemnity for U.S. Government Obligations and Foreign Government Obligations.</w:t>
      </w:r>
      <w:r>
        <w:rPr>
          <w:rFonts w:ascii="Arial" w:cs="Arial" w:eastAsia="Arial" w:hAnsi="Arial"/>
          <w:sz w:val="18"/>
          <w:szCs w:val="18"/>
          <w:color w:val="auto"/>
        </w:rPr>
        <w:t xml:space="preserve"> 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No Recourse.</w:t>
      </w:r>
      <w:r>
        <w:rPr>
          <w:rFonts w:ascii="Arial" w:cs="Arial" w:eastAsia="Arial" w:hAnsi="Arial"/>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6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5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Notices and Demands on Issuer, Trustee and Holders of Securities.</w:t>
      </w:r>
      <w:r>
        <w:rPr>
          <w:rFonts w:ascii="Arial" w:cs="Arial" w:eastAsia="Arial" w:hAnsi="Arial"/>
          <w:sz w:val="18"/>
          <w:szCs w:val="18"/>
          <w:color w:val="auto"/>
        </w:rPr>
        <w:t xml:space="preserve"> Any notice or demand which by any provision of this Indenture is required or permitted to be given or served by the Trustee or by the Holders of Securities to or on the Issuer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181" w:name="page182"/>
    <w:bookmarkEnd w:id="18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given or served by being deposited postage prepaid, first-class mail (except as otherwise specifically provided herein) addressed (until another address of the Issuer is filed by the Issuer with the Trustee) to Fulcrum Therapeutics, Inc., 26 Landsdowne Street, Cambridge, MA 02139, Attn: Chief Operating Officer. Any notice, direction, request or demand by the Issuer or any Holder of Securities to or upon the Trustee shall be deemed to have</w:t>
      </w:r>
    </w:p>
    <w:p>
      <w:pPr>
        <w:spacing w:after="0" w:line="2" w:lineRule="exact"/>
        <w:rPr>
          <w:sz w:val="20"/>
          <w:szCs w:val="20"/>
          <w:color w:val="auto"/>
        </w:rPr>
      </w:pPr>
    </w:p>
    <w:p>
      <w:pPr>
        <w:spacing w:after="0"/>
        <w:tabs>
          <w:tab w:leader="none" w:pos="5860" w:val="left"/>
          <w:tab w:leader="none" w:pos="6840" w:val="left"/>
          <w:tab w:leader="none" w:pos="8240" w:val="left"/>
        </w:tabs>
        <w:rPr>
          <w:sz w:val="20"/>
          <w:szCs w:val="20"/>
          <w:color w:val="auto"/>
        </w:rPr>
      </w:pPr>
      <w:r>
        <w:rPr>
          <w:rFonts w:ascii="Arial" w:cs="Arial" w:eastAsia="Arial" w:hAnsi="Arial"/>
          <w:sz w:val="18"/>
          <w:szCs w:val="18"/>
          <w:color w:val="auto"/>
        </w:rPr>
        <w:t>been sufficiently given or made, for all purposes, if given or made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Attn: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82" w:name="page183"/>
    <w:bookmarkEnd w:id="182"/>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183" w:name="page184"/>
    <w:bookmarkEnd w:id="183"/>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i w:val="1"/>
          <w:iCs w:val="1"/>
          <w:color w:val="auto"/>
        </w:rPr>
        <w:t>Actions by Successor</w:t>
      </w:r>
      <w:r>
        <w:rPr>
          <w:rFonts w:ascii="Arial" w:cs="Arial" w:eastAsia="Arial" w:hAnsi="Arial"/>
          <w:sz w:val="17"/>
          <w:szCs w:val="17"/>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 SINKING FUNDS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85" w:lineRule="exact"/>
        <w:rPr>
          <w:sz w:val="20"/>
          <w:szCs w:val="20"/>
          <w:color w:val="auto"/>
        </w:rPr>
      </w:pPr>
    </w:p>
    <w:p>
      <w:pPr>
        <w:jc w:val="both"/>
        <w:ind w:right="620" w:firstLine="440"/>
        <w:spacing w:after="0" w:line="263" w:lineRule="auto"/>
        <w:rPr>
          <w:sz w:val="20"/>
          <w:szCs w:val="20"/>
          <w:color w:val="auto"/>
        </w:rPr>
      </w:pPr>
      <w:r>
        <w:rPr>
          <w:rFonts w:ascii="Arial" w:cs="Arial" w:eastAsia="Arial" w:hAnsi="Arial"/>
          <w:sz w:val="18"/>
          <w:szCs w:val="18"/>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84" w:name="page185"/>
    <w:bookmarkEnd w:id="184"/>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92"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7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85" w:name="page186"/>
    <w:bookmarkEnd w:id="185"/>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7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86" w:name="page187"/>
    <w:bookmarkEnd w:id="186"/>
    <w:p>
      <w:pPr>
        <w:ind w:right="26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8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87" w:name="page188"/>
    <w:bookmarkEnd w:id="187"/>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39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SUBORDINATION OF SECURITIES</w:t>
      </w:r>
    </w:p>
    <w:p>
      <w:pPr>
        <w:spacing w:after="0" w:line="211"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i w:val="1"/>
          <w:iCs w:val="1"/>
          <w:color w:val="auto"/>
        </w:rPr>
        <w:t>Agreement of Subordination.</w:t>
      </w:r>
      <w:r>
        <w:rPr>
          <w:rFonts w:ascii="Arial" w:cs="Arial" w:eastAsia="Arial" w:hAnsi="Arial"/>
          <w:sz w:val="17"/>
          <w:szCs w:val="17"/>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provisions of this Article 13 define the subordination of the Securities, as obligations of the Issuer, with respect to Senior Indebtedness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provision of this Article 13 shall prevent the occurrence of any default or Event of Default hereunder.</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i w:val="1"/>
          <w:iCs w:val="1"/>
          <w:color w:val="auto"/>
        </w:rPr>
        <w:t>Payments to Securityholders.</w:t>
      </w:r>
      <w:r>
        <w:rPr>
          <w:rFonts w:ascii="Arial" w:cs="Arial" w:eastAsia="Arial" w:hAnsi="Arial"/>
          <w:sz w:val="17"/>
          <w:szCs w:val="17"/>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 of such default and payments made pursuant to Article 10 hereof from monies deposited with the Trustee pursuant thereto prior to the happening of such default.</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4" w:right="499" w:bottom="1440" w:gutter="0" w:footer="0" w:header="0"/>
        </w:sectPr>
      </w:pPr>
    </w:p>
    <w:bookmarkStart w:id="189" w:name="page190"/>
    <w:bookmarkEnd w:id="189"/>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6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spacing w:after="0" w:line="17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i w:val="1"/>
          <w:iCs w:val="1"/>
          <w:color w:val="auto"/>
        </w:rPr>
        <w:t>Subrogation of Securities.</w:t>
      </w:r>
      <w:r>
        <w:rPr>
          <w:rFonts w:ascii="Arial" w:cs="Arial" w:eastAsia="Arial" w:hAnsi="Arial"/>
          <w:sz w:val="17"/>
          <w:szCs w:val="17"/>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90" w:name="page191"/>
    <w:bookmarkEnd w:id="190"/>
    <w:p>
      <w:pPr>
        <w:ind w:left="4"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12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66"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spacing w:after="0" w:line="178"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84"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i w:val="1"/>
          <w:iCs w:val="1"/>
          <w:color w:val="auto"/>
        </w:rPr>
        <w:t>Notice to Trustee.</w:t>
      </w:r>
      <w:r>
        <w:rPr>
          <w:rFonts w:ascii="Arial" w:cs="Arial" w:eastAsia="Arial" w:hAnsi="Arial"/>
          <w:sz w:val="16"/>
          <w:szCs w:val="16"/>
          <w:color w:val="auto"/>
        </w:rPr>
        <w:t xml:space="preserve"> The Issuer shall give prompt written notice to a Responsible Officer of the Trustee of any fact known to the Issuer which would prohibit the making of any payment of monies to or by the Trustee in respect of the Securities pursuant to the provisions of this Article</w:t>
      </w:r>
    </w:p>
    <w:p>
      <w:pPr>
        <w:ind w:left="4" w:right="20" w:hanging="4"/>
        <w:spacing w:after="0" w:line="268" w:lineRule="auto"/>
        <w:tabs>
          <w:tab w:leader="none" w:pos="27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191" w:name="page192"/>
    <w:bookmarkEnd w:id="191"/>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i w:val="1"/>
          <w:iCs w:val="1"/>
          <w:color w:val="auto"/>
        </w:rPr>
        <w:t>Rights of Trustee.</w:t>
      </w:r>
      <w:r>
        <w:rPr>
          <w:rFonts w:ascii="Arial" w:cs="Arial" w:eastAsia="Arial" w:hAnsi="Arial"/>
          <w:sz w:val="17"/>
          <w:szCs w:val="17"/>
          <w:color w:val="auto"/>
        </w:rPr>
        <w:t xml:space="preserve"> Nothing in this Article 13 shall apply to claims of or payments to, the Trustee pursuant to Section 6.06.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92" w:name="page193"/>
    <w:bookmarkEnd w:id="192"/>
    <w:p>
      <w:pPr>
        <w:spacing w:after="0"/>
        <w:tabs>
          <w:tab w:leader="none" w:pos="7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FULCRUM THERAPEUTICS,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019"/>
          </w:cols>
          <w:pgMar w:left="440" w:top="274"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Senior Note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 PURPOSES OF SECTIONS 1272, 1273 AND 1275 OF THE INTERNAL REVENUE CODE OF 1986, AS AMENDED, AND THE RULES AND</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Title of Security ]</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No. [  ]</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CUSIP No.: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[Common Code][ISIN]: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0940" w:type="dxa"/>
            <w:vAlign w:val="bottom"/>
            <w:gridSpan w:val="7"/>
          </w:tcPr>
          <w:p>
            <w:pPr>
              <w:jc w:val="right"/>
              <w:ind w:right="70"/>
              <w:spacing w:after="0"/>
              <w:rPr>
                <w:sz w:val="20"/>
                <w:szCs w:val="20"/>
                <w:color w:val="auto"/>
              </w:rPr>
            </w:pPr>
            <w:r>
              <w:rPr>
                <w:rFonts w:ascii="Arial" w:cs="Arial" w:eastAsia="Arial" w:hAnsi="Arial"/>
                <w:sz w:val="18"/>
                <w:szCs w:val="18"/>
                <w:color w:val="auto"/>
                <w:w w:val="96"/>
              </w:rPr>
              <w:t>FULCRUM THERAPEUTICS, INC., a Delaware corporation (the “Issuer”, which term includes any successor corporation), for value received</w:t>
            </w:r>
          </w:p>
        </w:tc>
        <w:tc>
          <w:tcPr>
            <w:tcW w:w="80" w:type="dxa"/>
            <w:vAlign w:val="bottom"/>
          </w:tcPr>
          <w:p>
            <w:pPr>
              <w:spacing w:after="0"/>
              <w:rPr>
                <w:sz w:val="24"/>
                <w:szCs w:val="24"/>
                <w:color w:val="auto"/>
              </w:rPr>
            </w:pPr>
          </w:p>
        </w:tc>
      </w:tr>
      <w:tr>
        <w:trPr>
          <w:trHeight w:val="216"/>
        </w:trPr>
        <w:tc>
          <w:tcPr>
            <w:tcW w:w="8580" w:type="dxa"/>
            <w:vAlign w:val="bottom"/>
            <w:gridSpan w:val="6"/>
          </w:tcPr>
          <w:p>
            <w:pPr>
              <w:spacing w:after="0"/>
              <w:rPr>
                <w:sz w:val="20"/>
                <w:szCs w:val="20"/>
                <w:color w:val="auto"/>
              </w:rPr>
            </w:pPr>
            <w:r>
              <w:rPr>
                <w:rFonts w:ascii="Arial" w:cs="Arial" w:eastAsia="Arial" w:hAnsi="Arial"/>
                <w:sz w:val="18"/>
                <w:szCs w:val="18"/>
                <w:color w:val="auto"/>
                <w:w w:val="95"/>
              </w:rPr>
              <w:t>promises to pay to [</w:t>
            </w:r>
            <w:r>
              <w:rPr>
                <w:rFonts w:ascii="Arial" w:cs="Arial" w:eastAsia="Arial" w:hAnsi="Arial"/>
                <w:sz w:val="18"/>
                <w:szCs w:val="18"/>
                <w:i w:val="1"/>
                <w:iCs w:val="1"/>
                <w:color w:val="auto"/>
                <w:w w:val="95"/>
              </w:rPr>
              <w:t>If the Security is a Global Security —</w:t>
            </w:r>
            <w:r>
              <w:rPr>
                <w:rFonts w:ascii="Arial" w:cs="Arial" w:eastAsia="Arial" w:hAnsi="Arial"/>
                <w:sz w:val="18"/>
                <w:szCs w:val="18"/>
                <w:color w:val="auto"/>
                <w:w w:val="95"/>
              </w:rPr>
              <w:t xml:space="preserve"> CEDE &amp; CO.][</w:t>
            </w:r>
            <w:r>
              <w:rPr>
                <w:rFonts w:ascii="Arial" w:cs="Arial" w:eastAsia="Arial" w:hAnsi="Arial"/>
                <w:sz w:val="18"/>
                <w:szCs w:val="18"/>
                <w:i w:val="1"/>
                <w:iCs w:val="1"/>
                <w:color w:val="auto"/>
                <w:w w:val="95"/>
              </w:rPr>
              <w:t>If the Security is not a Global Security —</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 or registered assigns,</w:t>
            </w:r>
          </w:p>
        </w:tc>
        <w:tc>
          <w:tcPr>
            <w:tcW w:w="8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the principal sum of</w:t>
            </w:r>
          </w:p>
        </w:tc>
        <w:tc>
          <w:tcPr>
            <w:tcW w:w="1100" w:type="dxa"/>
            <w:vAlign w:val="bottom"/>
          </w:tcPr>
          <w:p>
            <w:pPr>
              <w:ind w:left="800"/>
              <w:spacing w:after="0"/>
              <w:rPr>
                <w:sz w:val="20"/>
                <w:szCs w:val="20"/>
                <w:color w:val="auto"/>
              </w:rPr>
            </w:pPr>
            <w:r>
              <w:rPr>
                <w:rFonts w:ascii="Arial" w:cs="Arial" w:eastAsia="Arial" w:hAnsi="Arial"/>
                <w:sz w:val="18"/>
                <w:szCs w:val="18"/>
                <w:color w:val="auto"/>
              </w:rPr>
              <w:t>on</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140" w:type="dxa"/>
            <w:vAlign w:val="bottom"/>
            <w:gridSpan w:val="4"/>
          </w:tcPr>
          <w:p>
            <w:pPr>
              <w:jc w:val="right"/>
              <w:ind w:right="130"/>
              <w:spacing w:after="0"/>
              <w:rPr>
                <w:sz w:val="20"/>
                <w:szCs w:val="20"/>
                <w:color w:val="auto"/>
              </w:rPr>
            </w:pPr>
            <w:r>
              <w:rPr>
                <w:rFonts w:ascii="Arial" w:cs="Arial" w:eastAsia="Arial" w:hAnsi="Arial"/>
                <w:sz w:val="18"/>
                <w:szCs w:val="18"/>
                <w:color w:val="auto"/>
                <w:w w:val="95"/>
              </w:rPr>
              <w:t>(the “Maturity Date”) [</w:t>
            </w:r>
            <w:r>
              <w:rPr>
                <w:rFonts w:ascii="Arial" w:cs="Arial" w:eastAsia="Arial" w:hAnsi="Arial"/>
                <w:sz w:val="18"/>
                <w:szCs w:val="18"/>
                <w:i w:val="1"/>
                <w:iCs w:val="1"/>
                <w:color w:val="auto"/>
                <w:w w:val="95"/>
              </w:rPr>
              <w:t>If the Security is to bear interest prior to maturity, insert—</w:t>
            </w:r>
            <w:r>
              <w:rPr>
                <w:rFonts w:ascii="Arial" w:cs="Arial" w:eastAsia="Arial" w:hAnsi="Arial"/>
                <w:sz w:val="18"/>
                <w:szCs w:val="18"/>
                <w:color w:val="auto"/>
                <w:w w:val="95"/>
              </w:rPr>
              <w:t>, and to pay</w:t>
            </w:r>
          </w:p>
        </w:tc>
        <w:tc>
          <w:tcPr>
            <w:tcW w:w="8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6"/>
              </w:rPr>
              <w:t>interest thereon from</w:t>
            </w:r>
          </w:p>
        </w:tc>
        <w:tc>
          <w:tcPr>
            <w:tcW w:w="9320" w:type="dxa"/>
            <w:vAlign w:val="bottom"/>
            <w:gridSpan w:val="6"/>
          </w:tcPr>
          <w:p>
            <w:pPr>
              <w:jc w:val="right"/>
              <w:ind w:right="10"/>
              <w:spacing w:after="0"/>
              <w:rPr>
                <w:sz w:val="20"/>
                <w:szCs w:val="20"/>
                <w:color w:val="auto"/>
              </w:rPr>
            </w:pPr>
            <w:r>
              <w:rPr>
                <w:rFonts w:ascii="Arial" w:cs="Arial" w:eastAsia="Arial" w:hAnsi="Arial"/>
                <w:sz w:val="18"/>
                <w:szCs w:val="18"/>
                <w:color w:val="auto"/>
              </w:rPr>
              <w:t xml:space="preserve">or from the most recent interest payment date to which interest has been paid or duly provided for, </w:t>
            </w:r>
            <w:r>
              <w:rPr>
                <w:rFonts w:ascii="Arial" w:cs="Arial" w:eastAsia="Arial" w:hAnsi="Arial"/>
                <w:sz w:val="18"/>
                <w:szCs w:val="18"/>
                <w:i w:val="1"/>
                <w:iCs w:val="1"/>
                <w:color w:val="auto"/>
              </w:rPr>
              <w:t>[semiannually in</w:t>
            </w:r>
          </w:p>
        </w:tc>
        <w:tc>
          <w:tcPr>
            <w:tcW w:w="80" w:type="dxa"/>
            <w:vAlign w:val="bottom"/>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i w:val="1"/>
                <w:iCs w:val="1"/>
                <w:color w:val="auto"/>
              </w:rPr>
              <w:t>arrears on</w:t>
            </w:r>
          </w:p>
        </w:tc>
        <w:tc>
          <w:tcPr>
            <w:tcW w:w="1100" w:type="dxa"/>
            <w:vAlign w:val="bottom"/>
          </w:tcPr>
          <w:p>
            <w:pPr>
              <w:ind w:left="120"/>
              <w:spacing w:after="0"/>
              <w:rPr>
                <w:sz w:val="20"/>
                <w:szCs w:val="20"/>
                <w:color w:val="auto"/>
              </w:rPr>
            </w:pPr>
            <w:r>
              <w:rPr>
                <w:rFonts w:ascii="Arial" w:cs="Arial" w:eastAsia="Arial" w:hAnsi="Arial"/>
                <w:sz w:val="18"/>
                <w:szCs w:val="18"/>
                <w:i w:val="1"/>
                <w:iCs w:val="1"/>
                <w:color w:val="auto"/>
              </w:rPr>
              <w:t>and</w:t>
            </w:r>
          </w:p>
        </w:tc>
        <w:tc>
          <w:tcPr>
            <w:tcW w:w="2720" w:type="dxa"/>
            <w:vAlign w:val="bottom"/>
            <w:gridSpan w:val="2"/>
          </w:tcPr>
          <w:p>
            <w:pPr>
              <w:ind w:left="280"/>
              <w:spacing w:after="0"/>
              <w:rPr>
                <w:sz w:val="20"/>
                <w:szCs w:val="20"/>
                <w:color w:val="auto"/>
              </w:rPr>
            </w:pPr>
            <w:r>
              <w:rPr>
                <w:rFonts w:ascii="Arial" w:cs="Arial" w:eastAsia="Arial" w:hAnsi="Arial"/>
                <w:sz w:val="18"/>
                <w:szCs w:val="18"/>
                <w:i w:val="1"/>
                <w:iCs w:val="1"/>
                <w:color w:val="auto"/>
              </w:rPr>
              <w:t>in each year</w:t>
            </w:r>
            <w:r>
              <w:rPr>
                <w:rFonts w:ascii="Arial" w:cs="Arial" w:eastAsia="Arial" w:hAnsi="Arial"/>
                <w:sz w:val="18"/>
                <w:szCs w:val="18"/>
                <w:color w:val="auto"/>
              </w:rPr>
              <w:t>], commencing</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80" w:type="dxa"/>
            <w:vAlign w:val="bottom"/>
            <w:gridSpan w:val="2"/>
          </w:tcPr>
          <w:p>
            <w:pPr>
              <w:jc w:val="right"/>
              <w:ind w:right="310"/>
              <w:spacing w:after="0"/>
              <w:rPr>
                <w:sz w:val="20"/>
                <w:szCs w:val="20"/>
                <w:color w:val="auto"/>
              </w:rPr>
            </w:pPr>
            <w:r>
              <w:rPr>
                <w:rFonts w:ascii="Arial" w:cs="Arial" w:eastAsia="Arial" w:hAnsi="Arial"/>
                <w:sz w:val="18"/>
                <w:szCs w:val="18"/>
                <w:color w:val="auto"/>
                <w:w w:val="96"/>
              </w:rPr>
              <w:t xml:space="preserve">(each, an “Interest Payment Date”) at the rate of [  </w:t>
            </w:r>
            <w:r>
              <w:rPr>
                <w:rFonts w:ascii="Arial" w:cs="Arial" w:eastAsia="Arial" w:hAnsi="Arial"/>
                <w:sz w:val="18"/>
                <w:szCs w:val="18"/>
                <w:i w:val="1"/>
                <w:iCs w:val="1"/>
                <w:color w:val="auto"/>
                <w:w w:val="96"/>
              </w:rPr>
              <w:t>% per</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i w:val="1"/>
                <w:iCs w:val="1"/>
                <w:color w:val="auto"/>
                <w:w w:val="91"/>
              </w:rPr>
              <w:t>annum</w:t>
            </w:r>
            <w:r>
              <w:rPr>
                <w:rFonts w:ascii="Arial" w:cs="Arial" w:eastAsia="Arial" w:hAnsi="Arial"/>
                <w:sz w:val="18"/>
                <w:szCs w:val="18"/>
                <w:color w:val="auto"/>
                <w:w w:val="91"/>
              </w:rPr>
              <w:t>], until the principal hereof is paid or made available for payment [</w:t>
            </w:r>
            <w:r>
              <w:rPr>
                <w:rFonts w:ascii="Arial" w:cs="Arial" w:eastAsia="Arial" w:hAnsi="Arial"/>
                <w:sz w:val="18"/>
                <w:szCs w:val="18"/>
                <w:i w:val="1"/>
                <w:iCs w:val="1"/>
                <w:color w:val="auto"/>
                <w:w w:val="91"/>
              </w:rPr>
              <w:t xml:space="preserve">If applicable insert—, </w:t>
            </w:r>
            <w:r>
              <w:rPr>
                <w:rFonts w:ascii="Arial" w:cs="Arial" w:eastAsia="Arial" w:hAnsi="Arial"/>
                <w:sz w:val="18"/>
                <w:szCs w:val="18"/>
                <w:color w:val="auto"/>
                <w:w w:val="91"/>
              </w:rPr>
              <w:t>and (to the extent that the payment of such interest shall</w:t>
            </w:r>
          </w:p>
        </w:tc>
        <w:tc>
          <w:tcPr>
            <w:tcW w:w="8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4"/>
              </w:rPr>
              <w:t>be legally enforceable) at the rate of</w:t>
            </w:r>
          </w:p>
        </w:tc>
        <w:tc>
          <w:tcPr>
            <w:tcW w:w="8220" w:type="dxa"/>
            <w:vAlign w:val="bottom"/>
            <w:gridSpan w:val="5"/>
          </w:tcPr>
          <w:p>
            <w:pPr>
              <w:jc w:val="right"/>
              <w:ind w:right="10"/>
              <w:spacing w:after="0"/>
              <w:rPr>
                <w:sz w:val="20"/>
                <w:szCs w:val="20"/>
                <w:color w:val="auto"/>
              </w:rPr>
            </w:pPr>
            <w:r>
              <w:rPr>
                <w:rFonts w:ascii="Arial" w:cs="Arial" w:eastAsia="Arial" w:hAnsi="Arial"/>
                <w:sz w:val="18"/>
                <w:szCs w:val="18"/>
                <w:color w:val="auto"/>
                <w:w w:val="91"/>
              </w:rPr>
              <w:t>% per annum on any overdue principal and on any overdue installment of interest]. The interest so payable, and</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1"/>
              </w:rPr>
              <w:t>punctually paid or duly provided for, on any Interest Payment Date will, as provided in the Indenture (as defined below), be paid to the Holder in whose</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0"/>
              </w:rPr>
              <w:t>name this Security (or one or more predecessor Securities) is registered at the close of business on the record date for such interest, which shall be the</w:t>
            </w:r>
          </w:p>
        </w:tc>
        <w:tc>
          <w:tcPr>
            <w:tcW w:w="80" w:type="dxa"/>
            <w:vAlign w:val="bottom"/>
          </w:tcPr>
          <w:p>
            <w:pPr>
              <w:spacing w:after="0"/>
              <w:rPr>
                <w:sz w:val="18"/>
                <w:szCs w:val="18"/>
                <w:color w:val="auto"/>
              </w:rPr>
            </w:pPr>
          </w:p>
        </w:tc>
      </w:tr>
      <w:tr>
        <w:trPr>
          <w:trHeight w:val="230"/>
        </w:trPr>
        <w:tc>
          <w:tcPr>
            <w:tcW w:w="1620" w:type="dxa"/>
            <w:vAlign w:val="bottom"/>
          </w:tcPr>
          <w:p>
            <w:pPr>
              <w:ind w:left="940"/>
              <w:spacing w:after="0"/>
              <w:rPr>
                <w:sz w:val="20"/>
                <w:szCs w:val="20"/>
                <w:color w:val="auto"/>
              </w:rPr>
            </w:pPr>
            <w:r>
              <w:rPr>
                <w:rFonts w:ascii="Arial" w:cs="Arial" w:eastAsia="Arial" w:hAnsi="Arial"/>
                <w:sz w:val="18"/>
                <w:szCs w:val="18"/>
                <w:color w:val="auto"/>
              </w:rPr>
              <w:t>or</w:t>
            </w:r>
          </w:p>
        </w:tc>
        <w:tc>
          <w:tcPr>
            <w:tcW w:w="9320" w:type="dxa"/>
            <w:vAlign w:val="bottom"/>
            <w:gridSpan w:val="6"/>
          </w:tcPr>
          <w:p>
            <w:pPr>
              <w:jc w:val="right"/>
              <w:spacing w:after="0"/>
              <w:rPr>
                <w:sz w:val="20"/>
                <w:szCs w:val="20"/>
                <w:color w:val="auto"/>
              </w:rPr>
            </w:pPr>
            <w:r>
              <w:rPr>
                <w:rFonts w:ascii="Arial" w:cs="Arial" w:eastAsia="Arial" w:hAnsi="Arial"/>
                <w:sz w:val="18"/>
                <w:szCs w:val="18"/>
                <w:color w:val="auto"/>
                <w:w w:val="93"/>
              </w:rPr>
              <w:t>(whether or not a Business Day), as the case may be, next preceding such Interest Payment Date (each, an “Interest Record</w:t>
            </w:r>
          </w:p>
        </w:tc>
        <w:tc>
          <w:tcPr>
            <w:tcW w:w="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Date”). Interest 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is not to bear interest prior to maturity, insert—</w:t>
      </w:r>
      <w:r>
        <w:rPr>
          <w:rFonts w:ascii="Arial" w:cs="Arial" w:eastAsia="Arial" w:hAnsi="Arial"/>
          <w:sz w:val="18"/>
          <w:szCs w:val="18"/>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020"/>
          </w:cols>
          <w:pgMar w:left="440" w:top="274" w:right="439" w:bottom="1440" w:gutter="0" w:footer="0" w:header="0"/>
        </w:sectPr>
      </w:pPr>
    </w:p>
    <w:bookmarkStart w:id="195" w:name="page196"/>
    <w:bookmarkEnd w:id="19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14605</wp:posOffset>
            </wp:positionV>
            <wp:extent cx="23831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-1905</wp:posOffset>
            </wp:positionV>
            <wp:extent cx="18688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-1905</wp:posOffset>
            </wp:positionV>
            <wp:extent cx="18688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-1905</wp:posOffset>
            </wp:positionV>
            <wp:extent cx="21513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10460"/>
          </w:cols>
          <w:pgMar w:left="440" w:top="274" w:right="999" w:bottom="1440" w:gutter="0" w:footer="0" w:header="0"/>
        </w:sectPr>
      </w:pPr>
    </w:p>
    <w:bookmarkStart w:id="196" w:name="page197"/>
    <w:bookmarkEnd w:id="19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Title of Security ]</w:t>
      </w:r>
    </w:p>
    <w:p>
      <w:pPr>
        <w:spacing w:after="0" w:line="378" w:lineRule="exact"/>
        <w:rPr>
          <w:sz w:val="20"/>
          <w:szCs w:val="20"/>
          <w:color w:val="auto"/>
        </w:rPr>
      </w:pPr>
    </w:p>
    <w:p>
      <w:pPr>
        <w:ind w:left="424" w:hanging="424"/>
        <w:spacing w:after="0"/>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Arial" w:cs="Arial" w:eastAsia="Arial" w:hAnsi="Arial"/>
          <w:sz w:val="18"/>
          <w:szCs w:val="18"/>
          <w:i w:val="1"/>
          <w:iCs w:val="1"/>
          <w:color w:val="auto"/>
        </w:rPr>
        <w:t>$</w:t>
      </w:r>
      <w:r>
        <w:rPr>
          <w:rFonts w:ascii="Arial" w:cs="Arial" w:eastAsia="Arial" w:hAnsi="Arial"/>
          <w:sz w:val="18"/>
          <w:szCs w:val="18"/>
          <w:color w:val="auto"/>
        </w:rPr>
        <w:t>] , all of such Securities issued and to be issued under an Indenture dated as of , (the “Indenture”) between the Issuer and as trustee (the</w:t>
      </w:r>
    </w:p>
    <w:p>
      <w:pPr>
        <w:spacing w:after="0" w:line="3" w:lineRule="exact"/>
        <w:rPr>
          <w:sz w:val="20"/>
          <w:szCs w:val="20"/>
          <w:color w:val="auto"/>
        </w:rPr>
      </w:pPr>
    </w:p>
    <w:p>
      <w:pPr>
        <w:ind w:left="4" w:right="160"/>
        <w:spacing w:after="0" w:line="253" w:lineRule="auto"/>
        <w:rPr>
          <w:sz w:val="20"/>
          <w:szCs w:val="20"/>
          <w:color w:val="auto"/>
        </w:rPr>
      </w:pPr>
      <w:r>
        <w:rPr>
          <w:rFonts w:ascii="Arial" w:cs="Arial" w:eastAsia="Arial" w:hAnsi="Arial"/>
          <w:sz w:val="18"/>
          <w:szCs w:val="18"/>
          <w:color w:val="auto"/>
        </w:rPr>
        <w:t>“Trustee”).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91" w:lineRule="exact"/>
        <w:rPr>
          <w:sz w:val="20"/>
          <w:szCs w:val="20"/>
          <w:color w:val="auto"/>
        </w:rPr>
      </w:pPr>
    </w:p>
    <w:p>
      <w:pPr>
        <w:jc w:val="both"/>
        <w:ind w:left="4" w:firstLine="440"/>
        <w:spacing w:after="0" w:line="258" w:lineRule="auto"/>
        <w:rPr>
          <w:sz w:val="20"/>
          <w:szCs w:val="20"/>
          <w:color w:val="auto"/>
        </w:rPr>
      </w:pPr>
      <w:r>
        <w:rPr>
          <w:rFonts w:ascii="Arial" w:cs="Arial" w:eastAsia="Arial" w:hAnsi="Arial"/>
          <w:sz w:val="18"/>
          <w:szCs w:val="18"/>
          <w:color w:val="auto"/>
        </w:rPr>
        <w:t>This Security is one of a series of Securities designated pursuant to the Indenture [and a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 , issued pursuant to Section 2.01 and Section 2.03 thereof (the “Supplemental Indenture”)] as . The Securities are general unsecured</w:t>
      </w:r>
    </w:p>
    <w:p>
      <w:pPr>
        <w:spacing w:after="0" w:line="1" w:lineRule="exact"/>
        <w:rPr>
          <w:sz w:val="20"/>
          <w:szCs w:val="20"/>
          <w:color w:val="auto"/>
        </w:rPr>
      </w:pPr>
    </w:p>
    <w:p>
      <w:pPr>
        <w:ind w:left="4" w:right="40"/>
        <w:spacing w:after="0" w:line="260" w:lineRule="auto"/>
        <w:rPr>
          <w:sz w:val="20"/>
          <w:szCs w:val="20"/>
          <w:color w:val="auto"/>
        </w:rPr>
      </w:pPr>
      <w:r>
        <w:rPr>
          <w:rFonts w:ascii="Arial" w:cs="Arial" w:eastAsia="Arial" w:hAnsi="Arial"/>
          <w:sz w:val="18"/>
          <w:szCs w:val="18"/>
          <w:color w:val="auto"/>
        </w:rPr>
        <w:t>obligations of the Issuer. The Issuer may, subject to the provisions of the Indenture and applicable law, issue additional Securities of any series under the Indenture.</w:t>
      </w:r>
    </w:p>
    <w:p>
      <w:pPr>
        <w:spacing w:after="0" w:line="334"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6"/>
          <w:szCs w:val="16"/>
          <w:i w:val="1"/>
          <w:iCs w:val="1"/>
          <w:color w:val="auto"/>
        </w:rPr>
        <w:t>the United States</w:t>
      </w:r>
      <w:r>
        <w:rPr>
          <w:rFonts w:ascii="Arial" w:cs="Arial" w:eastAsia="Arial" w:hAnsi="Arial"/>
          <w:sz w:val="16"/>
          <w:szCs w:val="16"/>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w:t>
      </w:r>
    </w:p>
    <w:p>
      <w:pPr>
        <w:spacing w:after="0" w:line="4" w:lineRule="exact"/>
        <w:rPr>
          <w:sz w:val="20"/>
          <w:szCs w:val="20"/>
          <w:color w:val="auto"/>
        </w:rPr>
      </w:pPr>
    </w:p>
    <w:p>
      <w:pPr>
        <w:ind w:left="4"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a./p.m.</w:t>
      </w:r>
      <w:r>
        <w:rPr>
          <w:rFonts w:ascii="Arial" w:cs="Arial" w:eastAsia="Arial" w:hAnsi="Arial"/>
          <w:sz w:val="18"/>
          <w:szCs w:val="18"/>
          <w:color w:val="auto"/>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004"/>
          </w:cols>
          <w:pgMar w:left="436" w:top="270" w:right="459" w:bottom="1440" w:gutter="0" w:footer="0" w:header="0"/>
        </w:sectPr>
      </w:pPr>
    </w:p>
    <w:bookmarkStart w:id="197" w:name="page198"/>
    <w:bookmarkEnd w:id="197"/>
    <w:p>
      <w:pPr>
        <w:ind w:left="424" w:hanging="424"/>
        <w:spacing w:after="0"/>
        <w:tabs>
          <w:tab w:leader="none" w:pos="4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225" w:lineRule="exact"/>
        <w:rPr>
          <w:sz w:val="20"/>
          <w:szCs w:val="20"/>
          <w:color w:val="auto"/>
        </w:rPr>
      </w:pPr>
    </w:p>
    <w:p>
      <w:pPr>
        <w:ind w:left="444"/>
        <w:spacing w:after="0"/>
        <w:tabs>
          <w:tab w:leader="none" w:pos="6424" w:val="left"/>
          <w:tab w:leader="none" w:pos="7404"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Securities of this series may be redeemed at any time</w:t>
      </w:r>
      <w:r>
        <w:rPr>
          <w:rFonts w:ascii="Arial" w:cs="Arial" w:eastAsia="Arial" w:hAnsi="Arial"/>
          <w:sz w:val="18"/>
          <w:szCs w:val="18"/>
          <w:color w:val="auto"/>
        </w:rPr>
        <w:t xml:space="preserve"> [</w:t>
      </w:r>
      <w:r>
        <w:rPr>
          <w:rFonts w:ascii="Arial" w:cs="Arial" w:eastAsia="Arial" w:hAnsi="Arial"/>
          <w:sz w:val="18"/>
          <w:szCs w:val="18"/>
          <w:i w:val="1"/>
          <w:iCs w:val="1"/>
          <w:color w:val="auto"/>
        </w:rPr>
        <w:t>on or after</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 as a whole or in part, at the option of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Issuer, upon mailing notice of such redemption not less than 10 and not more than 60 days to the Holders of such Securities, at a redemption price equal</w:t>
      </w:r>
    </w:p>
    <w:p>
      <w:pPr>
        <w:spacing w:after="0" w:line="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color w:val="auto"/>
        </w:rPr>
        <w:t>.]</w:t>
      </w:r>
    </w:p>
    <w:p>
      <w:pPr>
        <w:spacing w:after="0" w:line="359" w:lineRule="exact"/>
        <w:rPr>
          <w:sz w:val="20"/>
          <w:szCs w:val="20"/>
          <w:color w:val="auto"/>
        </w:rPr>
      </w:pPr>
    </w:p>
    <w:p>
      <w:pPr>
        <w:ind w:left="424" w:hanging="424"/>
        <w:spacing w:after="0"/>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117"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pacing w:after="0" w:line="319" w:lineRule="exact"/>
        <w:rPr>
          <w:sz w:val="20"/>
          <w:szCs w:val="20"/>
          <w:color w:val="auto"/>
        </w:rPr>
      </w:pPr>
    </w:p>
    <w:p>
      <w:pPr>
        <w:ind w:left="424" w:hanging="424"/>
        <w:spacing w:after="0"/>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Securities are in registered form, without coupons, in denominations of [</w:t>
      </w:r>
      <w:r>
        <w:rPr>
          <w:rFonts w:ascii="Arial" w:cs="Arial" w:eastAsia="Arial" w:hAnsi="Arial"/>
          <w:sz w:val="17"/>
          <w:szCs w:val="17"/>
          <w:i w:val="1"/>
          <w:iCs w:val="1"/>
          <w:color w:val="auto"/>
        </w:rPr>
        <w:t>$2,000</w:t>
      </w:r>
      <w:r>
        <w:rPr>
          <w:rFonts w:ascii="Arial" w:cs="Arial" w:eastAsia="Arial" w:hAnsi="Arial"/>
          <w:sz w:val="17"/>
          <w:szCs w:val="17"/>
          <w:color w:val="auto"/>
        </w:rPr>
        <w:t>] and multiples of [</w:t>
      </w:r>
      <w:r>
        <w:rPr>
          <w:rFonts w:ascii="Arial" w:cs="Arial" w:eastAsia="Arial" w:hAnsi="Arial"/>
          <w:sz w:val="17"/>
          <w:szCs w:val="17"/>
          <w:i w:val="1"/>
          <w:iCs w:val="1"/>
          <w:color w:val="auto"/>
        </w:rPr>
        <w:t>$1,000</w:t>
      </w:r>
      <w:r>
        <w:rPr>
          <w:rFonts w:ascii="Arial" w:cs="Arial" w:eastAsia="Arial" w:hAnsi="Arial"/>
          <w:sz w:val="17"/>
          <w:szCs w:val="17"/>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7"/>
          <w:szCs w:val="17"/>
          <w:i w:val="1"/>
          <w:iCs w:val="1"/>
          <w:color w:val="auto"/>
        </w:rPr>
        <w:t>The Issuer need not register the transfer of or exchange (a) any Securities for a period of fifteen (15) days preceding the first notice that such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registered Holder of a Security shall be treated as the owner of it for all purposes.</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319"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Defeasance.</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Supplemental Indenture</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332"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w:t>
      </w:r>
    </w:p>
    <w:p>
      <w:pPr>
        <w:sectPr>
          <w:pgSz w:w="11900" w:h="16838" w:orient="portrait"/>
          <w:cols w:equalWidth="0" w:num="1">
            <w:col w:w="11004"/>
          </w:cols>
          <w:pgMar w:left="436" w:top="274" w:right="459" w:bottom="1440" w:gutter="0" w:footer="0" w:header="0"/>
        </w:sectPr>
      </w:pPr>
    </w:p>
    <w:bookmarkStart w:id="198" w:name="page199"/>
    <w:bookmarkEnd w:id="198"/>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20"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17"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Security shall not be valid until the Trustee manually signs the certificate of authentication on this Security.</w:t>
      </w:r>
    </w:p>
    <w:p>
      <w:pPr>
        <w:sectPr>
          <w:pgSz w:w="11900" w:h="16838" w:orient="portrait"/>
          <w:cols w:equalWidth="0" w:num="1">
            <w:col w:w="11004"/>
          </w:cols>
          <w:pgMar w:left="436" w:top="274" w:right="459" w:bottom="1440" w:gutter="0" w:footer="0" w:header="0"/>
        </w:sectPr>
      </w:pPr>
    </w:p>
    <w:bookmarkStart w:id="199" w:name="page200"/>
    <w:bookmarkEnd w:id="199"/>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Abbreviations and Defined Terms.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14" w:lineRule="exact"/>
        <w:rPr>
          <w:sz w:val="20"/>
          <w:szCs w:val="20"/>
          <w:color w:val="auto"/>
        </w:rPr>
      </w:pPr>
    </w:p>
    <w:p>
      <w:pPr>
        <w:ind w:left="424" w:hanging="424"/>
        <w:spacing w:after="0"/>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ectPr>
          <w:pgSz w:w="11900" w:h="16838" w:orient="portrait"/>
          <w:cols w:equalWidth="0" w:num="1">
            <w:col w:w="11004"/>
          </w:cols>
          <w:pgMar w:left="436" w:top="274" w:right="45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840" w:type="dxa"/>
            <w:vAlign w:val="bottom"/>
            <w:tcBorders>
              <w:top w:val="single" w:sz="8" w:color="auto"/>
            </w:tcBorders>
            <w:gridSpan w:val="4"/>
          </w:tcPr>
          <w:p>
            <w:pPr>
              <w:jc w:val="center"/>
              <w:ind w:right="211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431"/>
        </w:trPr>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24"/>
        </w:trPr>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40" w:type="dxa"/>
            <w:vAlign w:val="bottom"/>
            <w:gridSpan w:val="4"/>
          </w:tcPr>
          <w:p>
            <w:pPr>
              <w:jc w:val="center"/>
              <w:ind w:right="209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1"/>
        </w:trPr>
        <w:tc>
          <w:tcPr>
            <w:tcW w:w="2180" w:type="dxa"/>
            <w:vAlign w:val="bottom"/>
            <w:gridSpan w:val="2"/>
          </w:tcPr>
          <w:p>
            <w:pPr>
              <w:ind w:left="440"/>
              <w:spacing w:after="0"/>
              <w:rPr>
                <w:sz w:val="20"/>
                <w:szCs w:val="20"/>
                <w:color w:val="auto"/>
              </w:rPr>
            </w:pPr>
            <w:r>
              <w:rPr>
                <w:rFonts w:ascii="Arial" w:cs="Arial" w:eastAsia="Arial" w:hAnsi="Arial"/>
                <w:sz w:val="18"/>
                <w:szCs w:val="18"/>
                <w:color w:val="auto"/>
                <w:w w:val="92"/>
              </w:rPr>
              <w:t>and irrevocably appoint</w:t>
            </w:r>
          </w:p>
        </w:tc>
        <w:tc>
          <w:tcPr>
            <w:tcW w:w="1900" w:type="dxa"/>
            <w:vAlign w:val="bottom"/>
            <w:tcBorders>
              <w:bottom w:val="single" w:sz="8" w:color="auto"/>
            </w:tcBorders>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7"/>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for him.</w:t>
            </w: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21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Signed:</w:t>
            </w:r>
          </w:p>
        </w:tc>
      </w:tr>
      <w:tr>
        <w:trPr>
          <w:trHeight w:val="209"/>
        </w:trPr>
        <w:tc>
          <w:tcPr>
            <w:tcW w:w="6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(Signed exactly as name appears on the other side of this</w:t>
            </w:r>
          </w:p>
        </w:tc>
      </w:tr>
      <w:tr>
        <w:trPr>
          <w:trHeight w:val="230"/>
        </w:trPr>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Security)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5715</wp:posOffset>
            </wp:positionV>
            <wp:extent cx="31457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1020"/>
          </w:cols>
          <w:pgMar w:left="440" w:top="270" w:right="4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Subordinated Note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(FACE OF SECURITY)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Global Security shall bear substantially the following legend: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has original issue discount for U.S. federal income tax purposes, insert tax legend:</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 PURPOSES OF SECTIONS 1272, 1273 AND 1275 OF THE INTERNAL REVENUE CODE OF 1986, AS AMENDED, AND THE RULES AND</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Title of Security ]</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9"/>
              </w:rPr>
              <w:t>No. [</w:t>
            </w:r>
          </w:p>
        </w:tc>
        <w:tc>
          <w:tcPr>
            <w:tcW w:w="148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CUSIP No.: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160" w:type="dxa"/>
            <w:vAlign w:val="bottom"/>
            <w:gridSpan w:val="2"/>
          </w:tcPr>
          <w:p>
            <w:pPr>
              <w:jc w:val="right"/>
              <w:ind w:right="70"/>
              <w:spacing w:after="0"/>
              <w:rPr>
                <w:sz w:val="20"/>
                <w:szCs w:val="20"/>
                <w:color w:val="auto"/>
              </w:rPr>
            </w:pPr>
            <w:r>
              <w:rPr>
                <w:rFonts w:ascii="Arial" w:cs="Arial" w:eastAsia="Arial" w:hAnsi="Arial"/>
                <w:sz w:val="18"/>
                <w:szCs w:val="18"/>
                <w:color w:val="auto"/>
              </w:rPr>
              <w:t>[Common Code][ISIN]: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400" w:type="dxa"/>
            <w:vAlign w:val="bottom"/>
          </w:tcPr>
          <w:p>
            <w:pPr>
              <w:spacing w:after="0"/>
              <w:rPr>
                <w:sz w:val="24"/>
                <w:szCs w:val="24"/>
                <w:color w:val="auto"/>
              </w:rPr>
            </w:pPr>
          </w:p>
        </w:tc>
        <w:tc>
          <w:tcPr>
            <w:tcW w:w="10540" w:type="dxa"/>
            <w:vAlign w:val="bottom"/>
            <w:gridSpan w:val="6"/>
          </w:tcPr>
          <w:p>
            <w:pPr>
              <w:jc w:val="right"/>
              <w:ind w:right="70"/>
              <w:spacing w:after="0"/>
              <w:rPr>
                <w:sz w:val="20"/>
                <w:szCs w:val="20"/>
                <w:color w:val="auto"/>
              </w:rPr>
            </w:pPr>
            <w:r>
              <w:rPr>
                <w:rFonts w:ascii="Arial" w:cs="Arial" w:eastAsia="Arial" w:hAnsi="Arial"/>
                <w:sz w:val="18"/>
                <w:szCs w:val="18"/>
                <w:color w:val="auto"/>
                <w:w w:val="92"/>
              </w:rPr>
              <w:t>FULCRUM THERAPEUTICS, INC., a Delaware corporation (the “Issuer”, which term includes any successor corporation), for value received</w:t>
            </w:r>
          </w:p>
        </w:tc>
        <w:tc>
          <w:tcPr>
            <w:tcW w:w="80" w:type="dxa"/>
            <w:vAlign w:val="bottom"/>
          </w:tcPr>
          <w:p>
            <w:pPr>
              <w:spacing w:after="0"/>
              <w:rPr>
                <w:sz w:val="24"/>
                <w:szCs w:val="24"/>
                <w:color w:val="auto"/>
              </w:rPr>
            </w:pPr>
          </w:p>
        </w:tc>
      </w:tr>
      <w:tr>
        <w:trPr>
          <w:trHeight w:val="216"/>
        </w:trPr>
        <w:tc>
          <w:tcPr>
            <w:tcW w:w="9120" w:type="dxa"/>
            <w:vAlign w:val="bottom"/>
            <w:gridSpan w:val="6"/>
          </w:tcPr>
          <w:p>
            <w:pPr>
              <w:spacing w:after="0"/>
              <w:rPr>
                <w:sz w:val="20"/>
                <w:szCs w:val="20"/>
                <w:color w:val="auto"/>
              </w:rPr>
            </w:pPr>
            <w:r>
              <w:rPr>
                <w:rFonts w:ascii="Arial" w:cs="Arial" w:eastAsia="Arial" w:hAnsi="Arial"/>
                <w:sz w:val="18"/>
                <w:szCs w:val="18"/>
                <w:color w:val="auto"/>
              </w:rPr>
              <w:t>promises to pay to [</w:t>
            </w:r>
            <w:r>
              <w:rPr>
                <w:rFonts w:ascii="Arial" w:cs="Arial" w:eastAsia="Arial" w:hAnsi="Arial"/>
                <w:sz w:val="18"/>
                <w:szCs w:val="18"/>
                <w:i w:val="1"/>
                <w:iCs w:val="1"/>
                <w:color w:val="auto"/>
              </w:rPr>
              <w:t>If the Security is a Global Security —</w:t>
            </w:r>
            <w:r>
              <w:rPr>
                <w:rFonts w:ascii="Arial" w:cs="Arial" w:eastAsia="Arial" w:hAnsi="Arial"/>
                <w:sz w:val="18"/>
                <w:szCs w:val="18"/>
                <w:color w:val="auto"/>
              </w:rPr>
              <w:t xml:space="preserve"> CEDE &amp; CO.][</w:t>
            </w:r>
            <w:r>
              <w:rPr>
                <w:rFonts w:ascii="Arial" w:cs="Arial" w:eastAsia="Arial" w:hAnsi="Arial"/>
                <w:sz w:val="18"/>
                <w:szCs w:val="18"/>
                <w:i w:val="1"/>
                <w:iCs w:val="1"/>
                <w:color w:val="auto"/>
              </w:rPr>
              <w:t>If the Security is not a Global Security</w:t>
            </w:r>
            <w:r>
              <w:rPr>
                <w:rFonts w:ascii="Arial" w:cs="Arial" w:eastAsia="Arial" w:hAnsi="Arial"/>
                <w:sz w:val="18"/>
                <w:szCs w:val="18"/>
                <w:color w:val="auto"/>
              </w:rPr>
              <w:t xml:space="preserve"> —</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w w:val="92"/>
              </w:rPr>
              <w:t>] or registered assigns,</w:t>
            </w:r>
          </w:p>
        </w:tc>
        <w:tc>
          <w:tcPr>
            <w:tcW w:w="80" w:type="dxa"/>
            <w:vAlign w:val="bottom"/>
          </w:tcPr>
          <w:p>
            <w:pPr>
              <w:spacing w:after="0"/>
              <w:rPr>
                <w:sz w:val="18"/>
                <w:szCs w:val="18"/>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the principal sum of</w:t>
            </w:r>
          </w:p>
        </w:tc>
        <w:tc>
          <w:tcPr>
            <w:tcW w:w="940" w:type="dxa"/>
            <w:vAlign w:val="bottom"/>
          </w:tcPr>
          <w:p>
            <w:pPr>
              <w:ind w:left="360"/>
              <w:spacing w:after="0"/>
              <w:rPr>
                <w:sz w:val="20"/>
                <w:szCs w:val="20"/>
                <w:color w:val="auto"/>
              </w:rPr>
            </w:pPr>
            <w:r>
              <w:rPr>
                <w:rFonts w:ascii="Arial" w:cs="Arial" w:eastAsia="Arial" w:hAnsi="Arial"/>
                <w:sz w:val="18"/>
                <w:szCs w:val="18"/>
                <w:color w:val="auto"/>
              </w:rPr>
              <w:t>on</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560" w:type="dxa"/>
            <w:vAlign w:val="bottom"/>
            <w:gridSpan w:val="3"/>
          </w:tcPr>
          <w:p>
            <w:pPr>
              <w:jc w:val="right"/>
              <w:ind w:right="50"/>
              <w:spacing w:after="0"/>
              <w:rPr>
                <w:sz w:val="20"/>
                <w:szCs w:val="20"/>
                <w:color w:val="auto"/>
              </w:rPr>
            </w:pPr>
            <w:r>
              <w:rPr>
                <w:rFonts w:ascii="Arial" w:cs="Arial" w:eastAsia="Arial" w:hAnsi="Arial"/>
                <w:sz w:val="18"/>
                <w:szCs w:val="18"/>
                <w:color w:val="auto"/>
                <w:w w:val="94"/>
              </w:rPr>
              <w:t>(the “Maturity Date”) [</w:t>
            </w:r>
            <w:r>
              <w:rPr>
                <w:rFonts w:ascii="Arial" w:cs="Arial" w:eastAsia="Arial" w:hAnsi="Arial"/>
                <w:sz w:val="18"/>
                <w:szCs w:val="18"/>
                <w:i w:val="1"/>
                <w:iCs w:val="1"/>
                <w:color w:val="auto"/>
                <w:w w:val="94"/>
              </w:rPr>
              <w:t>If the Security is to bear interest prior to maturity, insert—</w:t>
            </w:r>
            <w:r>
              <w:rPr>
                <w:rFonts w:ascii="Arial" w:cs="Arial" w:eastAsia="Arial" w:hAnsi="Arial"/>
                <w:sz w:val="18"/>
                <w:szCs w:val="18"/>
                <w:color w:val="auto"/>
                <w:w w:val="94"/>
              </w:rPr>
              <w:t>, and to pay interest</w:t>
            </w:r>
          </w:p>
        </w:tc>
        <w:tc>
          <w:tcPr>
            <w:tcW w:w="80" w:type="dxa"/>
            <w:vAlign w:val="bottom"/>
          </w:tcPr>
          <w:p>
            <w:pPr>
              <w:spacing w:after="0"/>
              <w:rPr>
                <w:sz w:val="18"/>
                <w:szCs w:val="18"/>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thereon from</w:t>
            </w:r>
          </w:p>
        </w:tc>
        <w:tc>
          <w:tcPr>
            <w:tcW w:w="9060" w:type="dxa"/>
            <w:vAlign w:val="bottom"/>
            <w:gridSpan w:val="5"/>
          </w:tcPr>
          <w:p>
            <w:pPr>
              <w:jc w:val="right"/>
              <w:ind w:right="10"/>
              <w:spacing w:after="0"/>
              <w:rPr>
                <w:sz w:val="20"/>
                <w:szCs w:val="20"/>
                <w:color w:val="auto"/>
              </w:rPr>
            </w:pPr>
            <w:r>
              <w:rPr>
                <w:rFonts w:ascii="Arial" w:cs="Arial" w:eastAsia="Arial" w:hAnsi="Arial"/>
                <w:sz w:val="18"/>
                <w:szCs w:val="18"/>
                <w:color w:val="auto"/>
                <w:w w:val="91"/>
              </w:rPr>
              <w:t xml:space="preserve">or from the most recent interest payment date to which interest has been paid or duly provided for, </w:t>
            </w:r>
            <w:r>
              <w:rPr>
                <w:rFonts w:ascii="Arial" w:cs="Arial" w:eastAsia="Arial" w:hAnsi="Arial"/>
                <w:sz w:val="18"/>
                <w:szCs w:val="18"/>
                <w:i w:val="1"/>
                <w:iCs w:val="1"/>
                <w:color w:val="auto"/>
                <w:w w:val="91"/>
              </w:rPr>
              <w:t>[semiannually in arrears</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i w:val="1"/>
                <w:iCs w:val="1"/>
                <w:color w:val="auto"/>
              </w:rPr>
              <w:t>on</w:t>
            </w:r>
          </w:p>
        </w:tc>
        <w:tc>
          <w:tcPr>
            <w:tcW w:w="1480" w:type="dxa"/>
            <w:vAlign w:val="bottom"/>
          </w:tcPr>
          <w:p>
            <w:pPr>
              <w:jc w:val="right"/>
              <w:ind w:right="350"/>
              <w:spacing w:after="0"/>
              <w:rPr>
                <w:sz w:val="20"/>
                <w:szCs w:val="20"/>
                <w:color w:val="auto"/>
              </w:rPr>
            </w:pPr>
            <w:r>
              <w:rPr>
                <w:rFonts w:ascii="Arial" w:cs="Arial" w:eastAsia="Arial" w:hAnsi="Arial"/>
                <w:sz w:val="18"/>
                <w:szCs w:val="18"/>
                <w:i w:val="1"/>
                <w:iCs w:val="1"/>
                <w:color w:val="auto"/>
              </w:rPr>
              <w:t>and</w:t>
            </w:r>
          </w:p>
        </w:tc>
        <w:tc>
          <w:tcPr>
            <w:tcW w:w="2900" w:type="dxa"/>
            <w:vAlign w:val="bottom"/>
            <w:gridSpan w:val="3"/>
          </w:tcPr>
          <w:p>
            <w:pPr>
              <w:ind w:left="540"/>
              <w:spacing w:after="0"/>
              <w:rPr>
                <w:sz w:val="20"/>
                <w:szCs w:val="20"/>
                <w:color w:val="auto"/>
              </w:rPr>
            </w:pPr>
            <w:r>
              <w:rPr>
                <w:rFonts w:ascii="Arial" w:cs="Arial" w:eastAsia="Arial" w:hAnsi="Arial"/>
                <w:sz w:val="18"/>
                <w:szCs w:val="18"/>
                <w:i w:val="1"/>
                <w:iCs w:val="1"/>
                <w:color w:val="auto"/>
              </w:rPr>
              <w:t>in each year</w:t>
            </w:r>
            <w:r>
              <w:rPr>
                <w:rFonts w:ascii="Arial" w:cs="Arial" w:eastAsia="Arial" w:hAnsi="Arial"/>
                <w:sz w:val="18"/>
                <w:szCs w:val="18"/>
                <w:color w:val="auto"/>
              </w:rPr>
              <w:t>], commencing</w:t>
            </w:r>
          </w:p>
        </w:tc>
        <w:tc>
          <w:tcPr>
            <w:tcW w:w="4340" w:type="dxa"/>
            <w:vAlign w:val="bottom"/>
          </w:tcPr>
          <w:p>
            <w:pPr>
              <w:ind w:left="380"/>
              <w:spacing w:after="0"/>
              <w:rPr>
                <w:sz w:val="20"/>
                <w:szCs w:val="20"/>
                <w:color w:val="auto"/>
              </w:rPr>
            </w:pPr>
            <w:r>
              <w:rPr>
                <w:rFonts w:ascii="Arial" w:cs="Arial" w:eastAsia="Arial" w:hAnsi="Arial"/>
                <w:sz w:val="18"/>
                <w:szCs w:val="18"/>
                <w:color w:val="auto"/>
                <w:w w:val="95"/>
              </w:rPr>
              <w:t>,   (each, an “Interest Payment Date”) at the rate of [</w:t>
            </w:r>
          </w:p>
        </w:tc>
        <w:tc>
          <w:tcPr>
            <w:tcW w:w="1820" w:type="dxa"/>
            <w:vAlign w:val="bottom"/>
          </w:tcPr>
          <w:p>
            <w:pPr>
              <w:jc w:val="right"/>
              <w:spacing w:after="0"/>
              <w:rPr>
                <w:sz w:val="20"/>
                <w:szCs w:val="20"/>
                <w:color w:val="auto"/>
              </w:rPr>
            </w:pPr>
            <w:r>
              <w:rPr>
                <w:rFonts w:ascii="Arial" w:cs="Arial" w:eastAsia="Arial" w:hAnsi="Arial"/>
                <w:sz w:val="18"/>
                <w:szCs w:val="18"/>
                <w:color w:val="auto"/>
                <w:w w:val="96"/>
              </w:rPr>
              <w:t>% per annum], until the</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5"/>
              </w:rPr>
              <w:t>principal hereof is paid or made available for payment [</w:t>
            </w:r>
            <w:r>
              <w:rPr>
                <w:rFonts w:ascii="Arial" w:cs="Arial" w:eastAsia="Arial" w:hAnsi="Arial"/>
                <w:sz w:val="18"/>
                <w:szCs w:val="18"/>
                <w:i w:val="1"/>
                <w:iCs w:val="1"/>
                <w:color w:val="auto"/>
                <w:w w:val="95"/>
              </w:rPr>
              <w:t>If applicable insert—,</w:t>
            </w:r>
            <w:r>
              <w:rPr>
                <w:rFonts w:ascii="Arial" w:cs="Arial" w:eastAsia="Arial" w:hAnsi="Arial"/>
                <w:sz w:val="18"/>
                <w:szCs w:val="18"/>
                <w:color w:val="auto"/>
                <w:w w:val="95"/>
              </w:rPr>
              <w:t xml:space="preserve"> and (to the extent that the payment of such interest shall be legally</w:t>
            </w:r>
          </w:p>
        </w:tc>
        <w:tc>
          <w:tcPr>
            <w:tcW w:w="80" w:type="dxa"/>
            <w:vAlign w:val="bottom"/>
          </w:tcPr>
          <w:p>
            <w:pPr>
              <w:spacing w:after="0"/>
              <w:rPr>
                <w:sz w:val="18"/>
                <w:szCs w:val="18"/>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enforceable) at the rate of</w:t>
            </w:r>
          </w:p>
        </w:tc>
        <w:tc>
          <w:tcPr>
            <w:tcW w:w="9060" w:type="dxa"/>
            <w:vAlign w:val="bottom"/>
            <w:gridSpan w:val="5"/>
          </w:tcPr>
          <w:p>
            <w:pPr>
              <w:jc w:val="right"/>
              <w:spacing w:after="0"/>
              <w:rPr>
                <w:sz w:val="20"/>
                <w:szCs w:val="20"/>
                <w:color w:val="auto"/>
              </w:rPr>
            </w:pPr>
            <w:r>
              <w:rPr>
                <w:rFonts w:ascii="Arial" w:cs="Arial" w:eastAsia="Arial" w:hAnsi="Arial"/>
                <w:sz w:val="18"/>
                <w:szCs w:val="18"/>
                <w:color w:val="auto"/>
                <w:w w:val="92"/>
              </w:rPr>
              <w:t>% per annum on any overdue principal and on any overdue installment of interest]. The interest so payable, and punctually</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1"/>
              </w:rPr>
              <w:t>paid or duly provided for, on any Interest Payment Date will, as provided in the Indenture (as defined below), be paid to the Holder in whose name this</w:t>
            </w:r>
          </w:p>
        </w:tc>
        <w:tc>
          <w:tcPr>
            <w:tcW w:w="80" w:type="dxa"/>
            <w:vAlign w:val="bottom"/>
          </w:tcPr>
          <w:p>
            <w:pPr>
              <w:spacing w:after="0"/>
              <w:rPr>
                <w:sz w:val="18"/>
                <w:szCs w:val="18"/>
                <w:color w:val="auto"/>
              </w:rPr>
            </w:pPr>
          </w:p>
        </w:tc>
      </w:tr>
      <w:tr>
        <w:trPr>
          <w:trHeight w:val="216"/>
        </w:trPr>
        <w:tc>
          <w:tcPr>
            <w:tcW w:w="10940" w:type="dxa"/>
            <w:vAlign w:val="bottom"/>
            <w:gridSpan w:val="7"/>
          </w:tcPr>
          <w:p>
            <w:pPr>
              <w:spacing w:after="0"/>
              <w:rPr>
                <w:sz w:val="20"/>
                <w:szCs w:val="20"/>
                <w:color w:val="auto"/>
              </w:rPr>
            </w:pPr>
            <w:r>
              <w:rPr>
                <w:rFonts w:ascii="Arial" w:cs="Arial" w:eastAsia="Arial" w:hAnsi="Arial"/>
                <w:sz w:val="18"/>
                <w:szCs w:val="18"/>
                <w:color w:val="auto"/>
                <w:w w:val="97"/>
              </w:rPr>
              <w:t>Security (or one or more predecessor Securities) is registered at the close of business on the record date for such interest, which shall be the</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or</w:t>
            </w:r>
          </w:p>
        </w:tc>
        <w:tc>
          <w:tcPr>
            <w:tcW w:w="10540" w:type="dxa"/>
            <w:vAlign w:val="bottom"/>
            <w:gridSpan w:val="6"/>
          </w:tcPr>
          <w:p>
            <w:pPr>
              <w:jc w:val="right"/>
              <w:ind w:right="870"/>
              <w:spacing w:after="0"/>
              <w:rPr>
                <w:sz w:val="20"/>
                <w:szCs w:val="20"/>
                <w:color w:val="auto"/>
              </w:rPr>
            </w:pPr>
            <w:r>
              <w:rPr>
                <w:rFonts w:ascii="Arial" w:cs="Arial" w:eastAsia="Arial" w:hAnsi="Arial"/>
                <w:sz w:val="18"/>
                <w:szCs w:val="18"/>
                <w:color w:val="auto"/>
                <w:w w:val="96"/>
              </w:rPr>
              <w:t>(whether or not a Business Day), as the case may be, next preceding such Interest Payment Date (each, an “Interest Record</w:t>
            </w:r>
          </w:p>
        </w:tc>
        <w:tc>
          <w:tcPr>
            <w:tcW w:w="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Date”). Interest will be computed on the basis of [</w:t>
      </w:r>
      <w:r>
        <w:rPr>
          <w:rFonts w:ascii="Arial" w:cs="Arial" w:eastAsia="Arial" w:hAnsi="Arial"/>
          <w:sz w:val="18"/>
          <w:szCs w:val="18"/>
          <w:i w:val="1"/>
          <w:iCs w:val="1"/>
          <w:color w:val="auto"/>
        </w:rPr>
        <w:t>a 360-day year of twelve 30-day months</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the Security is not to bear interest prior to maturity, insert—</w:t>
      </w:r>
      <w:r>
        <w:rPr>
          <w:rFonts w:ascii="Arial" w:cs="Arial" w:eastAsia="Arial" w:hAnsi="Arial"/>
          <w:sz w:val="18"/>
          <w:szCs w:val="18"/>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Reference is made to the further provisions set forth on the reverse of this Security contained herein, which will for all purposes have the same effect as if set forth at this place.</w:t>
      </w:r>
    </w:p>
    <w:p>
      <w:pPr>
        <w:sectPr>
          <w:pgSz w:w="11900" w:h="16838" w:orient="portrait"/>
          <w:cols w:equalWidth="0" w:num="1">
            <w:col w:w="11020"/>
          </w:cols>
          <w:pgMar w:left="440" w:top="274" w:right="439" w:bottom="1440" w:gutter="0" w:footer="0" w:header="0"/>
        </w:sectPr>
      </w:pPr>
    </w:p>
    <w:bookmarkStart w:id="203" w:name="page204"/>
    <w:bookmarkEnd w:id="20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14605</wp:posOffset>
            </wp:positionV>
            <wp:extent cx="22028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0460"/>
          </w:cols>
          <w:pgMar w:left="440" w:top="274" w:right="999" w:bottom="1440" w:gutter="0" w:footer="0" w:header="0"/>
        </w:sectPr>
      </w:pPr>
    </w:p>
    <w:bookmarkStart w:id="204" w:name="page205"/>
    <w:bookmarkEnd w:id="20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FULCRUM THERAPEUTICS, INC.</w:t>
      </w: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 Title of Security ]</w:t>
      </w:r>
    </w:p>
    <w:p>
      <w:pPr>
        <w:spacing w:after="0" w:line="256"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Security is one of a duly authorized issue of debentures, notes or other evidence of indebtedness (hereinafter called the “Securities”) of the</w:t>
      </w:r>
    </w:p>
    <w:p>
      <w:pPr>
        <w:spacing w:after="0" w:line="46" w:lineRule="exact"/>
        <w:rPr>
          <w:sz w:val="20"/>
          <w:szCs w:val="20"/>
          <w:color w:val="auto"/>
        </w:rPr>
      </w:pPr>
    </w:p>
    <w:p>
      <w:pPr>
        <w:ind w:left="4"/>
        <w:spacing w:after="0" w:line="250" w:lineRule="auto"/>
        <w:rPr>
          <w:sz w:val="20"/>
          <w:szCs w:val="20"/>
          <w:color w:val="auto"/>
        </w:rPr>
      </w:pPr>
      <w:r>
        <w:rPr>
          <w:rFonts w:ascii="Arial" w:cs="Arial" w:eastAsia="Arial" w:hAnsi="Arial"/>
          <w:sz w:val="18"/>
          <w:szCs w:val="18"/>
          <w:color w:val="auto"/>
        </w:rPr>
        <w:t>Issuer of the series hereinafter specified, which series is initially limited in aggregate principal amount to [</w:t>
      </w:r>
      <w:r>
        <w:rPr>
          <w:rFonts w:ascii="Arial" w:cs="Arial" w:eastAsia="Arial" w:hAnsi="Arial"/>
          <w:sz w:val="18"/>
          <w:szCs w:val="18"/>
          <w:i w:val="1"/>
          <w:iCs w:val="1"/>
          <w:color w:val="auto"/>
        </w:rPr>
        <w:t>$</w:t>
      </w:r>
      <w:r>
        <w:rPr>
          <w:rFonts w:ascii="Arial" w:cs="Arial" w:eastAsia="Arial" w:hAnsi="Arial"/>
          <w:sz w:val="18"/>
          <w:szCs w:val="18"/>
          <w:color w:val="auto"/>
        </w:rPr>
        <w:t>] , all of such Securities issued and to be issued under an Indenture dated as of , (the “Indenture”) between the Issuer and as trustee (the “Trustee”). Capitalized terms</w:t>
      </w:r>
    </w:p>
    <w:p>
      <w:pPr>
        <w:spacing w:after="0" w:line="1" w:lineRule="exact"/>
        <w:rPr>
          <w:sz w:val="20"/>
          <w:szCs w:val="20"/>
          <w:color w:val="auto"/>
        </w:rPr>
      </w:pPr>
    </w:p>
    <w:p>
      <w:pPr>
        <w:ind w:left="4" w:right="100"/>
        <w:spacing w:after="0" w:line="295" w:lineRule="auto"/>
        <w:rPr>
          <w:sz w:val="20"/>
          <w:szCs w:val="20"/>
          <w:color w:val="auto"/>
        </w:rPr>
      </w:pPr>
      <w:r>
        <w:rPr>
          <w:rFonts w:ascii="Arial" w:cs="Arial" w:eastAsia="Arial" w:hAnsi="Arial"/>
          <w:sz w:val="16"/>
          <w:szCs w:val="16"/>
          <w:color w:val="auto"/>
        </w:rPr>
        <w:t>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61" w:lineRule="exact"/>
        <w:rPr>
          <w:sz w:val="20"/>
          <w:szCs w:val="20"/>
          <w:color w:val="auto"/>
        </w:rPr>
      </w:pPr>
    </w:p>
    <w:p>
      <w:pPr>
        <w:ind w:left="4" w:right="160" w:firstLine="440"/>
        <w:spacing w:after="0" w:line="274" w:lineRule="auto"/>
        <w:rPr>
          <w:sz w:val="20"/>
          <w:szCs w:val="20"/>
          <w:color w:val="auto"/>
        </w:rPr>
      </w:pPr>
      <w:r>
        <w:rPr>
          <w:rFonts w:ascii="Arial" w:cs="Arial" w:eastAsia="Arial" w:hAnsi="Arial"/>
          <w:sz w:val="17"/>
          <w:szCs w:val="17"/>
          <w:color w:val="auto"/>
        </w:rPr>
        <w:t>This Security is one of a series of Securities designated pursuant to the Indenture [and a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 , issued pursuant to Section 2.01 and Section 2.03 thereof (the “Supplemental Indenture”)] as . The Securities are general unsecured obligations of</w:t>
      </w:r>
    </w:p>
    <w:p>
      <w:pPr>
        <w:ind w:left="4"/>
        <w:spacing w:after="0"/>
        <w:rPr>
          <w:sz w:val="20"/>
          <w:szCs w:val="20"/>
          <w:color w:val="auto"/>
        </w:rPr>
      </w:pPr>
      <w:r>
        <w:rPr>
          <w:rFonts w:ascii="Arial" w:cs="Arial" w:eastAsia="Arial" w:hAnsi="Arial"/>
          <w:sz w:val="16"/>
          <w:szCs w:val="16"/>
          <w:color w:val="auto"/>
        </w:rPr>
        <w:t>the Issuer. The Issuer may, subject to the provisions of the Indenture and applicable law, issue additional Securities of any series under the Indenture.</w:t>
      </w:r>
    </w:p>
    <w:p>
      <w:pPr>
        <w:spacing w:after="0" w:line="382" w:lineRule="exact"/>
        <w:rPr>
          <w:sz w:val="20"/>
          <w:szCs w:val="20"/>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Arial" w:cs="Arial" w:eastAsia="Arial" w:hAnsi="Arial"/>
          <w:sz w:val="17"/>
          <w:szCs w:val="17"/>
          <w:i w:val="1"/>
          <w:iCs w:val="1"/>
          <w:color w:val="auto"/>
        </w:rPr>
        <w:t>the United States</w:t>
      </w:r>
      <w:r>
        <w:rPr>
          <w:rFonts w:ascii="Arial" w:cs="Arial" w:eastAsia="Arial" w:hAnsi="Arial"/>
          <w:sz w:val="17"/>
          <w:szCs w:val="17"/>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w:t>
      </w:r>
      <w:r>
        <w:rPr>
          <w:rFonts w:ascii="Arial" w:cs="Arial" w:eastAsia="Arial" w:hAnsi="Arial"/>
          <w:sz w:val="17"/>
          <w:szCs w:val="17"/>
          <w:i w:val="1"/>
          <w:iCs w:val="1"/>
          <w:color w:val="auto"/>
        </w:rPr>
        <w:t>a./p.m.</w:t>
      </w:r>
      <w:r>
        <w:rPr>
          <w:rFonts w:ascii="Arial" w:cs="Arial" w:eastAsia="Arial" w:hAnsi="Arial"/>
          <w:sz w:val="17"/>
          <w:szCs w:val="17"/>
          <w:color w:val="auto"/>
        </w:rPr>
        <w:t>],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ectPr>
          <w:pgSz w:w="11900" w:h="16838" w:orient="portrait"/>
          <w:cols w:equalWidth="0" w:num="1">
            <w:col w:w="11004"/>
          </w:cols>
          <w:pgMar w:left="436" w:top="270" w:right="459" w:bottom="1440" w:gutter="0" w:footer="0" w:header="0"/>
        </w:sectPr>
      </w:pPr>
    </w:p>
    <w:bookmarkStart w:id="205" w:name="page206"/>
    <w:bookmarkEnd w:id="205"/>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sz w:val="20"/>
          <w:szCs w:val="20"/>
          <w:color w:val="auto"/>
        </w:rPr>
      </w:pPr>
    </w:p>
    <w:p>
      <w:pPr>
        <w:ind w:left="444"/>
        <w:spacing w:after="0"/>
        <w:tabs>
          <w:tab w:leader="none" w:pos="6424" w:val="left"/>
          <w:tab w:leader="none" w:pos="7404"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Securities of this series may be redeemed at any time</w:t>
      </w:r>
      <w:r>
        <w:rPr>
          <w:rFonts w:ascii="Arial" w:cs="Arial" w:eastAsia="Arial" w:hAnsi="Arial"/>
          <w:sz w:val="18"/>
          <w:szCs w:val="18"/>
          <w:color w:val="auto"/>
        </w:rPr>
        <w:t xml:space="preserve"> [</w:t>
      </w:r>
      <w:r>
        <w:rPr>
          <w:rFonts w:ascii="Arial" w:cs="Arial" w:eastAsia="Arial" w:hAnsi="Arial"/>
          <w:sz w:val="18"/>
          <w:szCs w:val="18"/>
          <w:i w:val="1"/>
          <w:iCs w:val="1"/>
          <w:color w:val="auto"/>
        </w:rPr>
        <w:t>on or after</w:t>
      </w:r>
      <w:r>
        <w:rPr>
          <w:sz w:val="20"/>
          <w:szCs w:val="20"/>
          <w:color w:val="auto"/>
        </w:rPr>
        <w:tab/>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 as a whole or in part, at the option of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Issuer, upon mailing notice of such redemption not less than 10 and not more than 60 days to the Holders of such Securities, at a redemption price equal</w:t>
      </w:r>
    </w:p>
    <w:p>
      <w:pPr>
        <w:spacing w:after="0" w:line="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color w:val="auto"/>
        </w:rPr>
        <w:t>.]</w:t>
      </w:r>
    </w:p>
    <w:p>
      <w:pPr>
        <w:spacing w:after="0" w:line="359" w:lineRule="exact"/>
        <w:rPr>
          <w:sz w:val="20"/>
          <w:szCs w:val="20"/>
          <w:color w:val="auto"/>
        </w:rPr>
      </w:pPr>
    </w:p>
    <w:p>
      <w:pPr>
        <w:ind w:left="424" w:hanging="424"/>
        <w:spacing w:after="0"/>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Paying Agent and Security Registrar.</w:t>
      </w:r>
    </w:p>
    <w:p>
      <w:pPr>
        <w:spacing w:after="0" w:line="117"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Initially, the Trustee will act as Paying Agent and Security Registrar. The Issuer may change any Paying Agent or Security Registrar without notice to the Holders.</w:t>
      </w:r>
    </w:p>
    <w:p>
      <w:pPr>
        <w:spacing w:after="0" w:line="319" w:lineRule="exact"/>
        <w:rPr>
          <w:sz w:val="20"/>
          <w:szCs w:val="20"/>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Securities are in registered form, without coupons, in denominations of [</w:t>
      </w:r>
      <w:r>
        <w:rPr>
          <w:rFonts w:ascii="Arial" w:cs="Arial" w:eastAsia="Arial" w:hAnsi="Arial"/>
          <w:sz w:val="17"/>
          <w:szCs w:val="17"/>
          <w:i w:val="1"/>
          <w:iCs w:val="1"/>
          <w:color w:val="auto"/>
        </w:rPr>
        <w:t>$2,000</w:t>
      </w:r>
      <w:r>
        <w:rPr>
          <w:rFonts w:ascii="Arial" w:cs="Arial" w:eastAsia="Arial" w:hAnsi="Arial"/>
          <w:sz w:val="17"/>
          <w:szCs w:val="17"/>
          <w:color w:val="auto"/>
        </w:rPr>
        <w:t>] and multiples of [</w:t>
      </w:r>
      <w:r>
        <w:rPr>
          <w:rFonts w:ascii="Arial" w:cs="Arial" w:eastAsia="Arial" w:hAnsi="Arial"/>
          <w:sz w:val="17"/>
          <w:szCs w:val="17"/>
          <w:i w:val="1"/>
          <w:iCs w:val="1"/>
          <w:color w:val="auto"/>
        </w:rPr>
        <w:t>$1,000</w:t>
      </w:r>
      <w:r>
        <w:rPr>
          <w:rFonts w:ascii="Arial" w:cs="Arial" w:eastAsia="Arial" w:hAnsi="Arial"/>
          <w:sz w:val="17"/>
          <w:szCs w:val="17"/>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Arial" w:cs="Arial" w:eastAsia="Arial" w:hAnsi="Arial"/>
          <w:sz w:val="17"/>
          <w:szCs w:val="17"/>
          <w:i w:val="1"/>
          <w:iCs w:val="1"/>
          <w:color w:val="auto"/>
        </w:rPr>
        <w:t>The Issuer need not register the transfer of or exchange (a) any Securities for a period of fifteen (15) days preceding the first notice that such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are to be redeemed, or (b) any Securities selected, called or being called for redemption in whole or in part, except, in the case of any Security to be redeemed in part, the portion thereof not to be so redeemed.</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registered Holder of a Security shall be treated as the owner of it for all purposes.</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319" w:lineRule="exact"/>
        <w:rPr>
          <w:sz w:val="20"/>
          <w:szCs w:val="20"/>
          <w:color w:val="auto"/>
        </w:rPr>
      </w:pPr>
    </w:p>
    <w:p>
      <w:pPr>
        <w:ind w:left="424" w:hanging="424"/>
        <w:spacing w:after="0"/>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Defeasance.</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Indenture [</w:t>
      </w:r>
      <w:r>
        <w:rPr>
          <w:rFonts w:ascii="Arial" w:cs="Arial" w:eastAsia="Arial" w:hAnsi="Arial"/>
          <w:sz w:val="18"/>
          <w:szCs w:val="18"/>
          <w:i w:val="1"/>
          <w:iCs w:val="1"/>
          <w:color w:val="auto"/>
        </w:rPr>
        <w:t>as amended by the Supplemental Indenture</w:t>
      </w:r>
      <w:r>
        <w:rPr>
          <w:rFonts w:ascii="Arial" w:cs="Arial" w:eastAsia="Arial" w:hAnsi="Arial"/>
          <w:sz w:val="18"/>
          <w:szCs w:val="18"/>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Arial" w:cs="Arial" w:eastAsia="Arial" w:hAnsi="Arial"/>
          <w:sz w:val="18"/>
          <w:szCs w:val="18"/>
          <w:i w:val="1"/>
          <w:iCs w:val="1"/>
          <w:color w:val="auto"/>
        </w:rPr>
        <w:t>apply</w:t>
      </w:r>
      <w:r>
        <w:rPr>
          <w:rFonts w:ascii="Arial" w:cs="Arial" w:eastAsia="Arial" w:hAnsi="Arial"/>
          <w:sz w:val="18"/>
          <w:szCs w:val="18"/>
          <w:color w:val="auto"/>
        </w:rPr>
        <w:t>] to this Security.</w:t>
      </w:r>
    </w:p>
    <w:p>
      <w:pPr>
        <w:spacing w:after="0" w:line="332"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w:t>
      </w:r>
    </w:p>
    <w:p>
      <w:pPr>
        <w:sectPr>
          <w:pgSz w:w="11900" w:h="16838" w:orient="portrait"/>
          <w:cols w:equalWidth="0" w:num="1">
            <w:col w:w="11004"/>
          </w:cols>
          <w:pgMar w:left="436" w:top="274" w:right="459" w:bottom="1440" w:gutter="0" w:footer="0" w:header="0"/>
        </w:sectPr>
      </w:pPr>
    </w:p>
    <w:bookmarkStart w:id="206" w:name="page207"/>
    <w:bookmarkEnd w:id="206"/>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336" w:lineRule="exact"/>
        <w:rPr>
          <w:sz w:val="20"/>
          <w:szCs w:val="20"/>
          <w:color w:val="auto"/>
        </w:rPr>
      </w:pPr>
    </w:p>
    <w:p>
      <w:pPr>
        <w:ind w:left="424" w:hanging="424"/>
        <w:spacing w:after="0"/>
        <w:tabs>
          <w:tab w:leader="none" w:pos="4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Arial" w:cs="Arial" w:eastAsia="Arial" w:hAnsi="Arial"/>
          <w:sz w:val="16"/>
          <w:szCs w:val="16"/>
          <w:i w:val="1"/>
          <w:iCs w:val="1"/>
          <w:color w:val="auto"/>
        </w:rPr>
        <w:t>the entire principal</w:t>
      </w:r>
      <w:r>
        <w:rPr>
          <w:rFonts w:ascii="Arial" w:cs="Arial" w:eastAsia="Arial" w:hAnsi="Arial"/>
          <w:sz w:val="16"/>
          <w:szCs w:val="16"/>
          <w:color w:val="auto"/>
        </w:rPr>
        <w:t>]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17" w:lineRule="exact"/>
        <w:rPr>
          <w:sz w:val="20"/>
          <w:szCs w:val="20"/>
          <w:color w:val="auto"/>
        </w:rPr>
      </w:pPr>
    </w:p>
    <w:p>
      <w:pPr>
        <w:ind w:left="424" w:hanging="424"/>
        <w:spacing w:after="0"/>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Subordination.</w:t>
      </w:r>
    </w:p>
    <w:p>
      <w:pPr>
        <w:spacing w:after="0" w:line="11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332"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424" w:hanging="424"/>
        <w:spacing w:after="0"/>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w:t>
      </w:r>
    </w:p>
    <w:p>
      <w:pPr>
        <w:sectPr>
          <w:pgSz w:w="11900" w:h="16838" w:orient="portrait"/>
          <w:cols w:equalWidth="0" w:num="1">
            <w:col w:w="11004"/>
          </w:cols>
          <w:pgMar w:left="436" w:top="274" w:right="459" w:bottom="1440" w:gutter="0" w:footer="0" w:header="0"/>
        </w:sectPr>
      </w:pPr>
    </w:p>
    <w:bookmarkStart w:id="207" w:name="page208"/>
    <w:bookmarkEnd w:id="20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releases all such liability. The waiver and release are part of the consideration for the issuance of the Securities.</w:t>
      </w:r>
    </w:p>
    <w:p>
      <w:pPr>
        <w:spacing w:after="0" w:line="374" w:lineRule="exact"/>
        <w:rPr>
          <w:sz w:val="20"/>
          <w:szCs w:val="20"/>
          <w:color w:val="auto"/>
        </w:rPr>
      </w:pPr>
    </w:p>
    <w:p>
      <w:pPr>
        <w:ind w:left="424" w:hanging="424"/>
        <w:spacing w:after="0"/>
        <w:tabs>
          <w:tab w:leader="none" w:pos="4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2"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14" w:lineRule="exact"/>
        <w:rPr>
          <w:sz w:val="20"/>
          <w:szCs w:val="20"/>
          <w:color w:val="auto"/>
        </w:rPr>
      </w:pPr>
    </w:p>
    <w:p>
      <w:pPr>
        <w:ind w:left="424" w:hanging="424"/>
        <w:spacing w:after="0"/>
        <w:tabs>
          <w:tab w:leader="none" w:pos="4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ectPr>
          <w:pgSz w:w="11900" w:h="16838" w:orient="portrait"/>
          <w:cols w:equalWidth="0" w:num="1">
            <w:col w:w="11004"/>
          </w:cols>
          <w:pgMar w:left="436" w:top="274" w:right="45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40" w:type="dxa"/>
            <w:vAlign w:val="bottom"/>
            <w:gridSpan w:val="4"/>
          </w:tcPr>
          <w:p>
            <w:pPr>
              <w:jc w:val="center"/>
              <w:ind w:right="211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83"/>
        </w:trPr>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50"/>
        </w:trPr>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40" w:type="dxa"/>
            <w:vAlign w:val="bottom"/>
            <w:gridSpan w:val="4"/>
          </w:tcPr>
          <w:p>
            <w:pPr>
              <w:jc w:val="center"/>
              <w:ind w:right="209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05"/>
        </w:trPr>
        <w:tc>
          <w:tcPr>
            <w:tcW w:w="2180" w:type="dxa"/>
            <w:vAlign w:val="bottom"/>
            <w:gridSpan w:val="2"/>
          </w:tcPr>
          <w:p>
            <w:pPr>
              <w:ind w:left="440"/>
              <w:spacing w:after="0"/>
              <w:rPr>
                <w:sz w:val="20"/>
                <w:szCs w:val="20"/>
                <w:color w:val="auto"/>
              </w:rPr>
            </w:pPr>
            <w:r>
              <w:rPr>
                <w:rFonts w:ascii="Arial" w:cs="Arial" w:eastAsia="Arial" w:hAnsi="Arial"/>
                <w:sz w:val="18"/>
                <w:szCs w:val="18"/>
                <w:color w:val="auto"/>
                <w:w w:val="92"/>
              </w:rPr>
              <w:t>and irrevocably appoint</w:t>
            </w:r>
          </w:p>
        </w:tc>
        <w:tc>
          <w:tcPr>
            <w:tcW w:w="1860" w:type="dxa"/>
            <w:vAlign w:val="bottom"/>
            <w:tcBorders>
              <w:bottom w:val="single" w:sz="8" w:color="auto"/>
            </w:tcBorders>
          </w:tcPr>
          <w:p>
            <w:pPr>
              <w:spacing w:after="0"/>
              <w:rPr>
                <w:sz w:val="24"/>
                <w:szCs w:val="24"/>
                <w:color w:val="auto"/>
              </w:rPr>
            </w:pPr>
          </w:p>
        </w:tc>
        <w:tc>
          <w:tcPr>
            <w:tcW w:w="6980" w:type="dxa"/>
            <w:vAlign w:val="bottom"/>
            <w:gridSpan w:val="3"/>
          </w:tcPr>
          <w:p>
            <w:pPr>
              <w:ind w:left="40"/>
              <w:spacing w:after="0"/>
              <w:rPr>
                <w:sz w:val="20"/>
                <w:szCs w:val="20"/>
                <w:color w:val="auto"/>
              </w:rPr>
            </w:pPr>
            <w:r>
              <w:rPr>
                <w:rFonts w:ascii="Arial" w:cs="Arial" w:eastAsia="Arial" w:hAnsi="Arial"/>
                <w:sz w:val="18"/>
                <w:szCs w:val="18"/>
                <w:color w:val="auto"/>
                <w:w w:val="89"/>
              </w:rPr>
              <w:t>agent to transfer this Security on the books of the Issuer. The agent may substitute another to act</w:t>
            </w:r>
          </w:p>
        </w:tc>
      </w:tr>
      <w:tr>
        <w:trPr>
          <w:trHeight w:val="237"/>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for him.</w:t>
            </w: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21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Arial" w:cs="Arial" w:eastAsia="Arial" w:hAnsi="Arial"/>
                <w:sz w:val="18"/>
                <w:szCs w:val="18"/>
                <w:color w:val="auto"/>
              </w:rPr>
              <w:t>Signed:</w:t>
            </w:r>
          </w:p>
        </w:tc>
      </w:tr>
      <w:tr>
        <w:trPr>
          <w:trHeight w:val="209"/>
        </w:trPr>
        <w:tc>
          <w:tcPr>
            <w:tcW w:w="9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(Signed exactly as name appears on the other side of this</w:t>
            </w:r>
          </w:p>
        </w:tc>
      </w:tr>
      <w:tr>
        <w:trPr>
          <w:trHeight w:val="230"/>
        </w:trPr>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Security)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5715</wp:posOffset>
            </wp:positionV>
            <wp:extent cx="29317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 w:lineRule="exact"/>
        <w:rPr>
          <w:sz w:val="20"/>
          <w:szCs w:val="20"/>
          <w:color w:val="auto"/>
        </w:rPr>
      </w:pPr>
    </w:p>
    <w:p>
      <w:pPr>
        <w:ind w:left="980" w:right="30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1020"/>
          </w:cols>
          <w:pgMar w:left="440" w:top="270" w:right="4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171450</wp:posOffset>
            </wp:positionV>
            <wp:extent cx="1139825" cy="196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113982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+1 617 526 6000 (t)</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+1 617 526 5000 (f)</w:t>
      </w:r>
    </w:p>
    <w:p>
      <w:pPr>
        <w:spacing w:after="0" w:line="32"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wilmerhale.com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02139</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This opinion is furnished to you in connection with a Registration Statement on Form S-3 (the “Registration Statement”) to be filed by Fulcrum Therapeutics, Inc., a Delaware corporation (the “Company”), with the Securities and Exchange Commission (the “Commission”) under the Securities Act of 1933, as amended (the “Securities Act”), for the registration of the following securities of the Company (the “Securities”):</w:t>
      </w:r>
    </w:p>
    <w:p>
      <w:pPr>
        <w:spacing w:after="0" w:line="71" w:lineRule="exact"/>
        <w:rPr>
          <w:sz w:val="20"/>
          <w:szCs w:val="20"/>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senior debt securities (“Senior Debt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subordinated debt securities (“Subordinated Debt Securities” and, together with the Senior Debt Securities, “Debt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common stock, par value $0.001 per share (“Common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preferred stock, par value $0.001 per share (“Preferred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depositary shares representing fractional interests in a share or multiple shares of Preferred Stock (“Depositary Shares”);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warrants to purchase Debt Securities, Common Stock, Preferred Stock or Depositary Shares (“Warrants”);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units, consisting of any combination of Debt Securities, Common Stock, Preferred Stock, Depositary Shares or Warrants (“Units”),</w:t>
      </w:r>
    </w:p>
    <w:p>
      <w:pPr>
        <w:spacing w:after="0" w:line="23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all of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142875</wp:posOffset>
            </wp:positionV>
            <wp:extent cx="5391785" cy="291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5391785" cy="29146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10" w:name="page211"/>
    <w:bookmarkEnd w:id="210"/>
    <w:p>
      <w:pPr>
        <w:ind w:right="6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acting as counsel for the Company in connection with the filing of the Registration Statement. The Senior Debt Securities may be issued pursuant to a senior indenture (together with any supplemental indentures relating to the Senior Debt Securities,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(together with any supplemental indentures relating to the Subordinated Debt Securities, the “Subordinated Indenture,” and together with the Senior Indenture, the “Indentures,” and each individually, an “Indenture”) to be entered into between 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shares of Preferred Stock represented by Depositary Shares will be deposited pursuant to a Depositary Agreement (the “Depositary Agreement”) to be entered into between the Company and a bank or trust company to be named, as depositary. The Units may be issued pursuant to a Unit Agreement (the “Unit Agreement”) to be entered into between the Company and a bank or trust company to be named, as unit agent. The Warrants may be issued pursuant to a warrant agreement (the “Warrant Agreement”) to be entered into between the Company and a bank or trust company to be named, as warrant agent.</w:t>
      </w:r>
    </w:p>
    <w:p>
      <w:pPr>
        <w:spacing w:after="0" w:line="18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We are also acting as counsel for the Company in connection with the equity distribution agreement prospectus included in the Registration Statement (the “Equity Distribution Agreement Prospectus”) relating to the issuance and sale of shares of Common Stock having an aggregate offering price of up to $150,000,000 (the “Equity Distribution Agreement Shares”) under an Equity Distribution Agreement, dated August 11, 2020, between the Company and Piper Sandler &amp; Co., by Amendment No. 1 to the Equity Distribution Agreement, dated November 4, 2021, by and between the Company and Piper Sandler &amp; Co. (as amended, the “Equity Distribution Agreement”).</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have examined and relied upon signed copies of the Registration Statement to be filed with the Commission, including the exhibits thereto. We have also examined and relied upon the Equity Distribution Agreement, the Restated Certificate of Incorporation of the Company (as amended or restated from time to time, the “Certificate of Incorporation”), the Amended and Restated Bylaws of the Company (as amended or restated from time to time, the “Bylaws”) and minutes of meetings of the stockholders and the Board of Directors of the Company (including duly authorized committees thereof) as provided to us by the Company.</w:t>
      </w:r>
    </w:p>
    <w:p>
      <w:pPr>
        <w:spacing w:after="0" w:line="188" w:lineRule="exact"/>
        <w:rPr>
          <w:sz w:val="20"/>
          <w:szCs w:val="20"/>
          <w:color w:val="auto"/>
        </w:rPr>
      </w:pPr>
    </w:p>
    <w:p>
      <w:pPr>
        <w:ind w:right="540" w:firstLine="440"/>
        <w:spacing w:after="0" w:line="311"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211" w:name="page212"/>
    <w:bookmarkEnd w:id="211"/>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relied as to certain matters on information obtained from public officials and officers of the Company, and we have assumed (i) the Registration Statement will be effective and will comply with all applicable laws at the time Securities are offered or issued as contemplated by the Registration Statement; (ii) other than for the Equity Distribution Agreement Shares,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the Equity Distribution Agreement Prospectus, if applicable, and any applicable prospectus supplement; (iv) in the case of Debt Securities, (a) the applicable Indenture will be duly authorized, executed and delivered by the applicable Trustee in substantially the form filed as Exhibit 4.4 or Exhibit 4.5 to the Registration Statement, (b) the applicable Trustee will be duly eligible to serve as trustee, and (c) the Debt Securities will be duly authenticated by the Trustee named in the applicable Indenture; (v) any Depositary Agreement, Unit Agreement or Warrant Agreement, as applicable, will be duly authorized, executed and delivered by all parties thereto other than the Company; (vi) other than for the Equity Distribution Agreement Shares, a definitive purchase, underwriting or similar agreement with respect to any Securities offered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Unit Agreement or Warrant Agreement will be governed by the laws of the State of New York or Delaware.</w:t>
      </w:r>
    </w:p>
    <w:p>
      <w:pPr>
        <w:spacing w:after="0" w:line="19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4" w:right="479" w:bottom="1440" w:gutter="0" w:footer="0" w:header="0"/>
        </w:sectPr>
      </w:pPr>
    </w:p>
    <w:bookmarkStart w:id="212" w:name="page213"/>
    <w:bookmarkEnd w:id="212"/>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7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117" w:lineRule="exact"/>
        <w:rPr>
          <w:sz w:val="20"/>
          <w:szCs w:val="20"/>
          <w:color w:val="auto"/>
        </w:rPr>
      </w:pPr>
    </w:p>
    <w:p>
      <w:pPr>
        <w:ind w:right="20" w:firstLine="436"/>
        <w:spacing w:after="0" w:line="296" w:lineRule="auto"/>
        <w:tabs>
          <w:tab w:leader="none" w:pos="6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proper action of the Board of Directors of the Company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w:t>
      </w:r>
    </w:p>
    <w:p>
      <w:pPr>
        <w:spacing w:after="0" w:line="93" w:lineRule="exact"/>
        <w:rPr>
          <w:rFonts w:ascii="Arial" w:cs="Arial" w:eastAsia="Arial" w:hAnsi="Arial"/>
          <w:sz w:val="16"/>
          <w:szCs w:val="16"/>
          <w:color w:val="auto"/>
        </w:rPr>
      </w:pPr>
    </w:p>
    <w:p>
      <w:pPr>
        <w:ind w:left="5460" w:hanging="106"/>
        <w:spacing w:after="0"/>
        <w:tabs>
          <w:tab w:leader="none" w:pos="54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274" w:right="459" w:bottom="1440" w:gutter="0" w:footer="0" w:header="0"/>
        </w:sectPr>
      </w:pPr>
    </w:p>
    <w:bookmarkStart w:id="213" w:name="page214"/>
    <w:bookmarkEnd w:id="213"/>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pacing w:after="0" w:line="53" w:lineRule="exact"/>
        <w:rPr>
          <w:sz w:val="20"/>
          <w:szCs w:val="20"/>
          <w:color w:val="auto"/>
        </w:rPr>
      </w:pPr>
    </w:p>
    <w:p>
      <w:pPr>
        <w:ind w:right="40" w:firstLine="436"/>
        <w:spacing w:after="0" w:line="254" w:lineRule="auto"/>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 respect to shares of Common Stock (other than the Equity Distribution Agreement Shares),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spacing w:after="0" w:line="83" w:lineRule="exact"/>
        <w:rPr>
          <w:rFonts w:ascii="Arial" w:cs="Arial" w:eastAsia="Arial" w:hAnsi="Arial"/>
          <w:sz w:val="18"/>
          <w:szCs w:val="18"/>
          <w:color w:val="auto"/>
        </w:rPr>
      </w:pPr>
    </w:p>
    <w:p>
      <w:pPr>
        <w:ind w:firstLine="436"/>
        <w:spacing w:after="0" w:line="269" w:lineRule="auto"/>
        <w:tabs>
          <w:tab w:leader="none" w:pos="6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and such Certificate of Designation has been duly filed, (ii) the terms of the issuance and sale of the series of Preferred Stock have been duly established in conformity with the Certificate of Incorporation, Bylaws and Authorizing Resolutions, (iii)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spacing w:after="0" w:line="77" w:lineRule="exact"/>
        <w:rPr>
          <w:rFonts w:ascii="Arial" w:cs="Arial" w:eastAsia="Arial" w:hAnsi="Arial"/>
          <w:sz w:val="17"/>
          <w:szCs w:val="17"/>
          <w:color w:val="auto"/>
        </w:rPr>
      </w:pPr>
    </w:p>
    <w:p>
      <w:pPr>
        <w:ind w:right="200" w:firstLine="436"/>
        <w:spacing w:after="0" w:line="301" w:lineRule="auto"/>
        <w:tabs>
          <w:tab w:leader="none" w:pos="6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respect to the Depositary Shares, when (i) the Authorizing Resolutions have specifically authorized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and such Certificate of Designation has been duly filed, (ii) the applicable Depositary Agreement relating to the Depositary Shares has been</w:t>
      </w:r>
    </w:p>
    <w:p>
      <w:pPr>
        <w:spacing w:after="0" w:line="89" w:lineRule="exact"/>
        <w:rPr>
          <w:rFonts w:ascii="Arial" w:cs="Arial" w:eastAsia="Arial" w:hAnsi="Arial"/>
          <w:sz w:val="16"/>
          <w:szCs w:val="16"/>
          <w:color w:val="auto"/>
        </w:rPr>
      </w:pPr>
    </w:p>
    <w:p>
      <w:pPr>
        <w:ind w:left="5460" w:hanging="106"/>
        <w:spacing w:after="0"/>
        <w:tabs>
          <w:tab w:leader="none" w:pos="54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20"/>
          </w:cols>
          <w:pgMar w:left="440" w:top="274" w:right="439" w:bottom="1440" w:gutter="0" w:footer="0" w:header="0"/>
        </w:sectPr>
      </w:pPr>
    </w:p>
    <w:bookmarkStart w:id="214" w:name="page215"/>
    <w:bookmarkEnd w:id="21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duly authorized, executed and delivered; any depositary receipts evidencing rights in the Depositary Shares have been executed; and the depositary appointed by the Company, (iii) the terms of the issuance and sale of the Depositary Shares have been duly established in conformity with the Certificate of Incorporation, Bylaws and Authorizing Resolutions, (iv) the Depositary Shares have been issued and delivered as contemplated by the Registration Statement, the Prospectus and any applicable Prospectus Supplement in accordance with the applicable underwriting or other purchase agreement against payment therefor, (v) the shares of Preferred Stock underlying the Depositary Shares have been deposited with a bank or trust company (which meets the requirements for the depositary set forth in the Registration Statement), and (vi) the Company has received the consideration provided for in the Authorizing Resolutions and the applicable underwriting agreement or other purchase agreement, the Depositary Shares will be legally issued and will entitle the holders of such Depositary Shares to the rights specified in the applicable Depositary Agreement and the applicable depositary receipts.</w:t>
      </w:r>
    </w:p>
    <w:p>
      <w:pPr>
        <w:spacing w:after="0" w:line="57" w:lineRule="exact"/>
        <w:rPr>
          <w:sz w:val="20"/>
          <w:szCs w:val="20"/>
          <w:color w:val="auto"/>
        </w:rPr>
      </w:pPr>
    </w:p>
    <w:p>
      <w:pPr>
        <w:ind w:firstLine="436"/>
        <w:spacing w:after="0" w:line="291" w:lineRule="auto"/>
        <w:tabs>
          <w:tab w:leader="none" w:pos="6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 respect to the Units, when (i) specifically authorized for issuance by Authorizing Resolutions, (ii) any applicable Unit Agreement has been duly authorized, executed and delivered, (iii) the terms of the Units and of their issuance and sale have been duly established in conformity with any applicable Unit Agreement and the Authorizing Resolutions, (iv) the Units have been duly executed and delivered in accordance with any applicable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w:t>
      </w:r>
    </w:p>
    <w:p>
      <w:pPr>
        <w:spacing w:after="0" w:line="58" w:lineRule="exact"/>
        <w:rPr>
          <w:rFonts w:ascii="Arial" w:cs="Arial" w:eastAsia="Arial" w:hAnsi="Arial"/>
          <w:sz w:val="16"/>
          <w:szCs w:val="16"/>
          <w:color w:val="auto"/>
        </w:rPr>
      </w:pPr>
    </w:p>
    <w:p>
      <w:pPr>
        <w:ind w:right="20" w:firstLine="436"/>
        <w:spacing w:after="0" w:line="271" w:lineRule="auto"/>
        <w:tabs>
          <w:tab w:leader="none" w:pos="6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the Warrants, when (i) specifically authorized for issuance by the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countersigned in accordance with any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w:t>
      </w:r>
    </w:p>
    <w:p>
      <w:pPr>
        <w:spacing w:after="0" w:line="110" w:lineRule="exact"/>
        <w:rPr>
          <w:rFonts w:ascii="Arial" w:cs="Arial" w:eastAsia="Arial" w:hAnsi="Arial"/>
          <w:sz w:val="17"/>
          <w:szCs w:val="17"/>
          <w:color w:val="auto"/>
        </w:rPr>
      </w:pPr>
    </w:p>
    <w:p>
      <w:pPr>
        <w:ind w:left="5460" w:hanging="106"/>
        <w:spacing w:after="0"/>
        <w:tabs>
          <w:tab w:leader="none" w:pos="54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74" w:right="459" w:bottom="1440" w:gutter="0" w:footer="0" w:header="0"/>
        </w:sectPr>
      </w:pPr>
    </w:p>
    <w:bookmarkStart w:id="215" w:name="page216"/>
    <w:bookmarkEnd w:id="215"/>
    <w:p>
      <w:pPr>
        <w:ind w:firstLine="436"/>
        <w:spacing w:after="0" w:line="259" w:lineRule="auto"/>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Equity Distribution Agreement Shares, such Equity Distribution Agreement Shares have been duly authorized for issuance and, when (i) the Registration Statement has become effective under the Securities Act and (ii) the Equity Distribution Agreement Shares have been issued and paid for in accordance with the terms and conditions of the Equity Distribution Agreement, the Equity Distribution Agreement Shares will be validly issued, fully paid and nonassessable.</w:t>
      </w:r>
    </w:p>
    <w:p>
      <w:pPr>
        <w:spacing w:after="0" w:line="18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49"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the Equity Distribution Agreement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 Der Marderosian, a Partner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4" w:right="47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Fulcrum Therapeutics, Inc. for the registration of its debt securities, common stock, preferred stock, depositary shares, units and warrants and to the incorporation by reference therein of our report dated March 4, 2021, with respect to the consolidated financial statements of Fulcrum Therapeutics, Inc. included in its Annual Report (Form 10-K) for the year ended December 31, 2020,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1)"/>
      <w:numFmt w:val="decimal"/>
      <w:start w:val="617"/>
    </w:lvl>
  </w:abstractNum>
  <w:abstractNum w:abstractNumId="33">
    <w:nsid w:val="94211F2"/>
    <w:multiLevelType w:val="hybridMultilevel"/>
    <w:lvl w:ilvl="0">
      <w:lvlJc w:val="left"/>
      <w:lvlText w:val="(%1)"/>
      <w:numFmt w:val="decimal"/>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1)"/>
      <w:numFmt w:val="lowerRoman"/>
      <w:start w:val="1"/>
    </w:lvl>
  </w:abstractNum>
  <w:abstractNum w:abstractNumId="37">
    <w:nsid w:val="1716703B"/>
    <w:multiLevelType w:val="hybridMultilevel"/>
    <w:lvl w:ilvl="0">
      <w:lvlJc w:val="left"/>
      <w:lvlText w:val="(%1)"/>
      <w:numFmt w:val="decimal"/>
      <w:start w:val="2"/>
    </w:lvl>
    <w:lvl w:ilvl="1">
      <w:lvlJc w:val="left"/>
      <w:lvlText w:val="(%2)"/>
      <w:numFmt w:val="lowerRoman"/>
      <w:start w:val="1"/>
    </w:lvl>
  </w:abstractNum>
  <w:abstractNum w:abstractNumId="38">
    <w:nsid w:val="14E17E33"/>
    <w:multiLevelType w:val="hybridMultilevel"/>
    <w:lvl w:ilvl="0">
      <w:lvlJc w:val="left"/>
      <w:lvlText w:val="(%1)"/>
      <w:numFmt w:val="lowerLetter"/>
      <w:start w:val="2"/>
    </w:lvl>
  </w:abstractNum>
  <w:abstractNum w:abstractNumId="39">
    <w:nsid w:val="3222E7CD"/>
    <w:multiLevelType w:val="hybridMultilevel"/>
    <w:lvl w:ilvl="0">
      <w:lvlJc w:val="left"/>
      <w:lvlText w:val="(%1)"/>
      <w:numFmt w:val="lowerLetter"/>
      <w:start w:val="3"/>
    </w:lvl>
    <w:lvl w:ilvl="1">
      <w:lvlJc w:val="left"/>
      <w:lvlText w:val="(%2)"/>
      <w:numFmt w:val="lowerRoman"/>
      <w:start w:val="1"/>
    </w:lvl>
  </w:abstractNum>
  <w:abstractNum w:abstractNumId="40">
    <w:nsid w:val="74DE0EE3"/>
    <w:multiLevelType w:val="hybridMultilevel"/>
    <w:lvl w:ilvl="0">
      <w:lvlJc w:val="left"/>
      <w:lvlText w:val="%1."/>
      <w:numFmt w:val="decimal"/>
      <w:start w:val="2"/>
    </w:lvl>
  </w:abstractNum>
  <w:abstractNum w:abstractNumId="41">
    <w:nsid w:val="68EBC550"/>
    <w:multiLevelType w:val="hybridMultilevel"/>
    <w:lvl w:ilvl="0">
      <w:lvlJc w:val="left"/>
      <w:lvlText w:val="%1"/>
      <w:numFmt w:val="upperLetter"/>
      <w:start w:val="1"/>
    </w:lvl>
    <w:lvl w:ilvl="1">
      <w:lvlJc w:val="left"/>
      <w:lvlText w:val="%2."/>
      <w:numFmt w:val="decimal"/>
      <w:start w:val="4"/>
    </w:lvl>
  </w:abstractNum>
  <w:abstractNum w:abstractNumId="42">
    <w:nsid w:val="2DF6D648"/>
    <w:multiLevelType w:val="hybridMultilevel"/>
    <w:lvl w:ilvl="0">
      <w:lvlJc w:val="left"/>
      <w:lvlText w:val="%1."/>
      <w:numFmt w:val="upperLetter"/>
      <w:start w:val="2"/>
    </w:lvl>
    <w:lvl w:ilvl="1">
      <w:lvlJc w:val="left"/>
      <w:lvlText w:val="%2"/>
      <w:numFmt w:val="decimal"/>
      <w:start w:val="1"/>
    </w:lvl>
  </w:abstractNum>
  <w:abstractNum w:abstractNumId="43">
    <w:nsid w:val="46B7D447"/>
    <w:multiLevelType w:val="hybridMultilevel"/>
    <w:lvl w:ilvl="0">
      <w:lvlJc w:val="left"/>
      <w:lvlText w:val="1"/>
      <w:numFmt w:val="bullet"/>
      <w:start w:val="1"/>
    </w:lvl>
  </w:abstractNum>
  <w:abstractNum w:abstractNumId="44">
    <w:nsid w:val="4A2AC315"/>
    <w:multiLevelType w:val="hybridMultilevel"/>
    <w:lvl w:ilvl="0">
      <w:lvlJc w:val="left"/>
      <w:lvlText w:val="(%1)"/>
      <w:numFmt w:val="lowerLetter"/>
      <w:start w:val="1"/>
    </w:lvl>
  </w:abstractNum>
  <w:abstractNum w:abstractNumId="45">
    <w:nsid w:val="39EE015C"/>
    <w:multiLevelType w:val="hybridMultilevel"/>
    <w:lvl w:ilvl="0">
      <w:lvlJc w:val="left"/>
      <w:lvlText w:val="(%1)"/>
      <w:numFmt w:val="lowerLetter"/>
      <w:start w:val="3"/>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11"/>
    </w:lvl>
  </w:abstractNum>
  <w:abstractNum w:abstractNumId="48">
    <w:nsid w:val="43F18422"/>
    <w:multiLevelType w:val="hybridMultilevel"/>
    <w:lvl w:ilvl="0">
      <w:lvlJc w:val="left"/>
      <w:lvlText w:val="(%1)"/>
      <w:numFmt w:val="lowerLetter"/>
      <w:start w:val="1"/>
    </w:lvl>
    <w:lvl w:ilvl="1">
      <w:lvlJc w:val="left"/>
      <w:lvlText w:val="(%2)"/>
      <w:numFmt w:val="lowerRoman"/>
      <w:start w:val="1"/>
    </w:lvl>
  </w:abstractNum>
  <w:abstractNum w:abstractNumId="49">
    <w:nsid w:val="60EF0119"/>
    <w:multiLevelType w:val="hybridMultilevel"/>
    <w:lvl w:ilvl="0">
      <w:lvlJc w:val="left"/>
      <w:lvlText w:val="(%1)"/>
      <w:numFmt w:val="lowerRoman"/>
      <w:start w:val="1"/>
    </w:lvl>
  </w:abstractNum>
  <w:abstractNum w:abstractNumId="50">
    <w:nsid w:val="26F324BA"/>
    <w:multiLevelType w:val="hybridMultilevel"/>
    <w:lvl w:ilvl="0">
      <w:lvlJc w:val="left"/>
      <w:lvlText w:val="(%1)"/>
      <w:numFmt w:val="lowerLetter"/>
      <w:start w:val="1"/>
    </w:lvl>
  </w:abstractNum>
  <w:abstractNum w:abstractNumId="51">
    <w:nsid w:val="7F01579B"/>
    <w:multiLevelType w:val="hybridMultilevel"/>
    <w:lvl w:ilvl="0">
      <w:lvlJc w:val="left"/>
      <w:lvlText w:val="(%1)"/>
      <w:numFmt w:val="lowerLetter"/>
      <w:start w:val="1"/>
    </w:lvl>
  </w:abstractNum>
  <w:abstractNum w:abstractNumId="52">
    <w:nsid w:val="49DA307D"/>
    <w:multiLevelType w:val="hybridMultilevel"/>
    <w:lvl w:ilvl="0">
      <w:lvlJc w:val="left"/>
      <w:lvlText w:val="(%1)"/>
      <w:numFmt w:val="lowerLetter"/>
      <w:start w:val="2"/>
    </w:lvl>
  </w:abstractNum>
  <w:abstractNum w:abstractNumId="53">
    <w:nsid w:val="7055A5F5"/>
    <w:multiLevelType w:val="hybridMultilevel"/>
    <w:lvl w:ilvl="0">
      <w:lvlJc w:val="left"/>
      <w:lvlText w:val="(%1)"/>
      <w:numFmt w:val="lowerLetter"/>
      <w:start w:val="1"/>
    </w:lvl>
  </w:abstractNum>
  <w:abstractNum w:abstractNumId="54">
    <w:nsid w:val="5FB8370B"/>
    <w:multiLevelType w:val="hybridMultilevel"/>
    <w:lvl w:ilvl="0">
      <w:lvlJc w:val="left"/>
      <w:lvlText w:val="(%1)"/>
      <w:numFmt w:val="lowerLetter"/>
      <w:start w:val="3"/>
    </w:lvl>
  </w:abstractNum>
  <w:abstractNum w:abstractNumId="55">
    <w:nsid w:val="50801EE1"/>
    <w:multiLevelType w:val="hybridMultilevel"/>
    <w:lvl w:ilvl="0">
      <w:lvlJc w:val="left"/>
      <w:lvlText w:val="(%1)"/>
      <w:numFmt w:val="lowerRoman"/>
      <w:start w:val="1"/>
    </w:lvl>
  </w:abstractNum>
  <w:abstractNum w:abstractNumId="56">
    <w:nsid w:val="488AC1A"/>
    <w:multiLevelType w:val="hybridMultilevel"/>
    <w:lvl w:ilvl="0">
      <w:lvlJc w:val="left"/>
      <w:lvlText w:val="(%1)"/>
      <w:numFmt w:val="lowerRoman"/>
      <w:start w:val="3"/>
    </w:lvl>
  </w:abstractNum>
  <w:abstractNum w:abstractNumId="57">
    <w:nsid w:val="5FB8011C"/>
    <w:multiLevelType w:val="hybridMultilevel"/>
    <w:lvl w:ilvl="0">
      <w:lvlJc w:val="left"/>
      <w:lvlText w:val="(%1)"/>
      <w:numFmt w:val="lowerLetter"/>
      <w:start w:val="1"/>
    </w:lvl>
  </w:abstractNum>
  <w:abstractNum w:abstractNumId="58">
    <w:nsid w:val="6AA78F7F"/>
    <w:multiLevelType w:val="hybridMultilevel"/>
    <w:lvl w:ilvl="0">
      <w:lvlJc w:val="left"/>
      <w:lvlText w:val="(%1)"/>
      <w:numFmt w:val="lowerLetter"/>
      <w:start w:val="7"/>
    </w:lvl>
  </w:abstractNum>
  <w:abstractNum w:abstractNumId="59">
    <w:nsid w:val="7672BD23"/>
    <w:multiLevelType w:val="hybridMultilevel"/>
    <w:lvl w:ilvl="0">
      <w:lvlJc w:val="left"/>
      <w:lvlText w:val="(%1)"/>
      <w:numFmt w:val="lowerLetter"/>
      <w:start w:val="2"/>
    </w:lvl>
    <w:lvl w:ilvl="1">
      <w:lvlJc w:val="left"/>
      <w:lvlText w:val="(%2)"/>
      <w:numFmt w:val="lowerRoman"/>
      <w:start w:val="1"/>
    </w:lvl>
  </w:abstractNum>
  <w:abstractNum w:abstractNumId="60">
    <w:nsid w:val="6FC75AF8"/>
    <w:multiLevelType w:val="hybridMultilevel"/>
    <w:lvl w:ilvl="0">
      <w:lvlJc w:val="left"/>
      <w:lvlText w:val="(%1)"/>
      <w:numFmt w:val="lowerRoman"/>
      <w:start w:val="3"/>
    </w:lvl>
  </w:abstractNum>
  <w:abstractNum w:abstractNumId="61">
    <w:nsid w:val="6A5F7029"/>
    <w:multiLevelType w:val="hybridMultilevel"/>
    <w:lvl w:ilvl="0">
      <w:lvlJc w:val="left"/>
      <w:lvlText w:val="(%1)"/>
      <w:numFmt w:val="lowerLetter"/>
      <w:start w:val="3"/>
    </w:lvl>
  </w:abstractNum>
  <w:abstractNum w:abstractNumId="62">
    <w:nsid w:val="7D5E18F8"/>
    <w:multiLevelType w:val="hybridMultilevel"/>
    <w:lvl w:ilvl="0">
      <w:lvlJc w:val="left"/>
      <w:lvlText w:val="(%1)"/>
      <w:numFmt w:val="lowerLetter"/>
      <w:start w:val="1"/>
    </w:lvl>
  </w:abstractNum>
  <w:abstractNum w:abstractNumId="63">
    <w:nsid w:val="5F3534A4"/>
    <w:multiLevelType w:val="hybridMultilevel"/>
    <w:lvl w:ilvl="0">
      <w:lvlJc w:val="left"/>
      <w:lvlText w:val="(%1)"/>
      <w:numFmt w:val="lowerLetter"/>
      <w:start w:val="10"/>
    </w:lvl>
  </w:abstractNum>
  <w:abstractNum w:abstractNumId="64">
    <w:nsid w:val="73A1821B"/>
    <w:multiLevelType w:val="hybridMultilevel"/>
    <w:lvl w:ilvl="0">
      <w:lvlJc w:val="left"/>
      <w:lvlText w:val="(%1)"/>
      <w:numFmt w:val="lowerRoman"/>
      <w:start w:val="2"/>
    </w:lvl>
  </w:abstractNum>
  <w:abstractNum w:abstractNumId="65">
    <w:nsid w:val="7DE67713"/>
    <w:multiLevelType w:val="hybridMultilevel"/>
    <w:lvl w:ilvl="0">
      <w:lvlJc w:val="left"/>
      <w:lvlText w:val="(%1)"/>
      <w:numFmt w:val="lowerRoman"/>
      <w:start w:val="1"/>
    </w:lvl>
    <w:lvl w:ilvl="1">
      <w:lvlJc w:val="left"/>
      <w:lvlText w:val="(%2)"/>
      <w:numFmt w:val="upperLetter"/>
      <w:start w:val="1"/>
    </w:lvl>
  </w:abstractNum>
  <w:abstractNum w:abstractNumId="66">
    <w:nsid w:val="555C55B5"/>
    <w:multiLevelType w:val="hybridMultilevel"/>
    <w:lvl w:ilvl="0">
      <w:lvlJc w:val="left"/>
      <w:lvlText w:val="(%1)"/>
      <w:numFmt w:val="lowerRoman"/>
      <w:start w:val="1"/>
    </w:lvl>
  </w:abstractNum>
  <w:abstractNum w:abstractNumId="67">
    <w:nsid w:val="3FA62ACA"/>
    <w:multiLevelType w:val="hybridMultilevel"/>
    <w:lvl w:ilvl="0">
      <w:lvlJc w:val="left"/>
      <w:lvlText w:val="(%1)"/>
      <w:numFmt w:val="lowerLetter"/>
      <w:start w:val="2"/>
    </w:lvl>
  </w:abstractNum>
  <w:abstractNum w:abstractNumId="68">
    <w:nsid w:val="14FCE74E"/>
    <w:multiLevelType w:val="hybridMultilevel"/>
    <w:lvl w:ilvl="0">
      <w:lvlJc w:val="left"/>
      <w:lvlText w:val="(%1)"/>
      <w:numFmt w:val="lowerLetter"/>
      <w:start w:val="3"/>
    </w:lvl>
  </w:abstractNum>
  <w:abstractNum w:abstractNumId="69">
    <w:nsid w:val="6A3DD3E8"/>
    <w:multiLevelType w:val="hybridMultilevel"/>
    <w:lvl w:ilvl="0">
      <w:lvlJc w:val="left"/>
      <w:lvlText w:val="(%1)"/>
      <w:numFmt w:val="lowerLetter"/>
      <w:start w:val="4"/>
    </w:lvl>
    <w:lvl w:ilvl="1">
      <w:lvlJc w:val="left"/>
      <w:lvlText w:val="(%2)"/>
      <w:numFmt w:val="lowerRoman"/>
      <w:start w:val="1"/>
    </w:lvl>
  </w:abstractNum>
  <w:abstractNum w:abstractNumId="70">
    <w:nsid w:val="71C91298"/>
    <w:multiLevelType w:val="hybridMultilevel"/>
    <w:lvl w:ilvl="0">
      <w:lvlJc w:val="left"/>
      <w:lvlText w:val="(%1)"/>
      <w:numFmt w:val="lowerRoman"/>
      <w:start w:val="4"/>
    </w:lvl>
  </w:abstractNum>
  <w:abstractNum w:abstractNumId="71">
    <w:nsid w:val="9DAF632"/>
    <w:multiLevelType w:val="hybridMultilevel"/>
    <w:lvl w:ilvl="0">
      <w:lvlJc w:val="left"/>
      <w:lvlText w:val="1"/>
      <w:numFmt w:val="bullet"/>
      <w:start w:val="1"/>
    </w:lvl>
  </w:abstractNum>
  <w:abstractNum w:abstractNumId="72">
    <w:nsid w:val="53299938"/>
    <w:multiLevelType w:val="hybridMultilevel"/>
    <w:lvl w:ilvl="0">
      <w:lvlJc w:val="left"/>
      <w:lvlText w:val="(%1)"/>
      <w:numFmt w:val="lowerLetter"/>
      <w:start w:val="1"/>
    </w:lvl>
  </w:abstractNum>
  <w:abstractNum w:abstractNumId="73">
    <w:nsid w:val="1FBFE8E0"/>
    <w:multiLevelType w:val="hybridMultilevel"/>
    <w:lvl w:ilvl="0">
      <w:lvlJc w:val="left"/>
      <w:lvlText w:val="(%1)"/>
      <w:numFmt w:val="lowerLetter"/>
      <w:start w:val="3"/>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lowerLetter"/>
      <w:start w:val="4"/>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7"/>
    </w:lvl>
  </w:abstractNum>
  <w:abstractNum w:abstractNumId="78">
    <w:nsid w:val="2A155DBC"/>
    <w:multiLevelType w:val="hybridMultilevel"/>
    <w:lvl w:ilvl="0">
      <w:lvlJc w:val="left"/>
      <w:lvlText w:val="(%1)"/>
      <w:numFmt w:val="lowerLetter"/>
      <w:start w:val="17"/>
    </w:lvl>
  </w:abstractNum>
  <w:abstractNum w:abstractNumId="79">
    <w:nsid w:val="1D9F6E5F"/>
    <w:multiLevelType w:val="hybridMultilevel"/>
    <w:lvl w:ilvl="0">
      <w:lvlJc w:val="left"/>
      <w:lvlText w:val="(%1)"/>
      <w:numFmt w:val="lowerLetter"/>
      <w:start w:val="2"/>
    </w:lvl>
  </w:abstractNum>
  <w:abstractNum w:abstractNumId="80">
    <w:nsid w:val="97E1B4E"/>
    <w:multiLevelType w:val="hybridMultilevel"/>
    <w:lvl w:ilvl="0">
      <w:lvlJc w:val="left"/>
      <w:lvlText w:val="(%1)"/>
      <w:numFmt w:val="lowerLetter"/>
      <w:start w:val="4"/>
    </w:lvl>
    <w:lvl w:ilvl="1">
      <w:lvlJc w:val="left"/>
      <w:lvlText w:val="(%2)"/>
      <w:numFmt w:val="lowerRoman"/>
      <w:start w:val="1"/>
    </w:lvl>
  </w:abstractNum>
  <w:abstractNum w:abstractNumId="81">
    <w:nsid w:val="51088277"/>
    <w:multiLevelType w:val="hybridMultilevel"/>
    <w:lvl w:ilvl="0">
      <w:lvlJc w:val="left"/>
      <w:lvlText w:val="(%1)"/>
      <w:numFmt w:val="lowerRoman"/>
      <w:start w:val="1"/>
    </w:lvl>
  </w:abstractNum>
  <w:abstractNum w:abstractNumId="82">
    <w:nsid w:val="1CA0C5FA"/>
    <w:multiLevelType w:val="hybridMultilevel"/>
    <w:lvl w:ilvl="0">
      <w:lvlJc w:val="left"/>
      <w:lvlText w:val="(%1)"/>
      <w:numFmt w:val="lowerLetter"/>
      <w:start w:val="1"/>
    </w:lvl>
  </w:abstractNum>
  <w:abstractNum w:abstractNumId="83">
    <w:nsid w:val="53584BCB"/>
    <w:multiLevelType w:val="hybridMultilevel"/>
    <w:lvl w:ilvl="0">
      <w:lvlJc w:val="left"/>
      <w:lvlText w:val="(%1)"/>
      <w:numFmt w:val="lowerLetter"/>
      <w:start w:val="2"/>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2"/>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lowerRoman"/>
      <w:start w:val="1"/>
    </w:lvl>
  </w:abstractNum>
  <w:abstractNum w:abstractNumId="88">
    <w:nsid w:val="5C10FE21"/>
    <w:multiLevelType w:val="hybridMultilevel"/>
    <w:lvl w:ilvl="0">
      <w:lvlJc w:val="left"/>
      <w:lvlText w:val="(%1)"/>
      <w:numFmt w:val="lowerRoman"/>
      <w:start w:val="3"/>
    </w:lvl>
  </w:abstractNum>
  <w:abstractNum w:abstractNumId="89">
    <w:nsid w:val="E7FFA2B"/>
    <w:multiLevelType w:val="hybridMultilevel"/>
    <w:lvl w:ilvl="0">
      <w:lvlJc w:val="left"/>
      <w:lvlText w:val="(%1)"/>
      <w:numFmt w:val="lowerLetter"/>
      <w:start w:val="1"/>
    </w:lvl>
  </w:abstractNum>
  <w:abstractNum w:abstractNumId="90">
    <w:nsid w:val="3C5991AA"/>
    <w:multiLevelType w:val="hybridMultilevel"/>
    <w:lvl w:ilvl="0">
      <w:lvlJc w:val="left"/>
      <w:lvlText w:val="(%1)"/>
      <w:numFmt w:val="lowerLetter"/>
      <w:start w:val="9"/>
    </w:lvl>
  </w:abstractNum>
  <w:abstractNum w:abstractNumId="91">
    <w:nsid w:val="4BD8591A"/>
    <w:multiLevelType w:val="hybridMultilevel"/>
    <w:lvl w:ilvl="0">
      <w:lvlJc w:val="left"/>
      <w:lvlText w:val="(%1)"/>
      <w:numFmt w:val="lowerLetter"/>
      <w:start w:val="2"/>
    </w:lvl>
    <w:lvl w:ilvl="1">
      <w:lvlJc w:val="left"/>
      <w:lvlText w:val="(%2)"/>
      <w:numFmt w:val="lowerRoman"/>
      <w:start w:val="1"/>
    </w:lvl>
  </w:abstractNum>
  <w:abstractNum w:abstractNumId="92">
    <w:nsid w:val="78DF6A55"/>
    <w:multiLevelType w:val="hybridMultilevel"/>
    <w:lvl w:ilvl="0">
      <w:lvlJc w:val="left"/>
      <w:lvlText w:val="(%1)"/>
      <w:numFmt w:val="lowerLetter"/>
      <w:start w:val="3"/>
    </w:lvl>
  </w:abstractNum>
  <w:abstractNum w:abstractNumId="93">
    <w:nsid w:val="39B7AAA2"/>
    <w:multiLevelType w:val="hybridMultilevel"/>
    <w:lvl w:ilvl="0">
      <w:lvlJc w:val="left"/>
      <w:lvlText w:val="(%1)"/>
      <w:numFmt w:val="lowerLetter"/>
      <w:start w:val="4"/>
    </w:lvl>
  </w:abstractNum>
  <w:abstractNum w:abstractNumId="94">
    <w:nsid w:val="2B0D8DBE"/>
    <w:multiLevelType w:val="hybridMultilevel"/>
    <w:lvl w:ilvl="0">
      <w:lvlJc w:val="left"/>
      <w:lvlText w:val="(%1)"/>
      <w:numFmt w:val="lowerLetter"/>
      <w:start w:val="1"/>
    </w:lvl>
  </w:abstractNum>
  <w:abstractNum w:abstractNumId="95">
    <w:nsid w:val="6C80EC70"/>
    <w:multiLevelType w:val="hybridMultilevel"/>
    <w:lvl w:ilvl="0">
      <w:lvlJc w:val="left"/>
      <w:lvlText w:val="(%1)"/>
      <w:numFmt w:val="lowerLetter"/>
      <w:start w:val="5"/>
    </w:lvl>
  </w:abstractNum>
  <w:abstractNum w:abstractNumId="96">
    <w:nsid w:val="379E21B5"/>
    <w:multiLevelType w:val="hybridMultilevel"/>
    <w:lvl w:ilvl="0">
      <w:lvlJc w:val="left"/>
      <w:lvlText w:val="(%1)"/>
      <w:numFmt w:val="lowerRoman"/>
      <w:start w:val="2"/>
    </w:lvl>
  </w:abstractNum>
  <w:abstractNum w:abstractNumId="97">
    <w:nsid w:val="69E373"/>
    <w:multiLevelType w:val="hybridMultilevel"/>
    <w:lvl w:ilvl="0">
      <w:lvlJc w:val="left"/>
      <w:lvlText w:val="(%1)"/>
      <w:numFmt w:val="lowerRoman"/>
      <w:start w:val="1"/>
    </w:lvl>
  </w:abstractNum>
  <w:abstractNum w:abstractNumId="98">
    <w:nsid w:val="2C27173B"/>
    <w:multiLevelType w:val="hybridMultilevel"/>
    <w:lvl w:ilvl="0">
      <w:lvlJc w:val="left"/>
      <w:lvlText w:val="(%1)"/>
      <w:numFmt w:val="lowerRoman"/>
      <w:start w:val="3"/>
    </w:lvl>
    <w:lvl w:ilvl="1">
      <w:lvlJc w:val="left"/>
      <w:lvlText w:val="(%2)"/>
      <w:numFmt w:val="upperLetter"/>
      <w:start w:val="1"/>
    </w:lvl>
  </w:abstractNum>
  <w:abstractNum w:abstractNumId="99">
    <w:nsid w:val="4C9B0904"/>
    <w:multiLevelType w:val="hybridMultilevel"/>
    <w:lvl w:ilvl="0">
      <w:lvlJc w:val="left"/>
      <w:lvlText w:val="(%1)"/>
      <w:numFmt w:val="lowerLetter"/>
      <w:start w:val="2"/>
    </w:lvl>
  </w:abstractNum>
  <w:abstractNum w:abstractNumId="100">
    <w:nsid w:val="6AA7B75C"/>
    <w:multiLevelType w:val="hybridMultilevel"/>
    <w:lvl w:ilvl="0">
      <w:lvlJc w:val="left"/>
      <w:lvlText w:val="(%1)"/>
      <w:numFmt w:val="lowerLetter"/>
      <w:start w:val="4"/>
    </w:lvl>
    <w:lvl w:ilvl="1">
      <w:lvlJc w:val="left"/>
      <w:lvlText w:val="(%2)"/>
      <w:numFmt w:val="lowerRoman"/>
      <w:start w:val="1"/>
    </w:lvl>
  </w:abstractNum>
  <w:abstractNum w:abstractNumId="101">
    <w:nsid w:val="1DF029D3"/>
    <w:multiLevelType w:val="hybridMultilevel"/>
    <w:lvl w:ilvl="0">
      <w:lvlJc w:val="left"/>
      <w:lvlText w:val="(%1)"/>
      <w:numFmt w:val="lowerRoman"/>
      <w:start w:val="5"/>
    </w:lvl>
  </w:abstractNum>
  <w:abstractNum w:abstractNumId="102">
    <w:nsid w:val="5675FF36"/>
    <w:multiLevelType w:val="hybridMultilevel"/>
    <w:lvl w:ilvl="0">
      <w:lvlJc w:val="left"/>
      <w:lvlText w:val="%1."/>
      <w:numFmt w:val="decimal"/>
      <w:start w:val="13"/>
    </w:lvl>
  </w:abstractNum>
  <w:abstractNum w:abstractNumId="103">
    <w:nsid w:val="3DD15094"/>
    <w:multiLevelType w:val="hybridMultilevel"/>
    <w:lvl w:ilvl="0">
      <w:lvlJc w:val="left"/>
      <w:lvlText w:val="%1."/>
      <w:numFmt w:val="decimal"/>
      <w:start w:val="1"/>
    </w:lvl>
  </w:abstractNum>
  <w:abstractNum w:abstractNumId="104">
    <w:nsid w:val="3DB012B3"/>
    <w:multiLevelType w:val="hybridMultilevel"/>
    <w:lvl w:ilvl="0">
      <w:lvlJc w:val="left"/>
      <w:lvlText w:val="%1."/>
      <w:numFmt w:val="decimal"/>
      <w:start w:val="2"/>
    </w:lvl>
  </w:abstractNum>
  <w:abstractNum w:abstractNumId="105">
    <w:nsid w:val="2708C9AF"/>
    <w:multiLevelType w:val="hybridMultilevel"/>
    <w:lvl w:ilvl="0">
      <w:lvlJc w:val="left"/>
      <w:lvlText w:val="%1."/>
      <w:numFmt w:val="decimal"/>
      <w:start w:val="3"/>
    </w:lvl>
  </w:abstractNum>
  <w:abstractNum w:abstractNumId="106">
    <w:nsid w:val="5B25ACE2"/>
    <w:multiLevelType w:val="hybridMultilevel"/>
    <w:lvl w:ilvl="0">
      <w:lvlJc w:val="left"/>
      <w:lvlText w:val="%1."/>
      <w:numFmt w:val="decimal"/>
      <w:start w:val="4"/>
    </w:lvl>
  </w:abstractNum>
  <w:abstractNum w:abstractNumId="107">
    <w:nsid w:val="175DFCF0"/>
    <w:multiLevelType w:val="hybridMultilevel"/>
    <w:lvl w:ilvl="0">
      <w:lvlJc w:val="left"/>
      <w:lvlText w:val="%1."/>
      <w:numFmt w:val="decimal"/>
      <w:start w:val="5"/>
    </w:lvl>
  </w:abstractNum>
  <w:abstractNum w:abstractNumId="108">
    <w:nsid w:val="4F97E3E4"/>
    <w:multiLevelType w:val="hybridMultilevel"/>
    <w:lvl w:ilvl="0">
      <w:lvlJc w:val="left"/>
      <w:lvlText w:val="%1."/>
      <w:numFmt w:val="decimal"/>
      <w:start w:val="6"/>
    </w:lvl>
  </w:abstractNum>
  <w:abstractNum w:abstractNumId="109">
    <w:nsid w:val="53B0A9E"/>
    <w:multiLevelType w:val="hybridMultilevel"/>
    <w:lvl w:ilvl="0">
      <w:lvlJc w:val="left"/>
      <w:lvlText w:val="%1."/>
      <w:numFmt w:val="decimal"/>
      <w:start w:val="8"/>
    </w:lvl>
  </w:abstractNum>
  <w:abstractNum w:abstractNumId="110">
    <w:nsid w:val="34FD6B4F"/>
    <w:multiLevelType w:val="hybridMultilevel"/>
    <w:lvl w:ilvl="0">
      <w:lvlJc w:val="left"/>
      <w:lvlText w:val="%1."/>
      <w:numFmt w:val="decimal"/>
      <w:start w:val="9"/>
    </w:lvl>
  </w:abstractNum>
  <w:abstractNum w:abstractNumId="111">
    <w:nsid w:val="5915FF32"/>
    <w:multiLevelType w:val="hybridMultilevel"/>
    <w:lvl w:ilvl="0">
      <w:lvlJc w:val="left"/>
      <w:lvlText w:val="%1."/>
      <w:numFmt w:val="decimal"/>
      <w:start w:val="10"/>
    </w:lvl>
  </w:abstractNum>
  <w:abstractNum w:abstractNumId="112">
    <w:nsid w:val="56438D15"/>
    <w:multiLevelType w:val="hybridMultilevel"/>
    <w:lvl w:ilvl="0">
      <w:lvlJc w:val="left"/>
      <w:lvlText w:val="%1."/>
      <w:numFmt w:val="decimal"/>
      <w:start w:val="11"/>
    </w:lvl>
  </w:abstractNum>
  <w:abstractNum w:abstractNumId="113">
    <w:nsid w:val="519E3149"/>
    <w:multiLevelType w:val="hybridMultilevel"/>
    <w:lvl w:ilvl="0">
      <w:lvlJc w:val="left"/>
      <w:lvlText w:val="%1."/>
      <w:numFmt w:val="decimal"/>
      <w:start w:val="12"/>
    </w:lvl>
  </w:abstractNum>
  <w:abstractNum w:abstractNumId="114">
    <w:nsid w:val="2C6E4AFD"/>
    <w:multiLevelType w:val="hybridMultilevel"/>
    <w:lvl w:ilvl="0">
      <w:lvlJc w:val="left"/>
      <w:lvlText w:val="%1."/>
      <w:numFmt w:val="decimal"/>
      <w:start w:val="13"/>
    </w:lvl>
  </w:abstractNum>
  <w:abstractNum w:abstractNumId="115">
    <w:nsid w:val="17A1B582"/>
    <w:multiLevelType w:val="hybridMultilevel"/>
    <w:lvl w:ilvl="0">
      <w:lvlJc w:val="left"/>
      <w:lvlText w:val="%1."/>
      <w:numFmt w:val="decimal"/>
      <w:start w:val="14"/>
    </w:lvl>
  </w:abstractNum>
  <w:abstractNum w:abstractNumId="116">
    <w:nsid w:val="4DF72E4E"/>
    <w:multiLevelType w:val="hybridMultilevel"/>
    <w:lvl w:ilvl="0">
      <w:lvlJc w:val="left"/>
      <w:lvlText w:val="%1."/>
      <w:numFmt w:val="decimal"/>
      <w:start w:val="15"/>
    </w:lvl>
  </w:abstractNum>
  <w:abstractNum w:abstractNumId="117">
    <w:nsid w:val="5046B5A9"/>
    <w:multiLevelType w:val="hybridMultilevel"/>
    <w:lvl w:ilvl="0">
      <w:lvlJc w:val="left"/>
      <w:lvlText w:val="%1."/>
      <w:numFmt w:val="decimal"/>
      <w:start w:val="16"/>
    </w:lvl>
  </w:abstractNum>
  <w:abstractNum w:abstractNumId="118">
    <w:nsid w:val="5D888A08"/>
    <w:multiLevelType w:val="hybridMultilevel"/>
    <w:lvl w:ilvl="0">
      <w:lvlJc w:val="left"/>
      <w:lvlText w:val="%1."/>
      <w:numFmt w:val="decimal"/>
      <w:start w:val="1"/>
    </w:lvl>
  </w:abstractNum>
  <w:abstractNum w:abstractNumId="119">
    <w:nsid w:val="2A082C70"/>
    <w:multiLevelType w:val="hybridMultilevel"/>
    <w:lvl w:ilvl="0">
      <w:lvlJc w:val="left"/>
      <w:lvlText w:val="%1."/>
      <w:numFmt w:val="decimal"/>
      <w:start w:val="2"/>
    </w:lvl>
  </w:abstractNum>
  <w:abstractNum w:abstractNumId="120">
    <w:nsid w:val="5EC6AFD4"/>
    <w:multiLevelType w:val="hybridMultilevel"/>
    <w:lvl w:ilvl="0">
      <w:lvlJc w:val="left"/>
      <w:lvlText w:val="%1."/>
      <w:numFmt w:val="decimal"/>
      <w:start w:val="3"/>
    </w:lvl>
  </w:abstractNum>
  <w:abstractNum w:abstractNumId="121">
    <w:nsid w:val="19E21BB2"/>
    <w:multiLevelType w:val="hybridMultilevel"/>
    <w:lvl w:ilvl="0">
      <w:lvlJc w:val="left"/>
      <w:lvlText w:val="%1."/>
      <w:numFmt w:val="decimal"/>
      <w:start w:val="4"/>
    </w:lvl>
  </w:abstractNum>
  <w:abstractNum w:abstractNumId="122">
    <w:nsid w:val="75E0858A"/>
    <w:multiLevelType w:val="hybridMultilevel"/>
    <w:lvl w:ilvl="0">
      <w:lvlJc w:val="left"/>
      <w:lvlText w:val="%1."/>
      <w:numFmt w:val="decimal"/>
      <w:start w:val="5"/>
    </w:lvl>
  </w:abstractNum>
  <w:abstractNum w:abstractNumId="123">
    <w:nsid w:val="57A61A29"/>
    <w:multiLevelType w:val="hybridMultilevel"/>
    <w:lvl w:ilvl="0">
      <w:lvlJc w:val="left"/>
      <w:lvlText w:val="%1."/>
      <w:numFmt w:val="decimal"/>
      <w:start w:val="6"/>
    </w:lvl>
  </w:abstractNum>
  <w:abstractNum w:abstractNumId="124">
    <w:nsid w:val="5399C654"/>
    <w:multiLevelType w:val="hybridMultilevel"/>
    <w:lvl w:ilvl="0">
      <w:lvlJc w:val="left"/>
      <w:lvlText w:val="%1."/>
      <w:numFmt w:val="decimal"/>
      <w:start w:val="8"/>
    </w:lvl>
  </w:abstractNum>
  <w:abstractNum w:abstractNumId="125">
    <w:nsid w:val="20EE1348"/>
    <w:multiLevelType w:val="hybridMultilevel"/>
    <w:lvl w:ilvl="0">
      <w:lvlJc w:val="left"/>
      <w:lvlText w:val="%1."/>
      <w:numFmt w:val="decimal"/>
      <w:start w:val="9"/>
    </w:lvl>
  </w:abstractNum>
  <w:abstractNum w:abstractNumId="126">
    <w:nsid w:val="4427069A"/>
    <w:multiLevelType w:val="hybridMultilevel"/>
    <w:lvl w:ilvl="0">
      <w:lvlJc w:val="left"/>
      <w:lvlText w:val="%1."/>
      <w:numFmt w:val="decimal"/>
      <w:start w:val="10"/>
    </w:lvl>
  </w:abstractNum>
  <w:abstractNum w:abstractNumId="127">
    <w:nsid w:val="B37E80A"/>
    <w:multiLevelType w:val="hybridMultilevel"/>
    <w:lvl w:ilvl="0">
      <w:lvlJc w:val="left"/>
      <w:lvlText w:val="%1."/>
      <w:numFmt w:val="decimal"/>
      <w:start w:val="11"/>
    </w:lvl>
  </w:abstractNum>
  <w:abstractNum w:abstractNumId="128">
    <w:nsid w:val="2157F6BC"/>
    <w:multiLevelType w:val="hybridMultilevel"/>
    <w:lvl w:ilvl="0">
      <w:lvlJc w:val="left"/>
      <w:lvlText w:val="%1."/>
      <w:numFmt w:val="decimal"/>
      <w:start w:val="12"/>
    </w:lvl>
  </w:abstractNum>
  <w:abstractNum w:abstractNumId="129">
    <w:nsid w:val="704E1DD5"/>
    <w:multiLevelType w:val="hybridMultilevel"/>
    <w:lvl w:ilvl="0">
      <w:lvlJc w:val="left"/>
      <w:lvlText w:val="%1."/>
      <w:numFmt w:val="decimal"/>
      <w:start w:val="13"/>
    </w:lvl>
  </w:abstractNum>
  <w:abstractNum w:abstractNumId="130">
    <w:nsid w:val="57D2F10E"/>
    <w:multiLevelType w:val="hybridMultilevel"/>
    <w:lvl w:ilvl="0">
      <w:lvlJc w:val="left"/>
      <w:lvlText w:val="%1."/>
      <w:numFmt w:val="decimal"/>
      <w:start w:val="14"/>
    </w:lvl>
  </w:abstractNum>
  <w:abstractNum w:abstractNumId="131">
    <w:nsid w:val="BFFAE18"/>
    <w:multiLevelType w:val="hybridMultilevel"/>
    <w:lvl w:ilvl="0">
      <w:lvlJc w:val="left"/>
      <w:lvlText w:val="%1."/>
      <w:numFmt w:val="decimal"/>
      <w:start w:val="16"/>
    </w:lvl>
  </w:abstractNum>
  <w:abstractNum w:abstractNumId="132">
    <w:nsid w:val="E3E47A8"/>
    <w:multiLevelType w:val="hybridMultilevel"/>
    <w:lvl w:ilvl="0">
      <w:lvlJc w:val="left"/>
      <w:lvlText w:val="%1."/>
      <w:numFmt w:val="decimal"/>
      <w:start w:val="17"/>
    </w:lvl>
  </w:abstractNum>
  <w:abstractNum w:abstractNumId="133">
    <w:nsid w:val="2E48F044"/>
    <w:multiLevelType w:val="hybridMultilevel"/>
    <w:lvl w:ilvl="0">
      <w:lvlJc w:val="left"/>
      <w:lvlText w:val="%1."/>
      <w:numFmt w:val="lowerRoman"/>
      <w:start w:val="1"/>
    </w:lvl>
  </w:abstractNum>
  <w:abstractNum w:abstractNumId="134">
    <w:nsid w:val="49D0FEAC"/>
    <w:multiLevelType w:val="hybridMultilevel"/>
    <w:lvl w:ilvl="0">
      <w:lvlJc w:val="left"/>
      <w:lvlText w:val="%1."/>
      <w:numFmt w:val="decimal"/>
      <w:start w:val="1"/>
    </w:lvl>
    <w:lvl w:ilvl="1">
      <w:lvlJc w:val="left"/>
      <w:lvlText w:val="-"/>
      <w:numFmt w:val="bullet"/>
      <w:start w:val="1"/>
    </w:lvl>
  </w:abstractNum>
  <w:abstractNum w:abstractNumId="135">
    <w:nsid w:val="4BEE5A5B"/>
    <w:multiLevelType w:val="hybridMultilevel"/>
    <w:lvl w:ilvl="0">
      <w:lvlJc w:val="left"/>
      <w:lvlText w:val="%1."/>
      <w:numFmt w:val="decimal"/>
      <w:start w:val="2"/>
    </w:lvl>
    <w:lvl w:ilvl="1">
      <w:lvlJc w:val="left"/>
      <w:lvlText w:val="-"/>
      <w:numFmt w:val="bullet"/>
      <w:start w:val="1"/>
    </w:lvl>
  </w:abstractNum>
  <w:abstractNum w:abstractNumId="136">
    <w:nsid w:val="5551B9F3"/>
    <w:multiLevelType w:val="hybridMultilevel"/>
    <w:lvl w:ilvl="0">
      <w:lvlJc w:val="left"/>
      <w:lvlText w:val="%1."/>
      <w:numFmt w:val="decimal"/>
      <w:start w:val="5"/>
    </w:lvl>
    <w:lvl w:ilvl="1">
      <w:lvlJc w:val="left"/>
      <w:lvlText w:val="-"/>
      <w:numFmt w:val="bullet"/>
      <w:start w:val="1"/>
    </w:lvl>
  </w:abstractNum>
  <w:abstractNum w:abstractNumId="137">
    <w:nsid w:val="24F6AB8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jpe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jpe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jpe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9"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jpeg"/><Relationship Id="rId299" Type="http://schemas.openxmlformats.org/officeDocument/2006/relationships/image" Target="media/image274.jpe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 Type="http://schemas.openxmlformats.org/officeDocument/2006/relationships/hyperlink" Target="http://www.sec.gov/Archives/edgar/data/0001680581/000156459021010715/fulc-10k_20201231.htm" TargetMode="External"/><Relationship Id="rId31" Type="http://schemas.openxmlformats.org/officeDocument/2006/relationships/hyperlink" Target="http://www.sec.gov/Archives/edgar/data/0001680581/000119312521138549/d41208ddef14a.htm" TargetMode="External"/><Relationship Id="rId32" Type="http://schemas.openxmlformats.org/officeDocument/2006/relationships/hyperlink" Target="http://www.sec.gov/Archives/edgar/data/0001680581/000156459021024505/fulc-10q_20210331.htm" TargetMode="External"/><Relationship Id="rId33" Type="http://schemas.openxmlformats.org/officeDocument/2006/relationships/hyperlink" Target="http://www.sec.gov/ix?doc=/Archives/edgar/data/0001680581/000156459021042876/fulc-10q_20210630.htm" TargetMode="External"/><Relationship Id="rId34" Type="http://schemas.openxmlformats.org/officeDocument/2006/relationships/hyperlink" Target="http://www.sec.gov/ix?doc=/Archives/edgar/data/1680581/000156459021054234/fulc-10q_20210930.htm" TargetMode="External"/><Relationship Id="rId35" Type="http://schemas.openxmlformats.org/officeDocument/2006/relationships/hyperlink" Target="http://www.sec.gov/Archives/edgar/data/0001680581/000119312521011438/d102359d8k.htm" TargetMode="External"/><Relationship Id="rId36" Type="http://schemas.openxmlformats.org/officeDocument/2006/relationships/hyperlink" Target="http://www.sec.gov/Archives/edgar/data/0001680581/000119312521012403/d114001d8k.htm" TargetMode="External"/><Relationship Id="rId37" Type="http://schemas.openxmlformats.org/officeDocument/2006/relationships/hyperlink" Target="http://www.sec.gov/Archives/edgar/data/0001680581/000119312521068440/d122679d8k.htm" TargetMode="External"/><Relationship Id="rId38" Type="http://schemas.openxmlformats.org/officeDocument/2006/relationships/hyperlink" Target="http://www.sec.gov/Archives/edgar/data/0001680581/000119312521092672/d25784d8k.htm" TargetMode="External"/><Relationship Id="rId39" Type="http://schemas.openxmlformats.org/officeDocument/2006/relationships/hyperlink" Target="http://www.sec.gov/Archives/edgar/data/0001680581/000119312521188915/d163356d8k.htm" TargetMode="External"/><Relationship Id="rId40" Type="http://schemas.openxmlformats.org/officeDocument/2006/relationships/hyperlink" Target="http://www.sec.gov/Archives/edgar/data/0001680581/000119312521198675/d190429d8k.htm" TargetMode="External"/><Relationship Id="rId41" Type="http://schemas.openxmlformats.org/officeDocument/2006/relationships/hyperlink" Target="http://www.sec.gov/ix?doc=/Archives/edgar/data/0001680581/000119312521244795/d60776d8k.htm" TargetMode="External"/><Relationship Id="rId42" Type="http://schemas.openxmlformats.org/officeDocument/2006/relationships/hyperlink" Target="http://www.sec.gov/Archives/edgar/data/1680581/000110465919040208/a19-3408_78a12b.htm" TargetMode="External"/><Relationship Id="rId43" Type="http://schemas.openxmlformats.org/officeDocument/2006/relationships/hyperlink" Target="http://www.sec.gov/Archives/edgar/data/1680581/000156459020008951/fulc-ex42_198.htm" TargetMode="External"/><Relationship Id="rId117" Type="http://schemas.openxmlformats.org/officeDocument/2006/relationships/hyperlink" Target="http://www.sec.gov/Archives/edgar/data/1680581/000119312520215668/d235715dex12.htm" TargetMode="External"/><Relationship Id="rId118" Type="http://schemas.openxmlformats.org/officeDocument/2006/relationships/hyperlink" Target="http://www.sec.gov/Archives/edgar/data/1680581/000104746919004324/a2239321zex-3_1.htm" TargetMode="External"/><Relationship Id="rId120" Type="http://schemas.openxmlformats.org/officeDocument/2006/relationships/hyperlink" Target="http://www.sec.gov/Archives/edgar/data/1680581/000104746919004324/a2239321zex-3_2.htm" TargetMode="External"/><Relationship Id="rId121" Type="http://schemas.openxmlformats.org/officeDocument/2006/relationships/hyperlink" Target="http://www.sec.gov/Archives/edgar/data/1680581/000104746919003793/a2239080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2021-11-04T06:49:30Z</dcterms:created>
  <dcterms:modified xsi:type="dcterms:W3CDTF">2021-11-04T06:49:30Z</dcterms:modified>
</cp:coreProperties>
</file>