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72466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4318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372110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8" w:lineRule="exact"/>
        <w:rPr>
          <w:sz w:val="24"/>
          <w:szCs w:val="24"/>
          <w:color w:val="auto"/>
        </w:rPr>
      </w:pPr>
    </w:p>
    <w:p>
      <w:pPr>
        <w:jc w:val="center"/>
        <w:ind w:right="20"/>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4"/>
          <w:szCs w:val="24"/>
          <w:color w:val="auto"/>
        </w:rPr>
      </w:pPr>
    </w:p>
    <w:p>
      <w:pPr>
        <w:jc w:val="center"/>
        <w:ind w:right="40"/>
        <w:spacing w:after="0"/>
        <w:rPr>
          <w:sz w:val="20"/>
          <w:szCs w:val="20"/>
          <w:color w:val="auto"/>
        </w:rPr>
      </w:pPr>
      <w:r>
        <w:rPr>
          <w:rFonts w:ascii="Arial" w:cs="Arial" w:eastAsia="Arial" w:hAnsi="Arial"/>
          <w:sz w:val="22"/>
          <w:szCs w:val="22"/>
          <w:b w:val="1"/>
          <w:bCs w:val="1"/>
          <w:color w:val="auto"/>
        </w:rPr>
        <w:t>Washington, D.C. 20549</w:t>
      </w:r>
    </w:p>
    <w:p>
      <w:pPr>
        <w:spacing w:after="0" w:line="195" w:lineRule="exact"/>
        <w:rPr>
          <w:sz w:val="24"/>
          <w:szCs w:val="24"/>
          <w:color w:val="auto"/>
        </w:rPr>
      </w:pPr>
    </w:p>
    <w:p>
      <w:pPr>
        <w:jc w:val="center"/>
        <w:ind w:right="60"/>
        <w:spacing w:after="0"/>
        <w:rPr>
          <w:sz w:val="20"/>
          <w:szCs w:val="20"/>
          <w:color w:val="auto"/>
        </w:rPr>
      </w:pPr>
      <w:r>
        <w:rPr>
          <w:rFonts w:ascii="Arial" w:cs="Arial" w:eastAsia="Arial" w:hAnsi="Arial"/>
          <w:sz w:val="32"/>
          <w:szCs w:val="32"/>
          <w:b w:val="1"/>
          <w:bCs w:val="1"/>
          <w:color w:val="auto"/>
        </w:rPr>
        <w:t>SCHEDULE 13G</w:t>
      </w:r>
    </w:p>
    <w:p>
      <w:pPr>
        <w:spacing w:after="0" w:line="226" w:lineRule="exact"/>
        <w:rPr>
          <w:sz w:val="24"/>
          <w:szCs w:val="24"/>
          <w:color w:val="auto"/>
        </w:rPr>
      </w:pPr>
    </w:p>
    <w:p>
      <w:pPr>
        <w:jc w:val="center"/>
        <w:ind w:right="40"/>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217" w:lineRule="exact"/>
        <w:rPr>
          <w:sz w:val="24"/>
          <w:szCs w:val="24"/>
          <w:color w:val="auto"/>
        </w:rPr>
      </w:pPr>
    </w:p>
    <w:p>
      <w:pPr>
        <w:jc w:val="center"/>
        <w:ind w:right="40"/>
        <w:spacing w:after="0"/>
        <w:rPr>
          <w:sz w:val="20"/>
          <w:szCs w:val="20"/>
          <w:color w:val="auto"/>
        </w:rPr>
      </w:pPr>
      <w:r>
        <w:rPr>
          <w:rFonts w:ascii="Arial" w:cs="Arial" w:eastAsia="Arial" w:hAnsi="Arial"/>
          <w:sz w:val="43"/>
          <w:szCs w:val="43"/>
          <w:b w:val="1"/>
          <w:bCs w:val="1"/>
          <w:color w:val="auto"/>
        </w:rPr>
        <w:t>Fulcrum Therapeutics, Inc.</w:t>
      </w:r>
    </w:p>
    <w:p>
      <w:pPr>
        <w:spacing w:after="0" w:line="50"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(Name of Issuer)</w:t>
      </w:r>
    </w:p>
    <w:p>
      <w:pPr>
        <w:spacing w:after="0" w:line="20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Common Stock, $0.001 par value per share</w:t>
      </w:r>
    </w:p>
    <w:p>
      <w:pPr>
        <w:spacing w:after="0" w:line="23"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(Title of Class of Securities)</w:t>
      </w:r>
    </w:p>
    <w:p>
      <w:pPr>
        <w:spacing w:after="0" w:line="21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359616109</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(CUSIP Number)</w:t>
      </w:r>
    </w:p>
    <w:p>
      <w:pPr>
        <w:spacing w:after="0" w:line="238"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December 31, 2019</w:t>
      </w:r>
    </w:p>
    <w:p>
      <w:pPr>
        <w:spacing w:after="0" w:line="23"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(Date of Event Which Requires Filing of this Statement)</w:t>
      </w:r>
    </w:p>
    <w:p>
      <w:pPr>
        <w:spacing w:after="0" w:line="238"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50" w:lineRule="exact"/>
        <w:rPr>
          <w:sz w:val="24"/>
          <w:szCs w:val="24"/>
          <w:color w:val="auto"/>
        </w:rPr>
      </w:pPr>
    </w:p>
    <w:p>
      <w:pPr>
        <w:ind w:left="1080" w:hanging="424"/>
        <w:spacing w:after="0"/>
        <w:tabs>
          <w:tab w:leader="none" w:pos="1080" w:val="left"/>
        </w:tabs>
        <w:numPr>
          <w:ilvl w:val="0"/>
          <w:numId w:val="1"/>
        </w:numPr>
        <w:rPr>
          <w:rFonts w:ascii="MS PGothic" w:cs="MS PGothic" w:eastAsia="MS PGothic" w:hAnsi="MS PGothic"/>
          <w:sz w:val="22"/>
          <w:szCs w:val="22"/>
          <w:color w:val="auto"/>
        </w:rPr>
      </w:pPr>
      <w:r>
        <w:rPr>
          <w:rFonts w:ascii="Arial" w:cs="Arial" w:eastAsia="Arial" w:hAnsi="Arial"/>
          <w:sz w:val="18"/>
          <w:szCs w:val="18"/>
          <w:color w:val="auto"/>
        </w:rPr>
        <w:t>Rule 13d-1(b)</w:t>
      </w:r>
    </w:p>
    <w:p>
      <w:pPr>
        <w:spacing w:after="0" w:line="37" w:lineRule="exact"/>
        <w:rPr>
          <w:rFonts w:ascii="MS PGothic" w:cs="MS PGothic" w:eastAsia="MS PGothic" w:hAnsi="MS PGothic"/>
          <w:sz w:val="22"/>
          <w:szCs w:val="22"/>
          <w:color w:val="auto"/>
        </w:rPr>
      </w:pPr>
    </w:p>
    <w:p>
      <w:pPr>
        <w:jc w:val="both"/>
        <w:ind w:left="660" w:right="9320" w:hanging="4"/>
        <w:spacing w:after="0" w:line="257" w:lineRule="exact"/>
        <w:tabs>
          <w:tab w:leader="none" w:pos="1074" w:val="left"/>
        </w:tabs>
        <w:numPr>
          <w:ilvl w:val="0"/>
          <w:numId w:val="1"/>
        </w:numPr>
        <w:rPr>
          <w:rFonts w:ascii="MS PGothic" w:cs="MS PGothic" w:eastAsia="MS PGothic" w:hAnsi="MS PGothic"/>
          <w:sz w:val="20"/>
          <w:szCs w:val="20"/>
          <w:color w:val="auto"/>
        </w:rPr>
      </w:pPr>
      <w:r>
        <w:rPr>
          <w:rFonts w:ascii="Arial" w:cs="Arial" w:eastAsia="Arial" w:hAnsi="Arial"/>
          <w:sz w:val="16"/>
          <w:szCs w:val="16"/>
          <w:color w:val="auto"/>
        </w:rPr>
        <w:t xml:space="preserve">Rule 13d-1(c) </w:t>
      </w:r>
      <w:r>
        <w:rPr>
          <w:rFonts w:ascii="MS PGothic" w:cs="MS PGothic" w:eastAsia="MS PGothic" w:hAnsi="MS PGothic"/>
          <w:sz w:val="19"/>
          <w:szCs w:val="19"/>
          <w:color w:val="auto"/>
        </w:rPr>
        <w:t>☒</w:t>
      </w:r>
      <w:r>
        <w:rPr>
          <w:rFonts w:ascii="Arial" w:cs="Arial" w:eastAsia="Arial" w:hAnsi="Arial"/>
          <w:sz w:val="16"/>
          <w:szCs w:val="16"/>
          <w:color w:val="auto"/>
        </w:rPr>
        <w:t xml:space="preserve"> Rule 13d-1(d)</w:t>
      </w:r>
    </w:p>
    <w:p>
      <w:pPr>
        <w:spacing w:after="0" w:line="168" w:lineRule="exact"/>
        <w:rPr>
          <w:sz w:val="24"/>
          <w:szCs w:val="24"/>
          <w:color w:val="auto"/>
        </w:rPr>
      </w:pPr>
    </w:p>
    <w:p>
      <w:pPr>
        <w:ind w:right="220"/>
        <w:spacing w:after="0" w:line="277" w:lineRule="auto"/>
        <w:rPr>
          <w:sz w:val="20"/>
          <w:szCs w:val="20"/>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97" w:lineRule="exact"/>
        <w:rPr>
          <w:sz w:val="24"/>
          <w:szCs w:val="24"/>
          <w:color w:val="auto"/>
        </w:rPr>
      </w:pPr>
    </w:p>
    <w:p>
      <w:pPr>
        <w:spacing w:after="0" w:line="342" w:lineRule="auto"/>
        <w:rPr>
          <w:sz w:val="20"/>
          <w:szCs w:val="20"/>
          <w:color w:val="auto"/>
        </w:rPr>
      </w:pPr>
      <w:r>
        <w:rPr>
          <w:rFonts w:ascii="Arial" w:cs="Arial" w:eastAsia="Arial" w:hAnsi="Arial"/>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120" w:lineRule="exact"/>
        <w:rPr>
          <w:sz w:val="24"/>
          <w:szCs w:val="24"/>
          <w:color w:val="auto"/>
        </w:rPr>
      </w:pPr>
    </w:p>
    <w:p>
      <w:pPr>
        <w:jc w:val="both"/>
        <w:ind w:left="2480" w:right="2440" w:firstLine="57"/>
        <w:spacing w:after="0" w:line="347" w:lineRule="auto"/>
        <w:rPr>
          <w:sz w:val="20"/>
          <w:szCs w:val="20"/>
          <w:color w:val="auto"/>
        </w:rPr>
      </w:pPr>
      <w:r>
        <w:rPr>
          <w:rFonts w:ascii="Arial" w:cs="Arial" w:eastAsia="Arial" w:hAnsi="Arial"/>
          <w:sz w:val="16"/>
          <w:szCs w:val="16"/>
          <w:b w:val="1"/>
          <w:bCs w:val="1"/>
          <w:color w:val="auto"/>
        </w:rPr>
        <w:t>Persons who respond to the collection of information contained in this form are not required to respond unless the form displays a currently valid OMB control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102870</wp:posOffset>
            </wp:positionV>
            <wp:extent cx="72466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488315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19" w:right="259" w:bottom="1440" w:gutter="0" w:footer="0" w:header="0"/>
        </w:sectPr>
      </w:pPr>
    </w:p>
    <w:bookmarkStart w:id="1" w:name="page2"/>
    <w:bookmarkEnd w:id="1"/>
    <w:p>
      <w:pPr>
        <w:jc w:val="center"/>
        <w:ind w:right="80"/>
        <w:spacing w:after="0"/>
        <w:rPr>
          <w:sz w:val="20"/>
          <w:szCs w:val="20"/>
          <w:color w:val="auto"/>
        </w:rPr>
      </w:pPr>
      <w:r>
        <w:rPr>
          <w:rFonts w:ascii="Arial" w:cs="Arial" w:eastAsia="Arial" w:hAnsi="Arial"/>
          <w:sz w:val="18"/>
          <w:szCs w:val="18"/>
          <w:color w:val="auto"/>
        </w:rPr>
        <w:t>13G</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CUSIP No. 359616109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-46990</wp:posOffset>
            </wp:positionH>
            <wp:positionV relativeFrom="paragraph">
              <wp:posOffset>-130810</wp:posOffset>
            </wp:positionV>
            <wp:extent cx="7250430" cy="478726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4787265"/>
                    </a:xfrm>
                    <a:prstGeom prst="rect">
                      <a:avLst/>
                    </a:prstGeom>
                    <a:noFill/>
                  </pic:spPr>
                </pic:pic>
              </a:graphicData>
            </a:graphic>
          </wp:anchor>
        </w:drawing>
      </w:r>
    </w:p>
    <w:p>
      <w:pPr>
        <w:spacing w:after="0" w:line="312" w:lineRule="exact"/>
        <w:rPr>
          <w:sz w:val="20"/>
          <w:szCs w:val="20"/>
          <w:color w:val="auto"/>
        </w:rPr>
      </w:pPr>
    </w:p>
    <w:p>
      <w:pPr>
        <w:ind w:left="240" w:right="8960" w:hanging="240"/>
        <w:spacing w:after="0" w:line="624" w:lineRule="auto"/>
        <w:tabs>
          <w:tab w:leader="none" w:pos="267" w:val="left"/>
        </w:tabs>
        <w:numPr>
          <w:ilvl w:val="0"/>
          <w:numId w:val="2"/>
        </w:numPr>
        <w:rPr>
          <w:rFonts w:ascii="Arial" w:cs="Arial" w:eastAsia="Arial" w:hAnsi="Arial"/>
          <w:sz w:val="16"/>
          <w:szCs w:val="16"/>
          <w:color w:val="auto"/>
        </w:rPr>
      </w:pPr>
      <w:r>
        <w:rPr>
          <w:rFonts w:ascii="Arial" w:cs="Arial" w:eastAsia="Arial" w:hAnsi="Arial"/>
          <w:sz w:val="16"/>
          <w:szCs w:val="16"/>
          <w:color w:val="auto"/>
        </w:rPr>
        <w:t>Names of Reporting Persons. GlaxoSmithKline plc</w:t>
      </w:r>
    </w:p>
    <w:p>
      <w:pPr>
        <w:spacing w:after="0" w:line="29" w:lineRule="exact"/>
        <w:rPr>
          <w:rFonts w:ascii="Arial" w:cs="Arial" w:eastAsia="Arial" w:hAnsi="Arial"/>
          <w:sz w:val="16"/>
          <w:szCs w:val="16"/>
          <w:color w:val="auto"/>
        </w:rPr>
      </w:pPr>
    </w:p>
    <w:p>
      <w:pPr>
        <w:ind w:left="180" w:hanging="180"/>
        <w:spacing w:after="0"/>
        <w:tabs>
          <w:tab w:leader="none" w:pos="18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Check the Appropriate Box if a Member of a Group</w:t>
      </w:r>
    </w:p>
    <w:p>
      <w:pPr>
        <w:spacing w:after="0" w:line="23" w:lineRule="exact"/>
        <w:rPr>
          <w:rFonts w:ascii="Arial" w:cs="Arial" w:eastAsia="Arial" w:hAnsi="Arial"/>
          <w:sz w:val="18"/>
          <w:szCs w:val="18"/>
          <w:color w:val="auto"/>
        </w:rPr>
      </w:pPr>
    </w:p>
    <w:p>
      <w:pPr>
        <w:spacing w:after="0" w:line="242" w:lineRule="exact"/>
        <w:rPr>
          <w:rFonts w:ascii="Arial" w:cs="Arial" w:eastAsia="Arial" w:hAnsi="Arial"/>
          <w:sz w:val="18"/>
          <w:szCs w:val="18"/>
          <w:color w:val="auto"/>
        </w:rPr>
      </w:pPr>
      <w:r>
        <w:rPr>
          <w:rFonts w:ascii="Arial" w:cs="Arial" w:eastAsia="Arial" w:hAnsi="Arial"/>
          <w:sz w:val="18"/>
          <w:szCs w:val="18"/>
          <w:color w:val="auto"/>
        </w:rPr>
        <w:t xml:space="preserve">(a) </w:t>
      </w:r>
      <w:r>
        <w:rPr>
          <w:rFonts w:ascii="MS PGothic" w:cs="MS PGothic" w:eastAsia="MS PGothic" w:hAnsi="MS PGothic"/>
          <w:sz w:val="21"/>
          <w:szCs w:val="21"/>
          <w:color w:val="auto"/>
        </w:rPr>
        <w:t>☐</w:t>
      </w:r>
    </w:p>
    <w:p>
      <w:pPr>
        <w:spacing w:after="0" w:line="49" w:lineRule="exact"/>
        <w:rPr>
          <w:rFonts w:ascii="Arial" w:cs="Arial" w:eastAsia="Arial" w:hAnsi="Arial"/>
          <w:sz w:val="18"/>
          <w:szCs w:val="18"/>
          <w:color w:val="auto"/>
        </w:rPr>
      </w:pPr>
    </w:p>
    <w:p>
      <w:pPr>
        <w:spacing w:after="0" w:line="242" w:lineRule="exact"/>
        <w:rPr>
          <w:rFonts w:ascii="Arial" w:cs="Arial" w:eastAsia="Arial" w:hAnsi="Arial"/>
          <w:sz w:val="18"/>
          <w:szCs w:val="18"/>
          <w:color w:val="auto"/>
        </w:rPr>
      </w:pPr>
      <w:r>
        <w:rPr>
          <w:rFonts w:ascii="Arial" w:cs="Arial" w:eastAsia="Arial" w:hAnsi="Arial"/>
          <w:sz w:val="18"/>
          <w:szCs w:val="18"/>
          <w:color w:val="auto"/>
        </w:rPr>
        <w:t xml:space="preserve">(b) </w:t>
      </w:r>
      <w:r>
        <w:rPr>
          <w:rFonts w:ascii="MS PGothic" w:cs="MS PGothic" w:eastAsia="MS PGothic" w:hAnsi="MS PGothic"/>
          <w:sz w:val="21"/>
          <w:szCs w:val="21"/>
          <w:color w:val="auto"/>
        </w:rPr>
        <w:t>☐</w:t>
      </w:r>
    </w:p>
    <w:p>
      <w:pPr>
        <w:spacing w:after="0" w:line="277" w:lineRule="exact"/>
        <w:rPr>
          <w:rFonts w:ascii="Arial" w:cs="Arial" w:eastAsia="Arial" w:hAnsi="Arial"/>
          <w:sz w:val="18"/>
          <w:szCs w:val="18"/>
          <w:color w:val="auto"/>
        </w:rPr>
      </w:pPr>
    </w:p>
    <w:p>
      <w:pPr>
        <w:ind w:left="220" w:hanging="220"/>
        <w:spacing w:after="0"/>
        <w:tabs>
          <w:tab w:leader="none" w:pos="220" w:val="left"/>
        </w:tabs>
        <w:numPr>
          <w:ilvl w:val="0"/>
          <w:numId w:val="2"/>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76" w:lineRule="exact"/>
        <w:rPr>
          <w:rFonts w:ascii="Arial" w:cs="Arial" w:eastAsia="Arial" w:hAnsi="Arial"/>
          <w:sz w:val="18"/>
          <w:szCs w:val="18"/>
          <w:color w:val="auto"/>
        </w:rPr>
      </w:pPr>
    </w:p>
    <w:p>
      <w:pPr>
        <w:ind w:left="240" w:right="8480" w:hanging="240"/>
        <w:spacing w:after="0" w:line="308" w:lineRule="auto"/>
        <w:tabs>
          <w:tab w:leader="none" w:pos="222" w:val="left"/>
        </w:tabs>
        <w:numPr>
          <w:ilvl w:val="0"/>
          <w:numId w:val="2"/>
        </w:numPr>
        <w:rPr>
          <w:rFonts w:ascii="Arial" w:cs="Arial" w:eastAsia="Arial" w:hAnsi="Arial"/>
          <w:sz w:val="17"/>
          <w:szCs w:val="17"/>
          <w:color w:val="auto"/>
        </w:rPr>
      </w:pPr>
      <w:r>
        <w:rPr>
          <w:rFonts w:ascii="Arial" w:cs="Arial" w:eastAsia="Arial" w:hAnsi="Arial"/>
          <w:sz w:val="17"/>
          <w:szCs w:val="17"/>
          <w:color w:val="auto"/>
        </w:rPr>
        <w:t>Citizenship or Place of Organization England and Wales</w:t>
      </w:r>
    </w:p>
    <w:p>
      <w:pPr>
        <w:spacing w:after="0" w:line="65" w:lineRule="exact"/>
        <w:rPr>
          <w:rFonts w:ascii="Arial" w:cs="Arial" w:eastAsia="Arial" w:hAnsi="Arial"/>
          <w:sz w:val="17"/>
          <w:szCs w:val="17"/>
          <w:color w:val="auto"/>
        </w:rPr>
      </w:pPr>
    </w:p>
    <w:p>
      <w:pPr>
        <w:ind w:left="2580" w:right="7540" w:hanging="316"/>
        <w:spacing w:after="0" w:line="325" w:lineRule="auto"/>
        <w:tabs>
          <w:tab w:leader="none" w:pos="2436" w:val="left"/>
        </w:tabs>
        <w:numPr>
          <w:ilvl w:val="1"/>
          <w:numId w:val="2"/>
        </w:numPr>
        <w:rPr>
          <w:rFonts w:ascii="Arial" w:cs="Arial" w:eastAsia="Arial" w:hAnsi="Arial"/>
          <w:sz w:val="16"/>
          <w:szCs w:val="16"/>
          <w:color w:val="auto"/>
        </w:rPr>
      </w:pPr>
      <w:r>
        <w:rPr>
          <w:rFonts w:ascii="Arial" w:cs="Arial" w:eastAsia="Arial" w:hAnsi="Arial"/>
          <w:sz w:val="16"/>
          <w:szCs w:val="16"/>
          <w:color w:val="auto"/>
        </w:rPr>
        <w:t>Sole Voting Power 1,785,714</w:t>
      </w:r>
    </w:p>
    <w:p>
      <w:pPr>
        <w:spacing w:after="0" w:line="1" w:lineRule="exact"/>
        <w:rPr>
          <w:sz w:val="20"/>
          <w:szCs w:val="20"/>
          <w:color w:val="auto"/>
        </w:rPr>
      </w:pPr>
    </w:p>
    <w:tbl>
      <w:tblPr>
        <w:tblLayout w:type="fixed"/>
        <w:tblInd w:w="80" w:type="dxa"/>
        <w:tblCellMar>
          <w:top w:w="0" w:type="dxa"/>
          <w:left w:w="0" w:type="dxa"/>
          <w:bottom w:w="0" w:type="dxa"/>
          <w:right w:w="0" w:type="dxa"/>
        </w:tblCellMar>
      </w:tblPr>
      <w:tr>
        <w:trPr>
          <w:trHeight w:val="230"/>
        </w:trPr>
        <w:tc>
          <w:tcPr>
            <w:tcW w:w="2120" w:type="dxa"/>
            <w:vAlign w:val="bottom"/>
          </w:tcPr>
          <w:p>
            <w:pPr>
              <w:spacing w:after="0"/>
              <w:rPr>
                <w:sz w:val="20"/>
                <w:szCs w:val="20"/>
                <w:color w:val="auto"/>
              </w:rPr>
            </w:pPr>
            <w:r>
              <w:rPr>
                <w:rFonts w:ascii="Arial" w:cs="Arial" w:eastAsia="Arial" w:hAnsi="Arial"/>
                <w:sz w:val="18"/>
                <w:szCs w:val="18"/>
                <w:color w:val="auto"/>
              </w:rPr>
              <w:t>Number of Shares</w:t>
            </w:r>
          </w:p>
        </w:tc>
        <w:tc>
          <w:tcPr>
            <w:tcW w:w="220" w:type="dxa"/>
            <w:vAlign w:val="bottom"/>
          </w:tcPr>
          <w:p>
            <w:pPr>
              <w:jc w:val="right"/>
              <w:spacing w:after="0"/>
              <w:rPr>
                <w:sz w:val="20"/>
                <w:szCs w:val="20"/>
                <w:color w:val="auto"/>
              </w:rPr>
            </w:pPr>
            <w:r>
              <w:rPr>
                <w:rFonts w:ascii="Arial" w:cs="Arial" w:eastAsia="Arial" w:hAnsi="Arial"/>
                <w:sz w:val="18"/>
                <w:szCs w:val="18"/>
                <w:color w:val="auto"/>
              </w:rPr>
              <w:t>6.</w:t>
            </w:r>
          </w:p>
        </w:tc>
        <w:tc>
          <w:tcPr>
            <w:tcW w:w="8920" w:type="dxa"/>
            <w:vAlign w:val="bottom"/>
          </w:tcPr>
          <w:p>
            <w:pPr>
              <w:ind w:left="2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2120" w:type="dxa"/>
            <w:vAlign w:val="bottom"/>
          </w:tcPr>
          <w:p>
            <w:pPr>
              <w:spacing w:after="0"/>
              <w:rPr>
                <w:sz w:val="20"/>
                <w:szCs w:val="20"/>
                <w:color w:val="auto"/>
              </w:rPr>
            </w:pPr>
            <w:r>
              <w:rPr>
                <w:rFonts w:ascii="Arial" w:cs="Arial" w:eastAsia="Arial" w:hAnsi="Arial"/>
                <w:sz w:val="18"/>
                <w:szCs w:val="18"/>
                <w:color w:val="auto"/>
              </w:rPr>
              <w:t>Beneficially</w:t>
            </w:r>
          </w:p>
        </w:tc>
        <w:tc>
          <w:tcPr>
            <w:tcW w:w="220" w:type="dxa"/>
            <w:vAlign w:val="bottom"/>
          </w:tcPr>
          <w:p>
            <w:pPr>
              <w:spacing w:after="0"/>
              <w:rPr>
                <w:sz w:val="18"/>
                <w:szCs w:val="18"/>
                <w:color w:val="auto"/>
              </w:rPr>
            </w:pPr>
          </w:p>
        </w:tc>
        <w:tc>
          <w:tcPr>
            <w:tcW w:w="8920" w:type="dxa"/>
            <w:vAlign w:val="bottom"/>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08"/>
        </w:trPr>
        <w:tc>
          <w:tcPr>
            <w:tcW w:w="2120" w:type="dxa"/>
            <w:vAlign w:val="bottom"/>
            <w:vMerge w:val="restart"/>
          </w:tcPr>
          <w:p>
            <w:pPr>
              <w:spacing w:after="0" w:line="201" w:lineRule="exact"/>
              <w:rPr>
                <w:sz w:val="20"/>
                <w:szCs w:val="20"/>
                <w:color w:val="auto"/>
              </w:rPr>
            </w:pPr>
            <w:r>
              <w:rPr>
                <w:rFonts w:ascii="Arial" w:cs="Arial" w:eastAsia="Arial" w:hAnsi="Arial"/>
                <w:sz w:val="18"/>
                <w:szCs w:val="18"/>
                <w:color w:val="auto"/>
              </w:rPr>
              <w:t>Owned by</w:t>
            </w:r>
          </w:p>
        </w:tc>
        <w:tc>
          <w:tcPr>
            <w:tcW w:w="220" w:type="dxa"/>
            <w:vAlign w:val="bottom"/>
            <w:tcBorders>
              <w:bottom w:val="single" w:sz="8" w:color="auto"/>
            </w:tcBorders>
          </w:tcPr>
          <w:p>
            <w:pPr>
              <w:spacing w:after="0"/>
              <w:rPr>
                <w:sz w:val="9"/>
                <w:szCs w:val="9"/>
                <w:color w:val="auto"/>
              </w:rPr>
            </w:pPr>
          </w:p>
        </w:tc>
        <w:tc>
          <w:tcPr>
            <w:tcW w:w="89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74"/>
        </w:trPr>
        <w:tc>
          <w:tcPr>
            <w:tcW w:w="2120" w:type="dxa"/>
            <w:vAlign w:val="bottom"/>
            <w:vMerge w:val="continue"/>
          </w:tcPr>
          <w:p>
            <w:pPr>
              <w:spacing w:after="0"/>
              <w:rPr>
                <w:sz w:val="6"/>
                <w:szCs w:val="6"/>
                <w:color w:val="auto"/>
              </w:rPr>
            </w:pPr>
          </w:p>
        </w:tc>
        <w:tc>
          <w:tcPr>
            <w:tcW w:w="220" w:type="dxa"/>
            <w:vAlign w:val="bottom"/>
            <w:vMerge w:val="restart"/>
          </w:tcPr>
          <w:p>
            <w:pPr>
              <w:jc w:val="right"/>
              <w:spacing w:after="0"/>
              <w:rPr>
                <w:sz w:val="20"/>
                <w:szCs w:val="20"/>
                <w:color w:val="auto"/>
              </w:rPr>
            </w:pPr>
            <w:r>
              <w:rPr>
                <w:rFonts w:ascii="Arial" w:cs="Arial" w:eastAsia="Arial" w:hAnsi="Arial"/>
                <w:sz w:val="18"/>
                <w:szCs w:val="18"/>
                <w:color w:val="auto"/>
              </w:rPr>
              <w:t>7.</w:t>
            </w:r>
          </w:p>
        </w:tc>
        <w:tc>
          <w:tcPr>
            <w:tcW w:w="8920" w:type="dxa"/>
            <w:vAlign w:val="bottom"/>
            <w:vMerge w:val="restart"/>
          </w:tcPr>
          <w:p>
            <w:pPr>
              <w:ind w:left="2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76"/>
        </w:trPr>
        <w:tc>
          <w:tcPr>
            <w:tcW w:w="2120" w:type="dxa"/>
            <w:vAlign w:val="bottom"/>
          </w:tcPr>
          <w:p>
            <w:pPr>
              <w:spacing w:after="0" w:line="176" w:lineRule="exact"/>
              <w:rPr>
                <w:sz w:val="20"/>
                <w:szCs w:val="20"/>
                <w:color w:val="auto"/>
              </w:rPr>
            </w:pPr>
            <w:r>
              <w:rPr>
                <w:rFonts w:ascii="Arial" w:cs="Arial" w:eastAsia="Arial" w:hAnsi="Arial"/>
                <w:sz w:val="18"/>
                <w:szCs w:val="18"/>
                <w:color w:val="auto"/>
              </w:rPr>
              <w:t>Each Reporting</w:t>
            </w:r>
          </w:p>
        </w:tc>
        <w:tc>
          <w:tcPr>
            <w:tcW w:w="220" w:type="dxa"/>
            <w:vAlign w:val="bottom"/>
            <w:vMerge w:val="continue"/>
          </w:tcPr>
          <w:p>
            <w:pPr>
              <w:spacing w:after="0"/>
              <w:rPr>
                <w:sz w:val="15"/>
                <w:szCs w:val="15"/>
                <w:color w:val="auto"/>
              </w:rPr>
            </w:pPr>
          </w:p>
        </w:tc>
        <w:tc>
          <w:tcPr>
            <w:tcW w:w="89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70"/>
        </w:trPr>
        <w:tc>
          <w:tcPr>
            <w:tcW w:w="2120" w:type="dxa"/>
            <w:vAlign w:val="bottom"/>
          </w:tcPr>
          <w:p>
            <w:pPr>
              <w:spacing w:after="0"/>
              <w:rPr>
                <w:sz w:val="20"/>
                <w:szCs w:val="20"/>
                <w:color w:val="auto"/>
              </w:rPr>
            </w:pPr>
            <w:r>
              <w:rPr>
                <w:rFonts w:ascii="Arial" w:cs="Arial" w:eastAsia="Arial" w:hAnsi="Arial"/>
                <w:sz w:val="18"/>
                <w:szCs w:val="18"/>
                <w:color w:val="auto"/>
              </w:rPr>
              <w:t>Person With:</w:t>
            </w:r>
          </w:p>
        </w:tc>
        <w:tc>
          <w:tcPr>
            <w:tcW w:w="220" w:type="dxa"/>
            <w:vAlign w:val="bottom"/>
          </w:tcPr>
          <w:p>
            <w:pPr>
              <w:spacing w:after="0"/>
              <w:rPr>
                <w:sz w:val="23"/>
                <w:szCs w:val="23"/>
                <w:color w:val="auto"/>
              </w:rPr>
            </w:pPr>
          </w:p>
        </w:tc>
        <w:tc>
          <w:tcPr>
            <w:tcW w:w="8920" w:type="dxa"/>
            <w:vAlign w:val="bottom"/>
          </w:tcPr>
          <w:p>
            <w:pPr>
              <w:ind w:left="160"/>
              <w:spacing w:after="0"/>
              <w:rPr>
                <w:sz w:val="20"/>
                <w:szCs w:val="20"/>
                <w:color w:val="auto"/>
              </w:rPr>
            </w:pPr>
            <w:r>
              <w:rPr>
                <w:rFonts w:ascii="Arial" w:cs="Arial" w:eastAsia="Arial" w:hAnsi="Arial"/>
                <w:sz w:val="18"/>
                <w:szCs w:val="18"/>
                <w:color w:val="auto"/>
              </w:rPr>
              <w:t>1,785,714</w:t>
            </w:r>
          </w:p>
        </w:tc>
        <w:tc>
          <w:tcPr>
            <w:tcW w:w="0" w:type="dxa"/>
            <w:vAlign w:val="bottom"/>
          </w:tcPr>
          <w:p>
            <w:pPr>
              <w:spacing w:after="0"/>
              <w:rPr>
                <w:sz w:val="1"/>
                <w:szCs w:val="1"/>
                <w:color w:val="auto"/>
              </w:rPr>
            </w:pPr>
          </w:p>
        </w:tc>
      </w:tr>
    </w:tbl>
    <w:p>
      <w:pPr>
        <w:spacing w:after="0" w:line="67" w:lineRule="exact"/>
        <w:rPr>
          <w:sz w:val="20"/>
          <w:szCs w:val="20"/>
          <w:color w:val="auto"/>
        </w:rPr>
      </w:pPr>
    </w:p>
    <w:p>
      <w:pPr>
        <w:ind w:left="2580" w:right="7020" w:hanging="316"/>
        <w:spacing w:after="0" w:line="277" w:lineRule="auto"/>
        <w:tabs>
          <w:tab w:leader="none" w:pos="2436" w:val="left"/>
        </w:tabs>
        <w:numPr>
          <w:ilvl w:val="1"/>
          <w:numId w:val="3"/>
        </w:numPr>
        <w:rPr>
          <w:rFonts w:ascii="Arial" w:cs="Arial" w:eastAsia="Arial" w:hAnsi="Arial"/>
          <w:sz w:val="18"/>
          <w:szCs w:val="18"/>
          <w:color w:val="auto"/>
        </w:rPr>
      </w:pPr>
      <w:r>
        <w:rPr>
          <w:rFonts w:ascii="Arial" w:cs="Arial" w:eastAsia="Arial" w:hAnsi="Arial"/>
          <w:sz w:val="18"/>
          <w:szCs w:val="18"/>
          <w:color w:val="auto"/>
        </w:rPr>
        <w:t>Shared Dispositive Power 0</w:t>
      </w:r>
    </w:p>
    <w:p>
      <w:pPr>
        <w:spacing w:after="0" w:line="75" w:lineRule="exact"/>
        <w:rPr>
          <w:rFonts w:ascii="Arial" w:cs="Arial" w:eastAsia="Arial" w:hAnsi="Arial"/>
          <w:sz w:val="18"/>
          <w:szCs w:val="18"/>
          <w:color w:val="auto"/>
        </w:rPr>
      </w:pPr>
    </w:p>
    <w:p>
      <w:pPr>
        <w:ind w:left="260" w:right="6280" w:hanging="260"/>
        <w:spacing w:after="0" w:line="270" w:lineRule="auto"/>
        <w:tabs>
          <w:tab w:leader="none" w:pos="261" w:val="left"/>
        </w:tabs>
        <w:numPr>
          <w:ilvl w:val="0"/>
          <w:numId w:val="4"/>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1,785,714(1)</w:t>
      </w:r>
    </w:p>
    <w:p>
      <w:pPr>
        <w:spacing w:after="0" w:line="207" w:lineRule="exact"/>
        <w:tabs>
          <w:tab w:leader="none" w:pos="5540" w:val="left"/>
        </w:tabs>
        <w:rPr>
          <w:sz w:val="20"/>
          <w:szCs w:val="20"/>
          <w:color w:val="auto"/>
        </w:rPr>
      </w:pPr>
      <w:r>
        <w:rPr>
          <w:rFonts w:ascii="Arial" w:cs="Arial" w:eastAsia="Arial" w:hAnsi="Arial"/>
          <w:sz w:val="18"/>
          <w:szCs w:val="18"/>
          <w:color w:val="auto"/>
        </w:rPr>
        <w:t>10. Check if the Aggregate Amount in Row (9) Excludes Certain Shares</w:t>
      </w:r>
      <w:r>
        <w:rPr>
          <w:sz w:val="20"/>
          <w:szCs w:val="20"/>
          <w:color w:val="auto"/>
        </w:rPr>
        <w:tab/>
      </w:r>
      <w:r>
        <w:rPr>
          <w:rFonts w:ascii="MS PGothic" w:cs="MS PGothic" w:eastAsia="MS PGothic" w:hAnsi="MS PGothic"/>
          <w:sz w:val="19"/>
          <w:szCs w:val="19"/>
          <w:color w:val="auto"/>
        </w:rPr>
        <w:t>☐</w:t>
      </w:r>
    </w:p>
    <w:p>
      <w:pPr>
        <w:spacing w:after="0" w:line="151" w:lineRule="exact"/>
        <w:rPr>
          <w:sz w:val="20"/>
          <w:szCs w:val="20"/>
          <w:color w:val="auto"/>
        </w:rPr>
      </w:pPr>
    </w:p>
    <w:p>
      <w:pPr>
        <w:ind w:left="320" w:right="7200" w:hanging="320"/>
        <w:spacing w:after="0" w:line="277" w:lineRule="auto"/>
        <w:tabs>
          <w:tab w:leader="none" w:pos="349" w:val="left"/>
        </w:tabs>
        <w:numPr>
          <w:ilvl w:val="0"/>
          <w:numId w:val="5"/>
        </w:numPr>
        <w:rPr>
          <w:rFonts w:ascii="Arial" w:cs="Arial" w:eastAsia="Arial" w:hAnsi="Arial"/>
          <w:sz w:val="18"/>
          <w:szCs w:val="18"/>
          <w:color w:val="auto"/>
        </w:rPr>
      </w:pPr>
      <w:r>
        <w:rPr>
          <w:rFonts w:ascii="Arial" w:cs="Arial" w:eastAsia="Arial" w:hAnsi="Arial"/>
          <w:sz w:val="18"/>
          <w:szCs w:val="18"/>
          <w:color w:val="auto"/>
        </w:rPr>
        <w:t>Percent of Class Represented by Amount in Row (9) 7.7% (2)</w:t>
      </w:r>
    </w:p>
    <w:p>
      <w:pPr>
        <w:spacing w:after="0" w:line="75" w:lineRule="exact"/>
        <w:rPr>
          <w:rFonts w:ascii="Arial" w:cs="Arial" w:eastAsia="Arial" w:hAnsi="Arial"/>
          <w:sz w:val="18"/>
          <w:szCs w:val="18"/>
          <w:color w:val="auto"/>
        </w:rPr>
      </w:pPr>
    </w:p>
    <w:p>
      <w:pPr>
        <w:ind w:left="280" w:hanging="280"/>
        <w:spacing w:after="0"/>
        <w:tabs>
          <w:tab w:leader="none" w:pos="2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Type of Reporting Person</w:t>
      </w:r>
    </w:p>
    <w:p>
      <w:pPr>
        <w:spacing w:after="0" w:line="2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CO</w:t>
      </w:r>
    </w:p>
    <w:p>
      <w:pPr>
        <w:spacing w:after="0" w:line="319" w:lineRule="exact"/>
        <w:rPr>
          <w:sz w:val="20"/>
          <w:szCs w:val="20"/>
          <w:color w:val="auto"/>
        </w:rPr>
      </w:pPr>
    </w:p>
    <w:p>
      <w:pPr>
        <w:ind w:left="840" w:hanging="264"/>
        <w:spacing w:after="0"/>
        <w:tabs>
          <w:tab w:leader="none" w:pos="840" w:val="left"/>
        </w:tabs>
        <w:numPr>
          <w:ilvl w:val="0"/>
          <w:numId w:val="6"/>
        </w:numPr>
        <w:rPr>
          <w:rFonts w:ascii="Arial" w:cs="Arial" w:eastAsia="Arial" w:hAnsi="Arial"/>
          <w:sz w:val="18"/>
          <w:szCs w:val="18"/>
          <w:color w:val="auto"/>
        </w:rPr>
      </w:pPr>
      <w:r>
        <w:rPr>
          <w:rFonts w:ascii="Arial" w:cs="Arial" w:eastAsia="Arial" w:hAnsi="Arial"/>
          <w:sz w:val="18"/>
          <w:szCs w:val="18"/>
          <w:color w:val="auto"/>
        </w:rPr>
        <w:t>Held directly by Glaxo Group Limited, an indirect wholly-owned subsidiary of the Reporting Person.</w:t>
      </w:r>
    </w:p>
    <w:p>
      <w:pPr>
        <w:spacing w:after="0" w:line="225" w:lineRule="exact"/>
        <w:rPr>
          <w:rFonts w:ascii="Arial" w:cs="Arial" w:eastAsia="Arial" w:hAnsi="Arial"/>
          <w:sz w:val="18"/>
          <w:szCs w:val="18"/>
          <w:color w:val="auto"/>
        </w:rPr>
      </w:pPr>
    </w:p>
    <w:p>
      <w:pPr>
        <w:ind w:left="580" w:right="80" w:hanging="4"/>
        <w:spacing w:after="0" w:line="341" w:lineRule="auto"/>
        <w:tabs>
          <w:tab w:leader="none" w:pos="835" w:val="left"/>
        </w:tabs>
        <w:numPr>
          <w:ilvl w:val="0"/>
          <w:numId w:val="6"/>
        </w:numPr>
        <w:rPr>
          <w:rFonts w:ascii="Arial" w:cs="Arial" w:eastAsia="Arial" w:hAnsi="Arial"/>
          <w:sz w:val="17"/>
          <w:szCs w:val="17"/>
          <w:color w:val="auto"/>
        </w:rPr>
      </w:pPr>
      <w:r>
        <w:rPr>
          <w:rFonts w:ascii="Arial" w:cs="Arial" w:eastAsia="Arial" w:hAnsi="Arial"/>
          <w:sz w:val="17"/>
          <w:szCs w:val="17"/>
          <w:color w:val="auto"/>
        </w:rPr>
        <w:t xml:space="preserve">Based on 23,340,544 shares of Common Stock (as defined below) outstanding as of November 8, 2019, </w:t>
      </w:r>
      <w:r>
        <w:rPr>
          <w:rFonts w:ascii="Arial" w:cs="Arial" w:eastAsia="Arial" w:hAnsi="Arial"/>
          <w:sz w:val="15"/>
          <w:szCs w:val="15"/>
          <w:color w:val="auto"/>
        </w:rPr>
        <w:t>as reported in the Issuer’s quarterly report on</w:t>
      </w:r>
      <w:r>
        <w:rPr>
          <w:rFonts w:ascii="Arial" w:cs="Arial" w:eastAsia="Arial" w:hAnsi="Arial"/>
          <w:sz w:val="17"/>
          <w:szCs w:val="17"/>
          <w:color w:val="auto"/>
        </w:rPr>
        <w:t xml:space="preserve"> Form 10-Q </w:t>
      </w:r>
      <w:r>
        <w:rPr>
          <w:rFonts w:ascii="Arial" w:cs="Arial" w:eastAsia="Arial" w:hAnsi="Arial"/>
          <w:sz w:val="15"/>
          <w:szCs w:val="15"/>
          <w:color w:val="auto"/>
        </w:rPr>
        <w:t>the quarter period ending September 30, 2019,</w:t>
      </w:r>
      <w:r>
        <w:rPr>
          <w:rFonts w:ascii="Arial" w:cs="Arial" w:eastAsia="Arial" w:hAnsi="Arial"/>
          <w:sz w:val="17"/>
          <w:szCs w:val="17"/>
          <w:color w:val="auto"/>
        </w:rPr>
        <w:t xml:space="preserve"> filed with the Securities and Exchange Commission on November 14,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282575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40"/>
          </w:cols>
          <w:pgMar w:left="320" w:top="719" w:right="239" w:bottom="1440" w:gutter="0" w:footer="0" w:header="0"/>
        </w:sectPr>
      </w:pPr>
    </w:p>
    <w:bookmarkStart w:id="2" w:name="page3"/>
    <w:bookmarkEnd w:id="2"/>
    <w:p>
      <w:pPr>
        <w:jc w:val="center"/>
        <w:ind w:right="40"/>
        <w:spacing w:after="0"/>
        <w:rPr>
          <w:sz w:val="20"/>
          <w:szCs w:val="20"/>
          <w:color w:val="auto"/>
        </w:rPr>
      </w:pPr>
      <w:r>
        <w:rPr>
          <w:rFonts w:ascii="Arial" w:cs="Arial" w:eastAsia="Arial" w:hAnsi="Arial"/>
          <w:sz w:val="18"/>
          <w:szCs w:val="18"/>
          <w:color w:val="auto"/>
        </w:rPr>
        <w:t>13G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CUSIP No. 359616109</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w:t>
      </w:r>
    </w:p>
    <w:p>
      <w:pPr>
        <w:spacing w:after="0" w:line="2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Name of Issuer:</w:t>
      </w:r>
    </w:p>
    <w:p>
      <w:pPr>
        <w:spacing w:after="0" w:line="9"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Fulcrum Therapeutics, Inc. (the “Company”)</w:t>
      </w:r>
    </w:p>
    <w:p>
      <w:pPr>
        <w:spacing w:after="0" w:line="238" w:lineRule="exact"/>
        <w:rPr>
          <w:sz w:val="20"/>
          <w:szCs w:val="20"/>
          <w:color w:val="auto"/>
        </w:rPr>
      </w:pPr>
    </w:p>
    <w:p>
      <w:pPr>
        <w:ind w:left="1300" w:right="7060" w:hanging="644"/>
        <w:spacing w:after="0" w:line="258" w:lineRule="auto"/>
        <w:tabs>
          <w:tab w:leader="none" w:pos="907" w:val="left"/>
        </w:tabs>
        <w:numPr>
          <w:ilvl w:val="0"/>
          <w:numId w:val="7"/>
        </w:numPr>
        <w:rPr>
          <w:rFonts w:ascii="Arial" w:cs="Arial" w:eastAsia="Arial" w:hAnsi="Arial"/>
          <w:sz w:val="18"/>
          <w:szCs w:val="18"/>
          <w:color w:val="auto"/>
        </w:rPr>
      </w:pPr>
      <w:r>
        <w:rPr>
          <w:rFonts w:ascii="Arial" w:cs="Arial" w:eastAsia="Arial" w:hAnsi="Arial"/>
          <w:sz w:val="18"/>
          <w:szCs w:val="18"/>
          <w:color w:val="auto"/>
        </w:rPr>
        <w:t>Address of Issuer's Principal Executive Offices: 26 Landsdowne Street</w:t>
      </w:r>
    </w:p>
    <w:p>
      <w:pPr>
        <w:spacing w:after="0" w:line="1"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18"/>
          <w:szCs w:val="18"/>
          <w:color w:val="auto"/>
        </w:rPr>
        <w:t>Cambridge, MA 02139</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w:t>
      </w:r>
    </w:p>
    <w:p>
      <w:pPr>
        <w:spacing w:after="0" w:line="27" w:lineRule="exact"/>
        <w:rPr>
          <w:sz w:val="20"/>
          <w:szCs w:val="20"/>
          <w:color w:val="auto"/>
        </w:rPr>
      </w:pPr>
    </w:p>
    <w:p>
      <w:pPr>
        <w:ind w:left="1300" w:right="8540" w:hanging="644"/>
        <w:spacing w:after="0" w:line="290" w:lineRule="auto"/>
        <w:tabs>
          <w:tab w:leader="none" w:pos="895" w:val="left"/>
        </w:tabs>
        <w:numPr>
          <w:ilvl w:val="0"/>
          <w:numId w:val="8"/>
        </w:numPr>
        <w:rPr>
          <w:rFonts w:ascii="Arial" w:cs="Arial" w:eastAsia="Arial" w:hAnsi="Arial"/>
          <w:sz w:val="17"/>
          <w:szCs w:val="17"/>
          <w:color w:val="auto"/>
        </w:rPr>
      </w:pPr>
      <w:r>
        <w:rPr>
          <w:rFonts w:ascii="Arial" w:cs="Arial" w:eastAsia="Arial" w:hAnsi="Arial"/>
          <w:sz w:val="17"/>
          <w:szCs w:val="17"/>
          <w:color w:val="auto"/>
        </w:rPr>
        <w:t>Name of Person Filing: GlaxoSmithKline plc.</w:t>
      </w:r>
    </w:p>
    <w:p>
      <w:pPr>
        <w:spacing w:after="0" w:line="161" w:lineRule="exact"/>
        <w:rPr>
          <w:rFonts w:ascii="Arial" w:cs="Arial" w:eastAsia="Arial" w:hAnsi="Arial"/>
          <w:sz w:val="17"/>
          <w:szCs w:val="17"/>
          <w:color w:val="auto"/>
        </w:rPr>
      </w:pPr>
    </w:p>
    <w:p>
      <w:pPr>
        <w:ind w:left="1300" w:right="6060" w:hanging="644"/>
        <w:spacing w:after="0" w:line="258" w:lineRule="auto"/>
        <w:tabs>
          <w:tab w:leader="none" w:pos="976" w:val="left"/>
        </w:tabs>
        <w:numPr>
          <w:ilvl w:val="0"/>
          <w:numId w:val="8"/>
        </w:numPr>
        <w:rPr>
          <w:rFonts w:ascii="Arial" w:cs="Arial" w:eastAsia="Arial" w:hAnsi="Arial"/>
          <w:sz w:val="18"/>
          <w:szCs w:val="18"/>
          <w:color w:val="auto"/>
        </w:rPr>
      </w:pPr>
      <w:r>
        <w:rPr>
          <w:rFonts w:ascii="Arial" w:cs="Arial" w:eastAsia="Arial" w:hAnsi="Arial"/>
          <w:sz w:val="18"/>
          <w:szCs w:val="18"/>
          <w:color w:val="auto"/>
        </w:rPr>
        <w:t>Address of Principal Business Office, or if None, Residence: 980 Great West Road</w:t>
      </w:r>
    </w:p>
    <w:p>
      <w:pPr>
        <w:spacing w:after="0" w:line="1" w:lineRule="exact"/>
        <w:rPr>
          <w:rFonts w:ascii="Arial" w:cs="Arial" w:eastAsia="Arial" w:hAnsi="Arial"/>
          <w:sz w:val="18"/>
          <w:szCs w:val="18"/>
          <w:color w:val="auto"/>
        </w:rPr>
      </w:pPr>
    </w:p>
    <w:p>
      <w:pPr>
        <w:jc w:val="both"/>
        <w:ind w:left="1300" w:right="9360"/>
        <w:spacing w:after="0" w:line="295" w:lineRule="auto"/>
        <w:rPr>
          <w:rFonts w:ascii="Arial" w:cs="Arial" w:eastAsia="Arial" w:hAnsi="Arial"/>
          <w:sz w:val="18"/>
          <w:szCs w:val="18"/>
          <w:color w:val="auto"/>
        </w:rPr>
      </w:pPr>
      <w:r>
        <w:rPr>
          <w:rFonts w:ascii="Arial" w:cs="Arial" w:eastAsia="Arial" w:hAnsi="Arial"/>
          <w:sz w:val="16"/>
          <w:szCs w:val="16"/>
          <w:color w:val="auto"/>
        </w:rPr>
        <w:t>Brentford Middlesex TW8 9GS England</w:t>
      </w:r>
    </w:p>
    <w:p>
      <w:pPr>
        <w:spacing w:after="0" w:line="161" w:lineRule="exact"/>
        <w:rPr>
          <w:rFonts w:ascii="Arial" w:cs="Arial" w:eastAsia="Arial" w:hAnsi="Arial"/>
          <w:sz w:val="18"/>
          <w:szCs w:val="18"/>
          <w:color w:val="auto"/>
        </w:rPr>
      </w:pPr>
    </w:p>
    <w:p>
      <w:pPr>
        <w:ind w:left="900" w:hanging="244"/>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Citizenship:</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England and Wales</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 Title of Class of Securities:</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Common Stock, par value $0.001 (the “Common Stock”)</w:t>
      </w:r>
    </w:p>
    <w:p>
      <w:pPr>
        <w:spacing w:after="0" w:line="211" w:lineRule="exact"/>
        <w:rPr>
          <w:sz w:val="20"/>
          <w:szCs w:val="20"/>
          <w:color w:val="auto"/>
        </w:rPr>
      </w:pPr>
    </w:p>
    <w:p>
      <w:pPr>
        <w:jc w:val="right"/>
        <w:ind w:left="1300" w:right="9300" w:hanging="644"/>
        <w:spacing w:after="0" w:line="342" w:lineRule="auto"/>
        <w:tabs>
          <w:tab w:leader="none" w:pos="896" w:val="left"/>
        </w:tabs>
        <w:numPr>
          <w:ilvl w:val="0"/>
          <w:numId w:val="9"/>
        </w:numPr>
        <w:rPr>
          <w:rFonts w:ascii="Arial" w:cs="Arial" w:eastAsia="Arial" w:hAnsi="Arial"/>
          <w:sz w:val="16"/>
          <w:szCs w:val="16"/>
          <w:color w:val="auto"/>
        </w:rPr>
      </w:pPr>
      <w:r>
        <w:rPr>
          <w:rFonts w:ascii="Arial" w:cs="Arial" w:eastAsia="Arial" w:hAnsi="Arial"/>
          <w:sz w:val="16"/>
          <w:szCs w:val="16"/>
          <w:color w:val="auto"/>
        </w:rPr>
        <w:t>CUSIP Number: 359616109</w:t>
      </w:r>
    </w:p>
    <w:p>
      <w:pPr>
        <w:spacing w:after="0" w:line="120"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ITEM 3. IF THIS STATEMENT IS FILED PURSUANT TO SS.240.13d-1(b) OR 240.13d-2(b) OR (c), CHECK WHETHER THE PERSON FILING IS A:</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OWNERSHIP.</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information in items 1 and 5 through 11 on the cover page of this Schedule 13G is hereby incorporated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3" w:name="page4"/>
    <w:bookmarkEnd w:id="3"/>
    <w:p>
      <w:pPr>
        <w:jc w:val="center"/>
        <w:ind w:right="-19"/>
        <w:spacing w:after="0"/>
        <w:rPr>
          <w:sz w:val="20"/>
          <w:szCs w:val="20"/>
          <w:color w:val="auto"/>
        </w:rPr>
      </w:pPr>
      <w:r>
        <w:rPr>
          <w:rFonts w:ascii="Arial" w:cs="Arial" w:eastAsia="Arial" w:hAnsi="Arial"/>
          <w:sz w:val="18"/>
          <w:szCs w:val="18"/>
          <w:color w:val="auto"/>
        </w:rPr>
        <w:t>13G</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CUSIP No. 359616109</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OWNERSHIP OF FIVE PERCENT OR LESS OF A CLASS.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If this statement is being filed to report the fact that as of the date hereof the reporting person has ceased to be the beneficial owner of more than five percent of the class of securities, check the following [ ].</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OWNERSHIP OF MORE THAN FIVE PERCENT ON BEHALF OF ANOTHER PERSON.</w:t>
      </w:r>
    </w:p>
    <w:p>
      <w:pPr>
        <w:spacing w:after="0" w:line="229" w:lineRule="exact"/>
        <w:rPr>
          <w:sz w:val="20"/>
          <w:szCs w:val="20"/>
          <w:color w:val="auto"/>
        </w:rPr>
      </w:pPr>
    </w:p>
    <w:tbl>
      <w:tblPr>
        <w:tblLayout w:type="fixed"/>
        <w:tblInd w:w="580" w:type="dxa"/>
        <w:tblCellMar>
          <w:top w:w="0" w:type="dxa"/>
          <w:left w:w="0" w:type="dxa"/>
          <w:bottom w:w="0" w:type="dxa"/>
          <w:right w:w="0" w:type="dxa"/>
        </w:tblCellMar>
      </w:tblPr>
      <w:tr>
        <w:trPr>
          <w:trHeight w:val="230"/>
        </w:trPr>
        <w:tc>
          <w:tcPr>
            <w:tcW w:w="3200" w:type="dxa"/>
            <w:vAlign w:val="bottom"/>
          </w:tcPr>
          <w:p>
            <w:pPr>
              <w:spacing w:after="0"/>
              <w:rPr>
                <w:sz w:val="20"/>
                <w:szCs w:val="20"/>
                <w:color w:val="auto"/>
              </w:rPr>
            </w:pPr>
            <w:r>
              <w:rPr>
                <w:rFonts w:ascii="Arial" w:cs="Arial" w:eastAsia="Arial" w:hAnsi="Arial"/>
                <w:sz w:val="18"/>
                <w:szCs w:val="18"/>
                <w:color w:val="auto"/>
              </w:rPr>
              <w:t>Glaxo Group Limited*</w:t>
            </w:r>
          </w:p>
        </w:tc>
        <w:tc>
          <w:tcPr>
            <w:tcW w:w="3680" w:type="dxa"/>
            <w:vAlign w:val="bottom"/>
          </w:tcPr>
          <w:p>
            <w:pPr>
              <w:jc w:val="right"/>
              <w:ind w:right="1350"/>
              <w:spacing w:after="0"/>
              <w:rPr>
                <w:sz w:val="20"/>
                <w:szCs w:val="20"/>
                <w:color w:val="auto"/>
              </w:rPr>
            </w:pPr>
            <w:r>
              <w:rPr>
                <w:rFonts w:ascii="Arial" w:cs="Arial" w:eastAsia="Arial" w:hAnsi="Arial"/>
                <w:sz w:val="18"/>
                <w:szCs w:val="18"/>
                <w:color w:val="auto"/>
              </w:rPr>
              <w:t>1,785,714</w:t>
            </w:r>
          </w:p>
        </w:tc>
        <w:tc>
          <w:tcPr>
            <w:tcW w:w="1820" w:type="dxa"/>
            <w:vAlign w:val="bottom"/>
          </w:tcPr>
          <w:p>
            <w:pPr>
              <w:jc w:val="right"/>
              <w:spacing w:after="0"/>
              <w:rPr>
                <w:sz w:val="20"/>
                <w:szCs w:val="20"/>
                <w:color w:val="auto"/>
              </w:rPr>
            </w:pPr>
            <w:r>
              <w:rPr>
                <w:rFonts w:ascii="Arial" w:cs="Arial" w:eastAsia="Arial" w:hAnsi="Arial"/>
                <w:sz w:val="18"/>
                <w:szCs w:val="18"/>
                <w:color w:val="auto"/>
              </w:rPr>
              <w:t>7.7%</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*Shares held directly by Glaxo Group Limited, an indirect wholly-owned subsidiary of the Reporting Person.</w:t>
      </w:r>
    </w:p>
    <w:p>
      <w:pPr>
        <w:spacing w:after="0" w:line="221"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ITEM 7. IDENTIFICATION AND CLASSIFICATION OF THE SUBSIDIARY WHICH ACQUIRED THE SECURITY BEING REPORTED ON BY THE PARENT HOLDING COMPANY.</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IDENTIFICATION AND CLASSIFICATION OF MEMBERS OF THE GROUP.</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NOTICE OF DISSOLUTION OF GROUP.</w:t>
      </w:r>
    </w:p>
    <w:p>
      <w:pPr>
        <w:spacing w:after="0" w:line="229" w:lineRule="exact"/>
        <w:rPr>
          <w:sz w:val="20"/>
          <w:szCs w:val="20"/>
          <w:color w:val="auto"/>
        </w:rPr>
      </w:pPr>
    </w:p>
    <w:p>
      <w:pPr>
        <w:jc w:val="center"/>
        <w:ind w:right="89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jc w:val="center"/>
        <w:ind w:right="9020"/>
        <w:spacing w:after="0"/>
        <w:rPr>
          <w:sz w:val="20"/>
          <w:szCs w:val="20"/>
          <w:color w:val="auto"/>
        </w:rPr>
      </w:pPr>
      <w:r>
        <w:rPr>
          <w:rFonts w:ascii="Arial" w:cs="Arial" w:eastAsia="Arial" w:hAnsi="Arial"/>
          <w:sz w:val="18"/>
          <w:szCs w:val="18"/>
          <w:b w:val="1"/>
          <w:bCs w:val="1"/>
          <w:color w:val="auto"/>
        </w:rPr>
        <w:t>ITEM 10. CERTIFICATIONS.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color w:val="auto"/>
        </w:rPr>
        <w:t>CUSIP No. 359616109</w:t>
      </w:r>
    </w:p>
    <w:p>
      <w:pPr>
        <w:spacing w:after="0" w:line="221"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February 14, 2020</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GLAXOSMITHKLINE PLC</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 /s/ Victoria A. Whyte</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 Victoria A. Whyte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-130810</wp:posOffset>
            </wp:positionV>
            <wp:extent cx="231521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315210" cy="8890"/>
                    </a:xfrm>
                    <a:prstGeom prst="rect">
                      <a:avLst/>
                    </a:prstGeom>
                    <a:noFill/>
                  </pic:spPr>
                </pic:pic>
              </a:graphicData>
            </a:graphic>
          </wp:anchor>
        </w:drawing>
      </w:r>
    </w:p>
    <w:p>
      <w:pPr>
        <w:spacing w:after="0" w:line="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Title: 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477520</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060"/>
      </w:cols>
      <w:pgMar w:left="240" w:top="692" w:right="5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1."/>
      <w:numFmt w:val="decimal"/>
      <w:start w:val="1"/>
    </w:lvl>
    <w:lvl w:ilvl="1">
      <w:lvlJc w:val="left"/>
      <w:lvlText w:val="%2."/>
      <w:numFmt w:val="decimal"/>
      <w:start w:val="5"/>
    </w:lvl>
  </w:abstractNum>
  <w:abstractNum w:abstractNumId="2">
    <w:nsid w:val="507ED7AB"/>
    <w:multiLevelType w:val="hybridMultilevel"/>
    <w:lvl w:ilvl="0">
      <w:lvlJc w:val="left"/>
      <w:lvlText w:val="%1"/>
      <w:numFmt w:val="decimal"/>
      <w:start w:val="1"/>
    </w:lvl>
    <w:lvl w:ilvl="1">
      <w:lvlJc w:val="left"/>
      <w:lvlText w:val="%2."/>
      <w:numFmt w:val="decimal"/>
      <w:start w:val="8"/>
    </w:lvl>
  </w:abstractNum>
  <w:abstractNum w:abstractNumId="3">
    <w:nsid w:val="2EB141F2"/>
    <w:multiLevelType w:val="hybridMultilevel"/>
    <w:lvl w:ilvl="0">
      <w:lvlJc w:val="left"/>
      <w:lvlText w:val="%1."/>
      <w:numFmt w:val="decimal"/>
      <w:start w:val="9"/>
    </w:lvl>
    <w:lvl w:ilvl="1">
      <w:lvlJc w:val="left"/>
      <w:lvlText w:val="%2"/>
      <w:numFmt w:val="decimal"/>
      <w:start w:val="1"/>
    </w:lvl>
  </w:abstractNum>
  <w:abstractNum w:abstractNumId="4">
    <w:nsid w:val="41B71EFB"/>
    <w:multiLevelType w:val="hybridMultilevel"/>
    <w:lvl w:ilvl="0">
      <w:lvlJc w:val="left"/>
      <w:lvlText w:val="%1."/>
      <w:numFmt w:val="decimal"/>
      <w:start w:val="11"/>
    </w:lvl>
  </w:abstractNum>
  <w:abstractNum w:abstractNumId="5">
    <w:nsid w:val="79E2A9E3"/>
    <w:multiLevelType w:val="hybridMultilevel"/>
    <w:lvl w:ilvl="0">
      <w:lvlJc w:val="left"/>
      <w:lvlText w:val="(%1)"/>
      <w:numFmt w:val="decimal"/>
      <w:start w:val="1"/>
    </w:lvl>
  </w:abstractNum>
  <w:abstractNum w:abstractNumId="6">
    <w:nsid w:val="7545E146"/>
    <w:multiLevelType w:val="hybridMultilevel"/>
    <w:lvl w:ilvl="0">
      <w:lvlJc w:val="left"/>
      <w:lvlText w:val="(%1)"/>
      <w:numFmt w:val="lowerLetter"/>
      <w:start w:val="2"/>
    </w:lvl>
  </w:abstractNum>
  <w:abstractNum w:abstractNumId="7">
    <w:nsid w:val="515F007C"/>
    <w:multiLevelType w:val="hybridMultilevel"/>
    <w:lvl w:ilvl="0">
      <w:lvlJc w:val="left"/>
      <w:lvlText w:val="(%1)"/>
      <w:numFmt w:val="lowerLetter"/>
      <w:start w:val="1"/>
    </w:lvl>
  </w:abstractNum>
  <w:abstractNum w:abstractNumId="8">
    <w:nsid w:val="5BD062C2"/>
    <w:multiLevelType w:val="hybridMultilevel"/>
    <w:lvl w:ilvl="0">
      <w:lvlJc w:val="left"/>
      <w:lvlText w:val="(%1)"/>
      <w:numFmt w:val="lowerLetter"/>
      <w:start w:val="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2020-02-14T15:37:19Z</dcterms:created>
  <dcterms:modified xsi:type="dcterms:W3CDTF">2020-02-14T15:37:19Z</dcterms:modified>
</cp:coreProperties>
</file>